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bookmarkStart w:id="0" w:name="X117254fd5debd182f8fec0d75f3867ecbca5102"/>
      <w:r>
        <w:rPr/>
        <w:t>Plan d’actions accessibilité numérique 2026</w:t>
      </w:r>
    </w:p>
    <w:p>
      <w:pPr>
        <w:pStyle w:val="Heading2"/>
        <w:rPr/>
      </w:pPr>
      <w:r>
        <w:rPr/>
        <w:t>Gatewai Technologies &amp; Services SAS (Copilex)</w:t>
      </w:r>
    </w:p>
    <w:p>
      <w:pPr>
        <w:pStyle w:val="FirstParagraph"/>
        <w:rPr/>
      </w:pPr>
      <w:r>
        <w:rPr>
          <w:b/>
          <w:bCs/>
        </w:rPr>
        <w:t>Période</w:t>
      </w:r>
      <w:r>
        <w:rPr/>
        <w:t xml:space="preserve"> : Janvier - Décembre 2026</w:t>
      </w:r>
    </w:p>
    <w:p>
      <w:pPr>
        <w:pStyle w:val="FirstParagraph"/>
        <w:rPr/>
      </w:pPr>
      <w:r>
        <w:rPr>
          <w:b/>
          <w:bCs/>
        </w:rPr>
        <w:t>Référent</w:t>
      </w:r>
      <w:r>
        <w:rPr/>
        <w:t xml:space="preserve"> : Didier Marin (CTO)</w:t>
      </w:r>
    </w:p>
    <w:p>
      <w:pPr>
        <w:pStyle w:val="FirstParagraph"/>
        <w:rPr/>
      </w:pPr>
      <w:r>
        <w:rPr>
          <w:b/>
          <w:bCs/>
        </w:rPr>
        <w:t>Contact</w:t>
      </w:r>
      <w:r>
        <w:rPr/>
        <w:t xml:space="preserve"> : didier.marin@copilex.com</w:t>
      </w:r>
    </w:p>
    <w:p>
      <w:pPr>
        <w:pStyle w:val="Normal"/>
        <w:rPr/>
      </w:pPr>
      <w:bookmarkStart w:id="1" w:name="X514e9da943d976e18d8a5e6f76110f37b8f87df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1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1"/>
    </w:p>
    <w:p>
      <w:pPr>
        <w:pStyle w:val="Heading2"/>
        <w:rPr/>
      </w:pPr>
      <w:r>
        <w:rPr/>
        <w:t>Objectifs 2026</w:t>
      </w:r>
    </w:p>
    <w:p>
      <w:pPr>
        <w:pStyle w:val="Compact"/>
        <w:numPr>
          <w:ilvl w:val="0"/>
          <w:numId w:val="1"/>
        </w:numPr>
        <w:rPr/>
      </w:pPr>
      <w:r>
        <w:rPr/>
        <w:t>Établir un état des lieux de l’accessibilité de copilex.com</w:t>
      </w:r>
    </w:p>
    <w:p>
      <w:pPr>
        <w:pStyle w:val="Compact"/>
        <w:numPr>
          <w:ilvl w:val="0"/>
          <w:numId w:val="1"/>
        </w:numPr>
        <w:rPr/>
      </w:pPr>
      <w:r>
        <w:rPr/>
        <w:t xml:space="preserve">Atteindre un taux de conformité RGAA de </w:t>
      </w:r>
      <w:r>
        <w:rPr>
          <w:b/>
          <w:bCs/>
        </w:rPr>
        <w:t>50%</w:t>
      </w:r>
      <w:r>
        <w:rPr/>
        <w:t xml:space="preserve"> fin 2026</w:t>
      </w:r>
    </w:p>
    <w:p>
      <w:pPr>
        <w:pStyle w:val="Compact"/>
        <w:numPr>
          <w:ilvl w:val="0"/>
          <w:numId w:val="1"/>
        </w:numPr>
        <w:rPr/>
      </w:pPr>
      <w:r>
        <w:rPr/>
        <w:t>Former l’équipe aux bonnes pratiques d’accessibilité</w:t>
      </w:r>
    </w:p>
    <w:p>
      <w:pPr>
        <w:pStyle w:val="Compact"/>
        <w:numPr>
          <w:ilvl w:val="0"/>
          <w:numId w:val="1"/>
        </w:numPr>
        <w:rPr/>
      </w:pPr>
      <w:r>
        <w:rPr/>
        <w:t>Mettre en place les outils et processus de suivi</w:t>
      </w:r>
    </w:p>
    <w:p>
      <w:pPr>
        <w:pStyle w:val="Compact"/>
        <w:rPr/>
      </w:pPr>
      <w:r>
        <w:rPr/>
      </w:r>
    </w:p>
    <w:p>
      <w:pPr>
        <w:pStyle w:val="Normal"/>
        <w:rPr/>
      </w:pPr>
      <w:bookmarkStart w:id="2" w:name="objectifs-2025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2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2"/>
    </w:p>
    <w:p>
      <w:pPr>
        <w:pStyle w:val="Heading2"/>
        <w:rPr/>
      </w:pPr>
      <w:r>
        <w:rPr/>
        <w:t>Actions planifiées</w:t>
      </w:r>
    </w:p>
    <w:p>
      <w:pPr>
        <w:pStyle w:val="Heading3"/>
        <w:rPr/>
      </w:pPr>
      <w:r>
        <w:rPr/>
        <w:t>T1 2026 - Mise en place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17"/>
        <w:gridCol w:w="3123"/>
        <w:gridCol w:w="2402"/>
        <w:gridCol w:w="1917"/>
      </w:tblGrid>
      <w:tr>
        <w:trPr>
          <w:tblHeader w:val="true"/>
        </w:trPr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Action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Responsable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Livrable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Statut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Officialiser la nomination du référent accessibilité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Direction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Note interne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Suivre une formation RGAA (référent)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Attestation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Créer l’adresse accessibilite@copilex.com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Email actif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  <w:bookmarkStart w:id="3" w:name="t1-2025---mise-en-place"/>
            <w:bookmarkEnd w:id="3"/>
          </w:p>
        </w:tc>
      </w:tr>
    </w:tbl>
    <w:p>
      <w:pPr>
        <w:pStyle w:val="Heading3"/>
        <w:rPr/>
      </w:pPr>
      <w:r>
        <w:rPr/>
        <w:t>T2 2026 - Audit et Publication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17"/>
        <w:gridCol w:w="3123"/>
        <w:gridCol w:w="2402"/>
        <w:gridCol w:w="1917"/>
      </w:tblGrid>
      <w:tr>
        <w:trPr>
          <w:tblHeader w:val="true"/>
        </w:trPr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Action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Responsable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Livrable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Statut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Réaliser l’auto-audit initial (10 pages clés)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Rapport d’audit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Publier la déclaration d’accessibilité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Page en ligne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Publier le schéma pluriannuel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Page en ligne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</w:tbl>
    <w:p>
      <w:pPr>
        <w:pStyle w:val="Heading3"/>
        <w:rPr/>
      </w:pPr>
      <w:r>
        <w:rPr/>
        <w:t>T3 2026 - Corrections prioritaires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17"/>
        <w:gridCol w:w="3123"/>
        <w:gridCol w:w="2402"/>
        <w:gridCol w:w="1917"/>
      </w:tblGrid>
      <w:tr>
        <w:trPr>
          <w:tblHeader w:val="true"/>
        </w:trPr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Action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Responsable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Livrable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Statut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Corriger les non-conformités de niveau AA</w:t>
            </w: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pour l’ensemble des pages ciblées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Critères A</w:t>
            </w: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</w:t>
            </w: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 xml:space="preserve"> OK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</w:tbl>
    <w:p>
      <w:pPr>
        <w:pStyle w:val="Heading3"/>
        <w:rPr/>
      </w:pPr>
      <w:r>
        <w:rPr/>
        <w:t>T4 2026 - Consolidation</w:t>
      </w:r>
    </w:p>
    <w:tbl>
      <w:tblPr>
        <w:tblStyle w:val="Table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1917"/>
        <w:gridCol w:w="3123"/>
        <w:gridCol w:w="2402"/>
        <w:gridCol w:w="1917"/>
      </w:tblGrid>
      <w:tr>
        <w:trPr>
          <w:tblHeader w:val="true"/>
        </w:trPr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Action</w:t>
            </w:r>
          </w:p>
        </w:tc>
        <w:tc>
          <w:tcPr>
            <w:tcW w:w="3123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Responsable</w:t>
            </w:r>
          </w:p>
        </w:tc>
        <w:tc>
          <w:tcPr>
            <w:tcW w:w="240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Livrable</w:t>
            </w:r>
          </w:p>
        </w:tc>
        <w:tc>
          <w:tcPr>
            <w:tcW w:w="1917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Statut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Faire un bilan annuel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Rapport annuel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Préparer le plan d’actions 2027</w:t>
            </w:r>
          </w:p>
        </w:tc>
        <w:tc>
          <w:tcPr>
            <w:tcW w:w="3123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Référent</w:t>
            </w:r>
          </w:p>
        </w:tc>
        <w:tc>
          <w:tcPr>
            <w:tcW w:w="2402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Plan 2027</w:t>
            </w:r>
          </w:p>
        </w:tc>
        <w:tc>
          <w:tcPr>
            <w:tcW w:w="1917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À faire</w:t>
            </w:r>
          </w:p>
        </w:tc>
      </w:tr>
    </w:tbl>
    <w:p>
      <w:pPr>
        <w:pStyle w:val="Normal"/>
        <w:rPr/>
      </w:pPr>
      <w:bookmarkStart w:id="4" w:name="actions-planifiées"/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3" path="m0,0l-2147483645,0l-2147483645,-2147483646l0,-2147483646xe" fillcolor="white" stroked="t" o:allowincell="f" style="position:absolute;margin-left:0pt;margin-top:-1.55pt;width:0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5" w:name="budget-2025"/>
      <w:bookmarkEnd w:id="4"/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4" path="m0,0l-2147483645,0l-2147483645,-2147483646l0,-2147483646xe" fillcolor="white" stroked="t" o:allowincell="f" style="position:absolute;margin-left:0pt;margin-top:-1.55pt;width:0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5"/>
    </w:p>
    <w:p>
      <w:pPr>
        <w:pStyle w:val="Heading2"/>
        <w:rPr/>
      </w:pPr>
      <w:r>
        <w:rPr/>
        <w:t>Ressources de formation gratuites</w:t>
      </w:r>
    </w:p>
    <w:p>
      <w:pPr>
        <w:pStyle w:val="Compact"/>
        <w:numPr>
          <w:ilvl w:val="0"/>
          <w:numId w:val="8"/>
        </w:numPr>
        <w:rPr/>
      </w:pPr>
      <w:hyperlink r:id="rId2">
        <w:r>
          <w:rPr>
            <w:rStyle w:val="Hyperlink"/>
          </w:rPr>
          <w:t>RGAA - Site officiel</w:t>
        </w:r>
      </w:hyperlink>
    </w:p>
    <w:p>
      <w:pPr>
        <w:pStyle w:val="Compact"/>
        <w:numPr>
          <w:ilvl w:val="0"/>
          <w:numId w:val="9"/>
        </w:numPr>
        <w:rPr/>
      </w:pPr>
      <w:hyperlink r:id="rId3">
        <w:r>
          <w:rPr>
            <w:rStyle w:val="Hyperlink"/>
          </w:rPr>
          <w:t>DesignGouv - Accessibilité</w:t>
        </w:r>
      </w:hyperlink>
    </w:p>
    <w:p>
      <w:pPr>
        <w:pStyle w:val="Compact"/>
        <w:numPr>
          <w:ilvl w:val="0"/>
          <w:numId w:val="10"/>
        </w:numPr>
        <w:rPr/>
      </w:pPr>
      <w:hyperlink r:id="rId4">
        <w:r>
          <w:rPr>
            <w:rStyle w:val="Hyperlink"/>
          </w:rPr>
          <w:t>MOOC Accessibilité numérique (FUN)</w:t>
        </w:r>
      </w:hyperlink>
    </w:p>
    <w:p>
      <w:pPr>
        <w:pStyle w:val="Compact"/>
        <w:numPr>
          <w:ilvl w:val="0"/>
          <w:numId w:val="11"/>
        </w:numPr>
        <w:rPr/>
      </w:pPr>
      <w:hyperlink r:id="rId5">
        <w:r>
          <w:rPr>
            <w:rStyle w:val="Hyperlink"/>
          </w:rPr>
          <w:t>Web Accessibility Initiative (W3C)</w:t>
        </w:r>
      </w:hyperlink>
    </w:p>
    <w:p>
      <w:pPr>
        <w:pStyle w:val="Compact"/>
        <w:numPr>
          <w:ilvl w:val="0"/>
          <w:numId w:val="12"/>
        </w:numPr>
        <w:rPr/>
      </w:pPr>
      <w:hyperlink r:id="rId6">
        <w:r>
          <w:rPr>
            <w:rStyle w:val="Hyperlink"/>
          </w:rPr>
          <w:t>A11y Project</w:t>
        </w:r>
      </w:hyperlink>
    </w:p>
    <w:p>
      <w:pPr>
        <w:pStyle w:val="Compact"/>
        <w:rPr>
          <w:rStyle w:val="Hyperlink"/>
        </w:rPr>
      </w:pPr>
      <w:r>
        <w:rPr/>
      </w:r>
    </w:p>
    <w:p>
      <w:pPr>
        <w:pStyle w:val="Normal"/>
        <w:rPr/>
      </w:pPr>
      <w:bookmarkStart w:id="6" w:name="ressources-de-formation-gratuites"/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5" path="m0,0l-2147483645,0l-2147483645,-2147483646l0,-2147483646xe" fillcolor="white" stroked="t" o:allowincell="f" style="position:absolute;margin-left:0pt;margin-top:-1.55pt;width:467.95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End w:id="6"/>
    </w:p>
    <w:p>
      <w:pPr>
        <w:pStyle w:val="Heading2"/>
        <w:rPr/>
      </w:pPr>
      <w:r>
        <w:rPr/>
        <w:t>Indicateurs de suivi</w:t>
      </w:r>
    </w:p>
    <w:tbl>
      <w:tblPr>
        <w:tblStyle w:val="Table"/>
        <w:tblW w:w="7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noHBand="0" w:noVBand="0" w:firstColumn="0" w:lastRow="0" w:lastColumn="0" w:firstRow="1"/>
      </w:tblPr>
      <w:tblGrid>
        <w:gridCol w:w="2640"/>
        <w:gridCol w:w="2640"/>
        <w:gridCol w:w="2640"/>
      </w:tblGrid>
      <w:tr>
        <w:trPr>
          <w:tblHeader w:val="true"/>
        </w:trPr>
        <w:tc>
          <w:tcPr>
            <w:tcW w:w="2640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Indicateur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Cible T2</w:t>
            </w:r>
          </w:p>
        </w:tc>
        <w:tc>
          <w:tcPr>
            <w:tcW w:w="2640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Cible T4</w:t>
            </w:r>
          </w:p>
        </w:tc>
      </w:tr>
      <w:tr>
        <w:trPr/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Auto-audit réalisé</w:t>
            </w:r>
          </w:p>
        </w:tc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Oui</w:t>
            </w:r>
          </w:p>
        </w:tc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Oui</w:t>
            </w:r>
          </w:p>
        </w:tc>
      </w:tr>
      <w:tr>
        <w:trPr/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Déclaration publiée</w:t>
            </w:r>
          </w:p>
        </w:tc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Oui</w:t>
            </w:r>
          </w:p>
        </w:tc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Oui</w:t>
            </w:r>
          </w:p>
        </w:tc>
      </w:tr>
      <w:tr>
        <w:trPr/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Taux de conformité RGAA</w:t>
            </w:r>
          </w:p>
        </w:tc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Baseline</w:t>
            </w:r>
          </w:p>
        </w:tc>
        <w:tc>
          <w:tcPr>
            <w:tcW w:w="2640" w:type="dxa"/>
            <w:tcBorders/>
          </w:tcPr>
          <w:p>
            <w:pPr>
              <w:pStyle w:val="Compact"/>
              <w:widowControl/>
              <w:suppressAutoHyphens w:val="true"/>
              <w:spacing w:before="36" w:after="36"/>
              <w:jc w:val="left"/>
              <w:rPr>
                <w:rFonts w:ascii="Cambria" w:hAnsi="Cambria" w:eastAsia="Cambria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mbria" w:cs=""/>
                <w:kern w:val="0"/>
                <w:sz w:val="24"/>
                <w:szCs w:val="24"/>
                <w:lang w:val="en-US" w:eastAsia="en-US" w:bidi="ar-SA"/>
              </w:rPr>
              <w:t>50%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bookmarkStart w:id="7" w:name="X117254fd5debd182f8fec0d75f3867ecbca5102"/>
      <w:bookmarkStart w:id="8" w:name="indicateurs-de-suivi"/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6" path="m0,0l-2147483645,0l-2147483645,-2147483646l0,-2147483646xe" fillcolor="white" stroked="t" o:allowincell="f" style="position:absolute;margin-left:0pt;margin-top:-1.55pt;width:0pt;height:1.45pt;mso-wrap-style:none;v-text-anchor:middle;mso-position-vertical:top">
                <v:fill o:detectmouseclick="t" type="solid" color2="black"/>
                <v:stroke color="black" joinstyle="round" endcap="flat"/>
                <w10:wrap type="square"/>
              </v:rect>
            </w:pict>
          </mc:Fallback>
        </mc:AlternateContent>
      </w:r>
      <w:bookmarkStart w:id="9" w:name="suivi-des-actions"/>
      <w:bookmarkStart w:id="10" w:name="reporting"/>
      <w:bookmarkEnd w:id="7"/>
      <w:bookmarkEnd w:id="8"/>
      <w:bookmarkEnd w:id="9"/>
      <w:bookmarkEnd w:id="1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themeColor="accent1" w:val="4F81BD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type="paragraph" w:styleId="Subtitle">
    <w:name w:val="Subtitle"/>
    <w:basedOn w:val="Title"/>
    <w:next w:val="BodyText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suppressAutoHyphens w:val="true"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color w:val="345A8A"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uiPriority w:val="9"/>
    <w:unhideWhenUsed/>
    <w:qFormat/>
    <w:pPr>
      <w:widowControl/>
      <w:suppressAutoHyphens w:val="true"/>
      <w:bidi w:val="0"/>
      <w:spacing w:before="100" w:after="100"/>
      <w:ind w:hanging="0" w:left="480" w:right="48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ccessibilite.numerique.gouv.fr/" TargetMode="External"/><Relationship Id="rId3" Type="http://schemas.openxmlformats.org/officeDocument/2006/relationships/hyperlink" Target="https://design.numerique.gouv.fr/accessibilite-numerique/" TargetMode="External"/><Relationship Id="rId4" Type="http://schemas.openxmlformats.org/officeDocument/2006/relationships/hyperlink" Target="https://www.fun-mooc.fr/" TargetMode="External"/><Relationship Id="rId5" Type="http://schemas.openxmlformats.org/officeDocument/2006/relationships/hyperlink" Target="https://www.w3.org/WAI/" TargetMode="External"/><Relationship Id="rId6" Type="http://schemas.openxmlformats.org/officeDocument/2006/relationships/hyperlink" Target="https://www.a11yproject.com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LibreOffice/24.8.7.2$Linux_X86_64 LibreOffice_project/e07d0a63a46349d29051da79b1fde8160bab2a89</Application>
  <AppVersion>15.0000</AppVersion>
  <Pages>2</Pages>
  <Words>247</Words>
  <Characters>1422</Characters>
  <CharactersWithSpaces>1574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2025-12-17T11:28:05Z</dcterms:created>
  <dc:creator/>
  <dc:description/>
  <dc:language>en-US</dc:language>
  <cp:lastModifiedBy/>
  <dcterms:modified xsi:type="dcterms:W3CDTF">2025-12-17T19:06:56Z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