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efefef" w:space="0" w:sz="8" w:val="single"/>
              <w:right w:color="efefe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3"/>
                <w:szCs w:val="13"/>
                <w:rtl w:val="0"/>
              </w:rPr>
              <w:t xml:space="preserve">PATIENT (AGE, SEX)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999999"/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efefef" w:space="0" w:sz="8" w:val="single"/>
              <w:right w:color="efefe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3"/>
                <w:szCs w:val="13"/>
                <w:rtl w:val="0"/>
              </w:rPr>
              <w:t xml:space="preserve">PROVIDER (NAME, CREDENTIAL)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999999"/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efefef" w:space="0" w:sz="8" w:val="single"/>
              <w:right w:color="efefe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3"/>
                <w:szCs w:val="13"/>
                <w:rtl w:val="0"/>
              </w:rPr>
              <w:t xml:space="preserve">DATE OF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999999"/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80.0" w:type="dxa"/>
              <w:left w:w="120.0" w:type="dxa"/>
              <w:bottom w:w="80.0" w:type="dxa"/>
              <w:right w:w="120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3"/>
                <w:szCs w:val="13"/>
                <w:rtl w:val="0"/>
              </w:rPr>
              <w:t xml:space="preserve">VISIT TYPE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New / Established / Follow-up / Telehealth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0"/>
        <w:gridCol w:w="8640"/>
        <w:tblGridChange w:id="0">
          <w:tblGrid>
            <w:gridCol w:w="1440"/>
            <w:gridCol w:w="86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1c2b2b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ffffff"/>
                <w:sz w:val="36"/>
                <w:szCs w:val="36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8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2"/>
                <w:szCs w:val="22"/>
                <w:rtl w:val="0"/>
              </w:rPr>
              <w:t xml:space="preserve">Subjective — What the patient reports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CHIEF COMPLAINT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Primary reason for visit, in the patient's own words or paraphrased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HISTORY OF PRESENT ILLNESS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Onset · location · duration · character · alleviating/aggravating factors · severity (0–10) · radiation · timing. Include only what is relevant to this visit.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RELEVANT MEDICAL HISTORY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Active conditions relevant to today's visit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CURRENT MEDICATIONS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Name, dose, route — list those relevant to the encounter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ALLERGIES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Drug, food, environmental — note reaction type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SOCIAL / FAMILY HISTORY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Include only what is pertinent to today's problem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REVIEW OF SYSTEMS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Pertinent positives and negatives only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5"/>
        <w:gridCol w:w="8655"/>
        <w:tblGridChange w:id="0">
          <w:tblGrid>
            <w:gridCol w:w="1425"/>
            <w:gridCol w:w="8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1c2b2b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ffffff"/>
                <w:sz w:val="36"/>
                <w:szCs w:val="36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8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2"/>
                <w:szCs w:val="22"/>
                <w:rtl w:val="0"/>
              </w:rPr>
              <w:t xml:space="preserve">Objective — What the clinician observes and measures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VITALS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BP / HR / RR / Temp / Weight / BMI — include what was measured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PHYSICAL EXAM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System-based findings. Document what was observed and measured. No interpretations here.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LABS / IMAGING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Results reviewed at this visit, if applicable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95"/>
        <w:gridCol w:w="8685"/>
        <w:tblGridChange w:id="0">
          <w:tblGrid>
            <w:gridCol w:w="1395"/>
            <w:gridCol w:w="86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1c2b2b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ffffff"/>
                <w:sz w:val="36"/>
                <w:szCs w:val="36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8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2"/>
                <w:szCs w:val="22"/>
                <w:rtl w:val="0"/>
              </w:rPr>
              <w:t xml:space="preserve">Assessment — Clinical reasoning and diagnosis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PRIMARY DIAGNOSIS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ICD-10-aligned diagnosis with specificity — not a symptom label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SECONDARY DIAGNOSES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Additional active problems addressed at this visit, if 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DIFFERENTIAL (IF APPLICABLE)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Alternative diagnoses considered and rationale for or against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MDM COMPLEXITY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Straightforward / Low / Moderate / High — per 2021 E&amp;M guidelines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95"/>
        <w:gridCol w:w="8685"/>
        <w:tblGridChange w:id="0">
          <w:tblGrid>
            <w:gridCol w:w="1395"/>
            <w:gridCol w:w="86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1c2b2b" w:val="clear"/>
            <w:tcMar>
              <w:top w:w="100.0" w:type="dxa"/>
              <w:left w:w="12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ffffff"/>
                <w:sz w:val="36"/>
                <w:szCs w:val="36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tcMar>
              <w:top w:w="100.0" w:type="dxa"/>
              <w:left w:w="180.0" w:type="dxa"/>
              <w:bottom w:w="1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2"/>
                <w:szCs w:val="22"/>
                <w:rtl w:val="0"/>
              </w:rPr>
              <w:t xml:space="preserve">Plan — Next steps, orders, and follow-up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MEDICATIONS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Name, dose, route, frequency, duration — new or changed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ORDERS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Labs, imaging, referrals — include clinical rationale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PATIENT 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What was discussed and patient's stated understanding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FOLLOW-UP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Timeframe, conditions for earlier return, next steps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4"/>
                <w:szCs w:val="14"/>
                <w:rtl w:val="0"/>
              </w:rPr>
              <w:t xml:space="preserve">CARE COORDINATION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4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1"/>
                <w:iCs w:val="1"/>
                <w:color w:val="999999"/>
                <w:sz w:val="17"/>
                <w:szCs w:val="17"/>
                <w:rtl w:val="0"/>
              </w:rPr>
              <w:t xml:space="preserve">Other providers contacted or notified, if applicable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2c2c2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8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60" w:line="240" w:lineRule="auto"/>
              <w:jc w:val="left"/>
              <w:rPr/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b w:val="0"/>
                <w:bCs w:val="0"/>
                <w:i w:val="0"/>
                <w:iCs w:val="0"/>
                <w:color w:val="1a1a1a"/>
                <w:sz w:val="20"/>
                <w:szCs w:val="20"/>
                <w:rtl w:val="0"/>
              </w:rPr>
              <w:t xml:space="preserve">Usage Notes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bCs w:val="0"/>
                <w:i w:val="0"/>
                <w:iCs w:val="0"/>
                <w:color w:val="666666"/>
                <w:sz w:val="18"/>
                <w:szCs w:val="18"/>
                <w:rtl w:val="0"/>
              </w:rPr>
              <w:t xml:space="preserve">Keep Subjective and Objective separate — avoid copying prior-visit language into Subjective without reviewing it. The MDM complexity field drives E&amp;M code selection under the 2021 CMS guidelines. Specialty-specific templates may restructure the Plan section: PT notes typically include functional goals and progress metrics not shown here.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jc w:val="left"/>
        <w:rPr/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color w:val="666666"/>
          <w:sz w:val="16"/>
          <w:szCs w:val="16"/>
          <w:rtl w:val="0"/>
        </w:rPr>
        <w:t xml:space="preserve">Provided by Commure Scribe  |  getscribe.commure.com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jc w:val="left"/>
        <w:rPr/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color w:val="666666"/>
          <w:sz w:val="16"/>
          <w:szCs w:val="16"/>
          <w:rtl w:val="0"/>
        </w:rPr>
        <w:t xml:space="preserve">For clinical and administrative use. This template does not constitute legal or medical advice.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tabs>
        <w:tab w:val="right" w:leader="none" w:pos="9360"/>
      </w:tabs>
      <w:spacing w:after="0" w:lineRule="auto"/>
      <w:jc w:val="left"/>
      <w:rPr/>
    </w:pPr>
    <w:r w:rsidDel="00000000" w:rsidR="00000000" w:rsidRPr="00000000">
      <w:rPr/>
      <w:drawing>
        <wp:inline distB="0" distT="0" distL="0" distR="0">
          <wp:extent cx="819150" cy="190500"/>
          <wp:effectExtent b="0" l="0" r="0" t="0"/>
          <wp:docPr descr="Commure logo" id="3" name="image1.png"/>
          <a:graphic>
            <a:graphicData uri="http://schemas.openxmlformats.org/drawingml/2006/picture">
              <pic:pic>
                <pic:nvPicPr>
                  <pic:cNvPr descr="Commure 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15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tabs>
        <w:tab w:val="right" w:leader="none" w:pos="9360"/>
      </w:tabs>
      <w:spacing w:after="0" w:lineRule="auto"/>
      <w:jc w:val="left"/>
      <w:rPr/>
    </w:pPr>
    <w:r w:rsidDel="00000000" w:rsidR="00000000" w:rsidRPr="00000000">
      <w:rPr/>
      <w:drawing>
        <wp:inline distB="0" distT="0" distL="0" distR="0">
          <wp:extent cx="819150" cy="190500"/>
          <wp:effectExtent b="0" l="0" r="0" t="0"/>
          <wp:docPr descr="Commure logo" id="2" name="image1.png"/>
          <a:graphic>
            <a:graphicData uri="http://schemas.openxmlformats.org/drawingml/2006/picture">
              <pic:pic>
                <pic:nvPicPr>
                  <pic:cNvPr descr="Commure 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15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spacing w:after="0" w:lineRule="auto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19050</wp:posOffset>
          </wp:positionH>
          <wp:positionV relativeFrom="page">
            <wp:posOffset>19050</wp:posOffset>
          </wp:positionV>
          <wp:extent cx="7724775" cy="1971675"/>
          <wp:effectExtent b="0" l="0" r="0" t="0"/>
          <wp:wrapNone/>
          <wp:docPr descr="Header banner" id="1" name="image2.png"/>
          <a:graphic>
            <a:graphicData uri="http://schemas.openxmlformats.org/drawingml/2006/picture">
              <pic:pic>
                <pic:nvPicPr>
                  <pic:cNvPr descr="Header banner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1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spacing w:after="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SOAP Note Template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independent and group practices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