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line="240" w:lineRule="auto"/>
      </w:pPr>
    </w:p>
    <w:p>
      <w:pPr>
        <w:spacing w:after="60" w:line="240" w:lineRule="auto"/>
      </w:pPr>
    </w:p>
    <w:p>
      <w:pPr>
        <w:spacing w:after="60" w:line="240" w:lineRule="auto"/>
      </w:pPr>
    </w:p>
    <w:p>
      <w:pPr>
        <w:spacing w:after="60" w:line="240" w:lineRule="auto"/>
      </w:pPr>
    </w:p>
    <w:p>
      <w:pPr>
        <w:spacing w:after="60" w:line="240" w:lineRule="auto"/>
      </w:pPr>
    </w:p>
    <w:p>
      <w:pPr>
        <w:spacing w:after="120" w:before="0"/>
      </w:pPr>
      <w:r>
        <w:rPr>
          <w:rFonts w:ascii="Montserrat" w:hAnsi="Montserrat" w:cs="Montserrat" w:eastAsia="Montserrat"/>
          <w:sz w:val="18"/>
          <w:szCs w:val="18"/>
          <w:color w:val="666666"/>
        </w:rPr>
        <w:t xml:space="preserve">Use this log at intake, at every follow-up visit, and at care transitions. Update entries when medications are started, changed, or stopped. Capture prescriptions, over-the-counter (OTC) drugs, vitamins, supplements, and herbal products.</w:t>
      </w:r>
    </w:p>
    <w:p>
      <w:pPr>
        <w:spacing w:after="120" w:before="0"/>
      </w:pPr>
      <w:r>
        <w:rPr>
          <w:rFonts w:ascii="Montserrat" w:hAnsi="Montserrat" w:cs="Montserrat" w:eastAsia="Montserrat"/>
          <w:sz w:val="16"/>
          <w:szCs w:val="16"/>
          <w:color w:val="666666"/>
        </w:rPr>
        <w:t xml:space="preserve">When the HIPAA minimum necessary standard applies (45 CFR 164.502(b)), it covers uses and disclosures for payment and operations, not disclosures for treatment. Some states and facility types require specific medication log fields (for example, WAC 388-76-10475 for Washington adult family homes). Verify your jurisdiction and setting.</w:t>
      </w:r>
    </w:p>
    <w:p>
      <w:pPr>
        <w:spacing w:after="200" w:before="0"/>
      </w:pPr>
      <w:r>
        <w:rPr>
          <w:rFonts w:ascii="Montserrat" w:hAnsi="Montserrat" w:cs="Montserrat" w:eastAsia="Montserrat"/>
          <w:sz w:val="16"/>
          <w:szCs w:val="16"/>
          <w:color w:val="666666"/>
        </w:rPr>
        <w:t xml:space="preserve">Version 1.0  ·  Last updated April 2026  ·  HIPAA requires certain compliance documentation be retained at least six years (45 CFR 164.530(j)). Medical record retention is separate and governed by state law, typically 6 to 10 years for adults and longer for minors.</w:t>
      </w:r>
    </w:p>
    <w:tbl>
      <w:tblPr>
        <w:tblW w:w="10080" w:type="dxa"/>
        <w:tblLayout w:type="fixed"/>
        <w:tblLook w:val="04A0"/>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tcPr>
          <w:p>
            <w:pPr>
              <w:spacing w:after="60" w:before="60"/>
            </w:pPr>
            <w:r>
              <w:rPr>
                <w:rFonts w:ascii="Montserrat SemiBold" w:hAnsi="Montserrat SemiBold" w:cs="Montserrat SemiBold" w:eastAsia="Montserrat SemiBold"/>
                <w:b/>
                <w:bCs/>
                <w:sz w:val="22"/>
                <w:szCs w:val="22"/>
                <w:color w:val="1A1A1A"/>
              </w:rPr>
              <w:t xml:space="preserve">Practice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Practice legal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[Practice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Phone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[Phone]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Fax</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[Fax]</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Address</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[Street, City, State, ZIP]</w:t>
            </w:r>
          </w:p>
        </w:tc>
      </w:tr>
    </w:tbl>
    <w:p>
      <w:pPr>
        <w:spacing w:after="120" w:line="240" w:lineRule="auto"/>
      </w:pPr>
    </w:p>
    <w:tbl>
      <w:tblPr>
        <w:tblW w:w="10080" w:type="dxa"/>
        <w:tblLayout w:type="fixed"/>
        <w:tblLook w:val="04A0"/>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tcPr>
          <w:p>
            <w:pPr>
              <w:spacing w:after="60" w:before="60"/>
            </w:pPr>
            <w:r>
              <w:rPr>
                <w:rFonts w:ascii="Montserrat SemiBold" w:hAnsi="Montserrat SemiBold" w:cs="Montserrat SemiBold" w:eastAsia="Montserrat SemiBold"/>
                <w:b/>
                <w:bCs/>
                <w:sz w:val="22"/>
                <w:szCs w:val="22"/>
                <w:color w:val="1A1A1A"/>
              </w:rPr>
              <w:t xml:space="preserve">Patient</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Patient full legal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[Last, First]</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Date of birth</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Medical record number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[MRN]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Primary care provider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[Provider name]</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Date log initiated</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[MM / DD / YYYY]</w:t>
            </w:r>
          </w:p>
        </w:tc>
      </w:tr>
    </w:tbl>
    <w:p>
      <w:pPr>
        <w:spacing w:after="120" w:line="240" w:lineRule="auto"/>
      </w:pPr>
    </w:p>
    <w:tbl>
      <w:tblPr>
        <w:tblW w:w="10080" w:type="dxa"/>
        <w:tblLayout w:type="fixed"/>
        <w:tblLook w:val="04A0"/>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tcPr>
          <w:p>
            <w:pPr>
              <w:spacing w:after="60" w:before="60"/>
            </w:pPr>
            <w:r>
              <w:rPr>
                <w:rFonts w:ascii="Montserrat SemiBold" w:hAnsi="Montserrat SemiBold" w:cs="Montserrat SemiBold" w:eastAsia="Montserrat SemiBold"/>
                <w:b/>
                <w:bCs/>
                <w:sz w:val="22"/>
                <w:szCs w:val="22"/>
                <w:color w:val="1A1A1A"/>
              </w:rPr>
              <w:t xml:space="preserve">Allergies and Adverse Reactions</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Drug, food, and environmental allergies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[For each allergy, write the reaction and date (e.g., "Penicillin: hives, 04/2025")]</w:t>
            </w:r>
          </w:p>
        </w:tc>
      </w:tr>
      <w:tr>
        <w:tc>
          <w:tcPr>
            <w:tcW w:w="10080" w:type="dxa"/>
            <w:gridSpan w:val="2"/>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0"/>
            </w:pPr>
            <w:r>
              <w:rPr>
                <w:rFonts w:ascii="Montserrat" w:hAnsi="Montserrat" w:cs="Montserrat" w:eastAsia="Montserrat"/>
                <w:sz w:val="16"/>
                <w:szCs w:val="16"/>
                <w:color w:val="666666"/>
              </w:rPr>
              <w:t xml:space="preserve">Placing allergies at the top allows clinicians to quickly identify contraindications.</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No known allergies</w:t>
            </w:r>
          </w:p>
        </w:tc>
      </w:tr>
    </w:tbl>
    <w:p>
      <w:pPr>
        <w:spacing w:after="120" w:line="240" w:lineRule="auto"/>
      </w:pPr>
    </w:p>
    <w:tbl>
      <w:tblPr>
        <w:tblW w:w="10080" w:type="dxa"/>
        <w:tblLayout w:type="fixed"/>
        <w:tblLook w:val="04A0"/>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tcPr>
          <w:p>
            <w:pPr>
              <w:spacing w:after="60" w:before="60"/>
            </w:pPr>
            <w:r>
              <w:rPr>
                <w:rFonts w:ascii="Montserrat SemiBold" w:hAnsi="Montserrat SemiBold" w:cs="Montserrat SemiBold" w:eastAsia="Montserrat SemiBold"/>
                <w:b/>
                <w:bCs/>
                <w:sz w:val="22"/>
                <w:szCs w:val="22"/>
                <w:color w:val="1A1A1A"/>
              </w:rPr>
              <w:t xml:space="preserve">Active Medications</w:t>
            </w:r>
          </w:p>
        </w:tc>
      </w:tr>
    </w:tbl>
    <w:p>
      <w:pPr>
        <w:spacing w:after="80" w:before="0"/>
      </w:pPr>
      <w:r>
        <w:rPr>
          <w:rFonts w:ascii="Montserrat" w:hAnsi="Montserrat" w:cs="Montserrat" w:eastAsia="Montserrat"/>
          <w:sz w:val="16"/>
          <w:szCs w:val="16"/>
          <w:color w:val="666666"/>
        </w:rPr>
        <w:t xml:space="preserve">Use the generic name when possible. Include the brand name if clinically relevant or for non-substitutable formulations. Include prescriptions, OTC drugs, vitamins, supplements, and herbal products. Follow your organization's medication documentation policy.</w:t>
      </w:r>
    </w:p>
    <w:tbl>
      <w:tblPr>
        <w:tblW w:w="10080" w:type="dxa"/>
        <w:tblLayout w:type="fixed"/>
        <w:tblLook w:val="04A0"/>
      </w:tblPr>
      <w:tblGrid>
        <w:gridCol w:w="2800"/>
        <w:gridCol w:w="2480"/>
        <w:gridCol w:w="2400"/>
        <w:gridCol w:w="2400"/>
      </w:tblGrid>
      <w:tr>
        <w:trPr>
          <w:trHeight w:val="300" w:hRule="atLeast"/>
        </w:trPr>
        <w:tc>
          <w:tcPr>
            <w:tcW w:w="280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Drug Name (Generic)</w:t>
            </w:r>
          </w:p>
        </w:tc>
        <w:tc>
          <w:tcPr>
            <w:tcW w:w="248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Dose / Units / Route</w:t>
            </w:r>
          </w:p>
        </w:tc>
        <w:tc>
          <w:tcPr>
            <w:tcW w:w="240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Frequency / Times</w:t>
            </w:r>
          </w:p>
        </w:tc>
        <w:tc>
          <w:tcPr>
            <w:tcW w:w="240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Indication / Prescriber</w:t>
            </w:r>
          </w:p>
        </w:tc>
      </w:tr>
      <w:tr>
        <w:trPr>
          <w:trHeight w:val="360" w:hRule="atLeast"/>
        </w:trPr>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280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8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bl>
    <w:p>
      <w:pPr>
        <w:spacing w:after="120" w:line="240" w:lineRule="auto"/>
      </w:pPr>
    </w:p>
    <w:tbl>
      <w:tblPr>
        <w:tblW w:w="10080" w:type="dxa"/>
        <w:tblLayout w:type="fixed"/>
        <w:tblLook w:val="04A0"/>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tcPr>
          <w:p>
            <w:pPr>
              <w:spacing w:after="60" w:before="60"/>
            </w:pPr>
            <w:r>
              <w:rPr>
                <w:rFonts w:ascii="Montserrat SemiBold" w:hAnsi="Montserrat SemiBold" w:cs="Montserrat SemiBold" w:eastAsia="Montserrat SemiBold"/>
                <w:b/>
                <w:bCs/>
                <w:sz w:val="22"/>
                <w:szCs w:val="22"/>
                <w:color w:val="1A1A1A"/>
              </w:rPr>
              <w:t xml:space="preserve">OTC Drugs, Vitamins, Supplements, and Herbal Products</w:t>
            </w:r>
          </w:p>
        </w:tc>
      </w:tr>
    </w:tbl>
    <w:p>
      <w:pPr>
        <w:spacing w:after="80" w:before="0"/>
      </w:pPr>
      <w:r>
        <w:rPr>
          <w:rFonts w:ascii="Montserrat" w:hAnsi="Montserrat" w:cs="Montserrat" w:eastAsia="Montserrat"/>
          <w:sz w:val="16"/>
          <w:szCs w:val="16"/>
          <w:color w:val="666666"/>
        </w:rPr>
        <w:t xml:space="preserve">Patients may not report these products unless specifically asked. Prompt by category to improve completeness. Record every product the patient takes, even occasional or as-needed use.</w:t>
      </w:r>
    </w:p>
    <w:tbl>
      <w:tblPr>
        <w:tblW w:w="10080" w:type="dxa"/>
        <w:tblLayout w:type="fixed"/>
        <w:tblLook w:val="04A0"/>
      </w:tblPr>
      <w:tblGrid>
        <w:gridCol w:w="2800"/>
        <w:gridCol w:w="2400"/>
        <w:gridCol w:w="2080"/>
        <w:gridCol w:w="2800"/>
      </w:tblGrid>
      <w:tr>
        <w:trPr>
          <w:trHeight w:val="300" w:hRule="atLeast"/>
        </w:trPr>
        <w:tc>
          <w:tcPr>
            <w:tcW w:w="280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Product Name</w:t>
            </w:r>
          </w:p>
        </w:tc>
        <w:tc>
          <w:tcPr>
            <w:tcW w:w="240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Dose / Form</w:t>
            </w:r>
          </w:p>
        </w:tc>
        <w:tc>
          <w:tcPr>
            <w:tcW w:w="208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Frequency</w:t>
            </w:r>
          </w:p>
        </w:tc>
        <w:tc>
          <w:tcPr>
            <w:tcW w:w="280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Reason for Taking</w:t>
            </w:r>
          </w:p>
        </w:tc>
      </w:tr>
      <w:tr>
        <w:trPr>
          <w:trHeight w:val="360" w:hRule="atLeast"/>
        </w:trPr>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0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0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0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8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280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40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08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80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bl>
    <w:p>
      <w:pPr>
        <w:spacing w:after="120" w:line="240" w:lineRule="auto"/>
      </w:pPr>
    </w:p>
    <w:tbl>
      <w:tblPr>
        <w:tblW w:w="10080" w:type="dxa"/>
        <w:tblLayout w:type="fixed"/>
        <w:tblLook w:val="04A0"/>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tcPr>
          <w:p>
            <w:pPr>
              <w:spacing w:after="60" w:before="60"/>
            </w:pPr>
            <w:r>
              <w:rPr>
                <w:rFonts w:ascii="Montserrat SemiBold" w:hAnsi="Montserrat SemiBold" w:cs="Montserrat SemiBold" w:eastAsia="Montserrat SemiBold"/>
                <w:b/>
                <w:bCs/>
                <w:sz w:val="22"/>
                <w:szCs w:val="22"/>
                <w:color w:val="1A1A1A"/>
              </w:rPr>
              <w:t xml:space="preserve">Medication Changes, Stops, and Refusals</w:t>
            </w:r>
          </w:p>
        </w:tc>
      </w:tr>
    </w:tbl>
    <w:p>
      <w:pPr>
        <w:spacing w:after="80" w:before="0"/>
      </w:pPr>
      <w:r>
        <w:rPr>
          <w:rFonts w:ascii="Montserrat" w:hAnsi="Montserrat" w:cs="Montserrat" w:eastAsia="Montserrat"/>
          <w:sz w:val="16"/>
          <w:szCs w:val="16"/>
          <w:color w:val="666666"/>
        </w:rPr>
        <w:t xml:space="preserve">Document every change with the date and the person making the change. Include refusals or held doses with the reason.</w:t>
      </w:r>
    </w:p>
    <w:tbl>
      <w:tblPr>
        <w:tblW w:w="10080" w:type="dxa"/>
        <w:tblLayout w:type="fixed"/>
        <w:tblLook w:val="04A0"/>
      </w:tblPr>
      <w:tblGrid>
        <w:gridCol w:w="1400"/>
        <w:gridCol w:w="2680"/>
        <w:gridCol w:w="4000"/>
        <w:gridCol w:w="2000"/>
      </w:tblGrid>
      <w:tr>
        <w:trPr>
          <w:trHeight w:val="300" w:hRule="atLeast"/>
        </w:trPr>
        <w:tc>
          <w:tcPr>
            <w:tcW w:w="140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Date</w:t>
            </w:r>
          </w:p>
        </w:tc>
        <w:tc>
          <w:tcPr>
            <w:tcW w:w="268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Drug Name</w:t>
            </w:r>
          </w:p>
        </w:tc>
        <w:tc>
          <w:tcPr>
            <w:tcW w:w="400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Change Type / Reason</w:t>
            </w:r>
          </w:p>
        </w:tc>
        <w:tc>
          <w:tcPr>
            <w:tcW w:w="200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Initials / Signature</w:t>
            </w:r>
          </w:p>
        </w:tc>
      </w:tr>
      <w:tr>
        <w:trPr>
          <w:trHeight w:val="360" w:hRule="atLeast"/>
        </w:trPr>
        <w:tc>
          <w:tcPr>
            <w:tcW w:w="1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6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4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1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6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4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1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6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4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1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6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4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14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6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4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140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68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400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00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bl>
    <w:p>
      <w:pPr>
        <w:spacing w:after="120" w:line="240" w:lineRule="auto"/>
      </w:pPr>
    </w:p>
    <w:tbl>
      <w:tblPr>
        <w:tblW w:w="10080" w:type="dxa"/>
        <w:tblLayout w:type="fixed"/>
        <w:tblLook w:val="04A0"/>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tcPr>
          <w:p>
            <w:pPr>
              <w:spacing w:after="60" w:before="60"/>
            </w:pPr>
            <w:r>
              <w:rPr>
                <w:rFonts w:ascii="Montserrat SemiBold" w:hAnsi="Montserrat SemiBold" w:cs="Montserrat SemiBold" w:eastAsia="Montserrat SemiBold"/>
                <w:b/>
                <w:bCs/>
                <w:sz w:val="22"/>
                <w:szCs w:val="22"/>
                <w:color w:val="1A1A1A"/>
              </w:rPr>
              <w:t xml:space="preserve">Administration Tracking (Facilities Only)</w:t>
            </w:r>
          </w:p>
        </w:tc>
      </w:tr>
    </w:tbl>
    <w:p>
      <w:pPr>
        <w:spacing w:after="80" w:before="0"/>
      </w:pPr>
      <w:r>
        <w:rPr>
          <w:rFonts w:ascii="Montserrat" w:hAnsi="Montserrat" w:cs="Montserrat" w:eastAsia="Montserrat"/>
          <w:sz w:val="16"/>
          <w:szCs w:val="16"/>
          <w:color w:val="666666"/>
        </w:rPr>
        <w:t xml:space="preserve">Complete one row per administered, refused, or held dose. Some states and facility types have specific documentation requirements (for example, WAC 388-76-10475 for Washington adult family homes). Verify your jurisdiction and setting.</w:t>
      </w:r>
    </w:p>
    <w:tbl>
      <w:tblPr>
        <w:tblW w:w="10080" w:type="dxa"/>
        <w:tblLayout w:type="fixed"/>
        <w:tblLook w:val="04A0"/>
      </w:tblPr>
      <w:tblGrid>
        <w:gridCol w:w="1900"/>
        <w:gridCol w:w="2680"/>
        <w:gridCol w:w="2500"/>
        <w:gridCol w:w="3000"/>
      </w:tblGrid>
      <w:tr>
        <w:trPr>
          <w:trHeight w:val="300" w:hRule="atLeast"/>
        </w:trPr>
        <w:tc>
          <w:tcPr>
            <w:tcW w:w="190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Date / Time</w:t>
            </w:r>
          </w:p>
        </w:tc>
        <w:tc>
          <w:tcPr>
            <w:tcW w:w="268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Drug Name</w:t>
            </w:r>
          </w:p>
        </w:tc>
        <w:tc>
          <w:tcPr>
            <w:tcW w:w="250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Dose / Route</w:t>
            </w:r>
          </w:p>
        </w:tc>
        <w:tc>
          <w:tcPr>
            <w:tcW w:w="3000" w:type="dxa"/>
            <w:tcBorders>
              <w:top w:val="single" w:sz="8" w:space="0" w:color="D9D9D9"/>
              <w:bottom w:val="single" w:sz="8" w:space="0" w:color="D9D9D9"/>
              <w:left w:val="single" w:sz="8" w:space="0" w:color="FFFFFF"/>
              <w:right w:val="single" w:sz="8" w:space="0" w:color="FFFFFF"/>
            </w:tcBorders>
            <w:shd w:val="clear" w:color="auto" w:fill="F2F2F2"/>
            <w:tcMar>
              <w:top w:w="100" w:type="dxa"/>
              <w:bottom w:w="100" w:type="dxa"/>
              <w:left w:w="100" w:type="dxa"/>
              <w:right w:w="100" w:type="dxa"/>
            </w:tcMar>
          </w:tcPr>
          <w:p>
            <w:pPr>
              <w:spacing w:after="40" w:before="40"/>
            </w:pPr>
            <w:r>
              <w:rPr>
                <w:rFonts w:ascii="Montserrat SemiBold" w:hAnsi="Montserrat SemiBold" w:cs="Montserrat SemiBold" w:eastAsia="Montserrat SemiBold"/>
                <w:b/>
                <w:bCs/>
                <w:caps/>
                <w:spacing w:val="20"/>
                <w:sz w:val="14"/>
                <w:szCs w:val="14"/>
                <w:color w:val="1A1A1A"/>
              </w:rPr>
              <w:t xml:space="preserve">Staff Initials / Refusal</w:t>
            </w:r>
          </w:p>
        </w:tc>
      </w:tr>
      <w:tr>
        <w:trPr>
          <w:trHeight w:val="360" w:hRule="atLeast"/>
        </w:trPr>
        <w:tc>
          <w:tcPr>
            <w:tcW w:w="19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6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5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3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19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6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5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3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19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68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5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3000" w:type="dxa"/>
            <w:tcBorders>
              <w:top w:val="single" w:sz="8" w:space="0" w:color="EFEFE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r>
        <w:trPr>
          <w:trHeight w:val="360" w:hRule="atLeast"/>
        </w:trPr>
        <w:tc>
          <w:tcPr>
            <w:tcW w:w="190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68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250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c>
          <w:tcPr>
            <w:tcW w:w="3000" w:type="dxa"/>
            <w:tcBorders>
              <w:top w:val="single" w:sz="8" w:space="0" w:color="EFEFE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 </w:t>
            </w:r>
          </w:p>
        </w:tc>
      </w:tr>
    </w:tbl>
    <w:p>
      <w:pPr>
        <w:spacing w:after="120" w:line="240" w:lineRule="auto"/>
      </w:pPr>
    </w:p>
    <w:tbl>
      <w:tblPr>
        <w:tblW w:w="10080" w:type="dxa"/>
        <w:tblLayout w:type="fixed"/>
        <w:tblLook w:val="04A0"/>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tcPr>
          <w:p>
            <w:pPr>
              <w:spacing w:after="60" w:before="60"/>
            </w:pPr>
            <w:r>
              <w:rPr>
                <w:rFonts w:ascii="Montserrat SemiBold" w:hAnsi="Montserrat SemiBold" w:cs="Montserrat SemiBold" w:eastAsia="Montserrat SemiBold"/>
                <w:b/>
                <w:bCs/>
                <w:sz w:val="22"/>
                <w:szCs w:val="22"/>
                <w:color w:val="1A1A1A"/>
              </w:rPr>
              <w:t xml:space="preserve">Reconciliation and Authentication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Date of last reconciliation</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Reviewing clinician</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[Name and credentials]</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Reviewing clinician signature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[Sign]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Provider signature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[Sign]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Date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Printed name and credentials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[Print name, title]</w:t>
            </w:r>
          </w:p>
        </w:tc>
      </w:tr>
      <w:tr>
        <w:tc>
          <w:tcPr>
            <w:tcW w:w="10080" w:type="dxa"/>
            <w:gridSpan w:val="2"/>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0"/>
            </w:pPr>
            <w:r>
              <w:rPr>
                <w:rFonts w:ascii="Montserrat" w:hAnsi="Montserrat" w:cs="Montserrat" w:eastAsia="Montserrat"/>
                <w:sz w:val="16"/>
                <w:szCs w:val="16"/>
                <w:color w:val="666666"/>
              </w:rPr>
              <w:t xml:space="preserve">Sign and date medication reconciliation reviews per your organization's policy and applicable accreditation or regulatory standards (for example, Joint Commission or CMS). Medical record retention is governed by state law. HIPAA's six-year rule (45 CFR 164.530) applies to compliance documentation, not patient medical records.</w:t>
            </w:r>
          </w:p>
        </w:tc>
      </w:tr>
    </w:tbl>
    <w:p>
      <w:pPr>
        <w:spacing w:after="200" w:line="240" w:lineRule="auto"/>
      </w:pPr>
    </w:p>
    <w:p>
      <w:pPr>
        <w:spacing w:after="80" w:before="0"/>
      </w:pPr>
      <w:r>
        <w:rPr>
          <w:rFonts w:ascii="Montserrat" w:hAnsi="Montserrat" w:cs="Montserrat" w:eastAsia="Montserrat"/>
          <w:sz w:val="16"/>
          <w:szCs w:val="16"/>
          <w:color w:val="666666"/>
        </w:rPr>
        <w:t xml:space="preserve">Provided by Commure Scribe  |  getscribe.commure.com</w:t>
      </w:r>
    </w:p>
    <w:p>
      <w:pPr>
        <w:spacing w:after="80" w:before="0"/>
      </w:pPr>
      <w:r>
        <w:rPr>
          <w:rFonts w:ascii="Montserrat" w:hAnsi="Montserrat" w:cs="Montserrat" w:eastAsia="Montserrat"/>
          <w:sz w:val="16"/>
          <w:szCs w:val="16"/>
          <w:color w:val="666666"/>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p>
    <w:p>
      <w:pPr>
        <w:spacing w:after="80" w:before="0"/>
      </w:pPr>
      <w:r>
        <w:rPr>
          <w:rFonts w:ascii="Montserrat" w:hAnsi="Montserrat" w:cs="Montserrat" w:eastAsia="Montserrat"/>
          <w:sz w:val="16"/>
          <w:szCs w:val="16"/>
          <w:color w:val="666666"/>
        </w:rPr>
        <w:t xml:space="preserve">Before using this template in a clinical or operational setting, have it reviewed by your compliance officer or legal counsel, verify that it meets your state and local regulatory requirements, and customize it to reflect your organization's specific policies and procedures.</w:t>
      </w:r>
    </w:p>
    <w:p>
      <w:pPr>
        <w:spacing w:after="80" w:before="0"/>
      </w:pPr>
      <w:r>
        <w:rPr>
          <w:rFonts w:ascii="Montserrat" w:hAnsi="Montserrat" w:cs="Montserrat" w:eastAsia="Montserrat"/>
          <w:sz w:val="16"/>
          <w:szCs w:val="16"/>
          <w:color w:val="666666"/>
        </w:rPr>
        <w:t xml:space="preserve">Commure, Inc. makes no warranties, express or implied, regarding the accuracy, completeness, or suitability of this template for any particular purpose. Use of this template is at your own risk. Commure, Inc. shall not be liable for any damages arising from the use of this template.</w:t>
      </w:r>
    </w:p>
    <w:p>
      <w:pPr>
        <w:spacing w:after="80" w:before="0"/>
      </w:pPr>
      <w:r>
        <w:rPr>
          <w:rFonts w:ascii="Montserrat" w:hAnsi="Montserrat" w:cs="Montserrat" w:eastAsia="Montserrat"/>
          <w:sz w:val="16"/>
          <w:szCs w:val="16"/>
          <w:color w:val="666666"/>
        </w:rPr>
        <w:t xml:space="preserve">© 2026 Commure, Inc. All rights reserved.</w:t>
      </w:r>
    </w:p>
    <w:sectPr>
      <w:headerReference r:id="rId6" w:type="default"/>
      <w:headerReference r:id="rId7" w:type="first"/>
      <w:footerReference r:id="rId8" w:type="default"/>
      <w:footerReference r:id="rId9" w:type="first"/>
      <w:headerReference w:type="even" r:id="rId10"/>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Medication Log</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Running record of every medication a patient takes, with dose, route, frequency, and timing</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Medication Log</w:t>
      <w:br w:type="textWrapping"/>
    </w:r>
    <w:r w:rsidDel="00000000" w:rsidR="00000000" w:rsidRPr="00000000">
      <w:rPr>
        <w:rFonts w:ascii="Montserrat" w:cs="Montserrat" w:eastAsia="Montserrat" w:hAnsi="Montserrat"/>
        <w:color w:val="ffffff"/>
        <w:sz w:val="20"/>
        <w:szCs w:val="20"/>
        <w:rtl w:val="0"/>
      </w:rPr>
      <w:t xml:space="preserve">Running record of every medication a patient takes, with dose, route, frequency, and timing</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10"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