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14="http://schemas.microsoft.com/office/word/2010/wordml">
  <w:body>
    <w:p>
      <w:pPr>
        <w:widowControl w:val="0"/>
        <w:spacing w:line="240" w:lineRule="auto"/>
        <w:rPr>
          <w:rFonts w:ascii="Montserrat" w:cs="Montserrat" w:eastAsia="Montserrat" w:hAnsi="Montserrat"/>
        </w:rPr>
      </w:pPr>
      <w:r>
        <w:rPr>
          <w:rtl w:val="0"/>
        </w:rPr>
      </w:r>
    </w:p>
    <w:p>
      <w:pPr>
        <w:widowControl w:val="0"/>
        <w:spacing w:before="40" w:after="40" w:line="240" w:lineRule="auto"/>
        <w:rPr>
          <w:rFonts w:ascii="Montserrat" w:cs="Montserrat" w:eastAsia="Montserrat" w:hAnsi="Montserrat"/>
          <w:color w:val="6B6B6B"/>
          <w:sz w:val="18"/>
          <w:szCs w:val="18"/>
        </w:rPr>
      </w:pPr>
      <w:r>
        <w:rPr>
          <w:rFonts w:ascii="Montserrat" w:cs="Montserrat" w:eastAsia="Montserrat" w:hAnsi="Montserrat"/>
          <w:color w:val="6B6B6B"/>
          <w:sz w:val="18"/>
          <w:szCs w:val="18"/>
          <w:rtl w:val="0"/>
        </w:rPr>
        <w:t xml:space="preserve">This form is fillable. The patient checks one box per item. The clinician sums the scores (0 to 27) and uses the interpretation guide below. Item 9 (self-harm) requires a safety follow-up regardless of total score if any response is above 0. The PHQ-9 is public domain.</w:t>
      </w:r>
    </w:p>
    <w:p>
      <w:pPr>
        <w:widowControl w:val="0"/>
        <w:spacing w:before="40" w:after="40" w:line="240" w:lineRule="auto"/>
        <w:rPr>
          <w:rFonts w:ascii="Montserrat" w:cs="Montserrat" w:eastAsia="Montserrat" w:hAnsi="Montserrat"/>
          <w:color w:val="6B6B6B"/>
          <w:sz w:val="18"/>
          <w:szCs w:val="18"/>
        </w:rPr>
      </w:pPr>
      <w:r>
        <w:rPr>
          <w:rFonts w:ascii="Montserrat" w:cs="Montserrat" w:eastAsia="Montserrat" w:hAnsi="Montserrat"/>
          <w:color w:val="6B6B6B"/>
          <w:sz w:val="18"/>
          <w:szCs w:val="18"/>
          <w:rtl w:val="0"/>
        </w:rPr>
        <w:t xml:space="preserve">Patient access notice: under federal information blocking rules (45 CFR 171), the patient can view this record through the patient portal. Write with that audience in mind.</w:t>
      </w:r>
    </w:p>
    <w:p>
      <w:pPr>
        <w:widowControl w:val="0"/>
        <w:spacing w:before="40" w:after="40" w:line="240" w:lineRule="auto"/>
        <w:rPr>
          <w:rFonts w:ascii="Montserrat" w:cs="Montserrat" w:eastAsia="Montserrat" w:hAnsi="Montserrat"/>
          <w:color w:val="6B6B6B"/>
          <w:sz w:val="18"/>
          <w:szCs w:val="18"/>
        </w:rPr>
      </w:pPr>
      <w:r>
        <w:rPr>
          <w:rFonts w:ascii="Montserrat" w:cs="Montserrat" w:eastAsia="Montserrat" w:hAnsi="Montserrat"/>
          <w:color w:val="6B6B6B"/>
          <w:sz w:val="18"/>
          <w:szCs w:val="18"/>
          <w:rtl w:val="0"/>
        </w:rPr>
        <w:t xml:space="preserve">Electronic security: once saved electronically, this file holds protected health information. Apply your practice's HIPAA Security Rule safeguards (access controls, encryption at rest, audit logging) per 45 CFR 164.302-318.</w:t>
      </w:r>
    </w:p>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Patient Information</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PATIENT NAME</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[Last, First]</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DATE OF BIRTH</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DATE COMPLETED</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Over the Last 2 Weeks, How Often Have You Been Bothered by the Following?</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1. Little interest or pleasure in doing things</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2. Feeling down, depressed, or hopeless</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3. Trouble falling or staying asleep, or sleeping too much</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4. Feeling tired or having little energy</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5. Poor appetite or overeating</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6. Feeling bad about yourself, or that you are a failure or have let yourself or your family down</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7. Trouble concentrating on things, such as reading the newspaper or watching television</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8. Moving or speaking so slowly that other people could have noticed; or the opposite, being so fidgety or restless that you have been moving around a lot more than usual</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9. Thoughts that you would be better off dead or of hurting yourself in some way</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at all (0)   ☐ Several days (1)   ☐ More than half the days (2)   ☐ Nearly every day (3)</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Total Score</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SUM OF ALL RESPONSES (0 TO 27)</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[Total]</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SEVERITY CATEGORY</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[Minimal / Mild / Moderate / Mod. Severe / Severe]</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Functional Impact</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DIFFICULTY THESE PROBLEMS CAUSED</w:t>
            </w:r>
          </w:p>
        </w:tc>
        <w:tc>
          <w:tcPr>
            <w:tcBorders>
              <w:top w:color="d9d9d9"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Not difficult    ☐ Somewhat    ☐ Very    ☐ Extremely</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Scoring Interpretation</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0–4</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Minimal or none</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5–9</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Mild depression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10–14</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Moderate depression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15–19</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Moderately severe depression</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20–27</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Severe depression</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Clinical Action Thresholds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1000"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SCORE ≥ 10</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Positive screen for major depression (~88% sensitivity and specificity). Confirm with clinical interview.</w:t>
            </w:r>
          </w:p>
        </w:tc>
      </w:tr>
      <w:tr>
        <w:trPr>
          <w:cantSplit w:val="0"/>
          <w:trHeight w:val="1000"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ITEM 9 SCORE &gt; 0</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Conduct a full suicide risk assessment and complete a written safety plan, regardless of total score.</w:t>
            </w:r>
          </w:p>
        </w:tc>
      </w:tr>
      <w:tr>
        <w:trPr>
          <w:cantSplit w:val="0"/>
          <w:trHeight w:val="1000"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CHANGE ≈ 5 POINTS</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Commonly cited threshold for clinically meaningful change between visits.</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Attribution &amp; Provider Sign-Off</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1000"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INSTRUMENT</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PHQ-9 is in the public domain (Kroenke, Spitzer, Williams; developed with an educational grant from Pfizer Inc.). No permission required for clinical use.</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REVIEWING PROVIDER</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[Full name and credentials]</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DATE</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bl>
    <w:p>
      <w:pPr>
        <w:widowControl w:val="0"/>
        <w:spacing w:line="240" w:lineRule="auto"/>
        <w:rPr>
          <w:rFonts w:ascii="Montserrat" w:cs="Montserrat" w:eastAsia="Montserrat" w:hAnsi="Montserrat"/>
        </w:rPr>
      </w:pPr>
      <w:r>
        <w:rPr>
          <w:rtl w:val="0"/>
        </w:rPr>
      </w:r>
    </w:p>
    <w:p>
      <w:pPr>
        <w:widowControl w:val="0"/>
        <w:spacing w:before="40" w:after="40" w:line="240" w:lineRule="auto"/>
        <w:rPr>
          <w:rFonts w:ascii="Montserrat" w:cs="Montserrat" w:eastAsia="Montserrat" w:hAnsi="Montserrat"/>
          <w:color w:val="666666"/>
          <w:sz w:val="16"/>
          <w:szCs w:val="16"/>
        </w:rPr>
      </w:pPr>
      <w:r>
        <w:rPr>
          <w:rFonts w:ascii="Montserrat" w:cs="Montserrat" w:eastAsia="Montserrat" w:hAnsi="Montserrat"/>
          <w:color w:val="666666"/>
          <w:sz w:val="16"/>
          <w:szCs w:val="16"/>
          <w:rtl w:val="0"/>
        </w:rPr>
        <w:t xml:space="preserve">Provided by Commure Scribe  |  getscribe.commure.com</w:t>
      </w:r>
    </w:p>
    <w:p>
      <w:pPr>
        <w:widowControl w:val="0"/>
        <w:spacing w:before="40" w:after="40" w:line="240" w:lineRule="auto"/>
        <w:rPr>
          <w:rFonts w:ascii="Montserrat" w:cs="Montserrat" w:eastAsia="Montserrat" w:hAnsi="Montserrat"/>
          <w:color w:val="666666"/>
          <w:sz w:val="16"/>
          <w:szCs w:val="16"/>
        </w:rPr>
      </w:pPr>
      <w:r>
        <w:rPr>
          <w:rFonts w:ascii="Montserrat" w:cs="Montserrat" w:eastAsia="Montserrat" w:hAnsi="Montserrat"/>
          <w:color w:val="666666"/>
          <w:sz w:val="16"/>
          <w:szCs w:val="16"/>
          <w:rtl w:val="0"/>
        </w:rPr>
        <w:t xml:space="preserve">For clinical and administrative use. This template is provided for informational and educational purposes only and does not constitute legal, medical, regulatory, or compliance advice. Healthcare regulations, including HIPAA, 42 CFR Part 2, and state mental health confidentiality laws, change frequently. Have it reviewed by your compliance officer or legal counsel and confirm any referenced codes (DSM-5, ICD-10) are current-year editions before clinical use. ©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ind w:left="-720" w:firstLine="0"/>
      <w:jc w:val="right"/>
      <w:rPr/>
    </w:pPr>
    <w:r w:rsidDel="00000000" w:rsidR="00000000" w:rsidRPr="00000000">
      <w:rPr>
        <w:rtl w:val="0"/>
      </w:rPr>
    </w:r>
  </w:p>
  <w:p w:rsidR="00000000" w:rsidDel="00000000" w:rsidP="00000000" w:rsidRDefault="00000000" w:rsidRPr="00000000" w14:paraId="0000004A">
    <w:pPr>
      <w:ind w:left="-360.00000000000006" w:right="-536.6666666666674"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162983</wp:posOffset>
          </wp:positionV>
          <wp:extent cx="815340" cy="1905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4C">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ind w:left="-360.00000000000006" w:right="-536.6666666666674" w:firstLine="0"/>
      <w:rPr/>
    </w:pPr>
    <w:r w:rsidDel="00000000" w:rsidR="00000000" w:rsidRPr="00000000">
      <w:rPr>
        <w:rtl w:val="0"/>
      </w:rPr>
    </w:r>
  </w:p>
  <w:p w:rsidR="00000000" w:rsidDel="00000000" w:rsidP="00000000" w:rsidRDefault="00000000" w:rsidRPr="00000000" w14:paraId="00000054">
    <w:pPr>
      <w:ind w:left="-360.00000000000006" w:right="-536.6666666666674"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56">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ind w:left="-1080.0000000000002" w:firstLine="0"/>
      <w:rPr>
        <w:rFonts w:ascii="Montserrat" w:cs="Montserrat" w:eastAsia="Montserrat" w:hAnsi="Montserrat"/>
        <w:b w:val="1"/>
        <w:bCs w:val="1"/>
        <w:color w:val="434343"/>
        <w:sz w:val="32"/>
        <w:szCs w:val="32"/>
      </w:rPr>
    </w:pPr>
    <w:r w:rsidDel="00000000" w:rsidR="00000000" w:rsidRPr="00000000">
      <w:rPr>
        <w:rFonts w:ascii="Montserrat" w:cs="Montserrat" w:eastAsia="Montserrat" w:hAnsi="Montserrat"/>
        <w:b w:val="1"/>
        <w:bCs w:val="1"/>
        <w:color w:val="434343"/>
        <w:sz w:val="32"/>
        <w:szCs w:val="32"/>
      </w:rPr>
      <w:drawing>
        <wp:anchor allowOverlap="1" behindDoc="1" distB="114300" distT="114300" distL="114300" distR="114300" hidden="0" layoutInCell="1" locked="0" relativeHeight="0" simplePos="0">
          <wp:simplePos x="0" y="0"/>
          <wp:positionH relativeFrom="page">
            <wp:posOffset>19050</wp:posOffset>
          </wp:positionH>
          <wp:positionV relativeFrom="page">
            <wp:posOffset>19050</wp:posOffset>
          </wp:positionV>
          <wp:extent cx="7724775" cy="1975908"/>
          <wp:effectExtent b="0" l="0" r="0" t="0"/>
          <wp:wrapNone/>
          <wp:docPr id="3"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04F">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050">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051">
    <w:pPr>
      <w:ind w:left="-270.00000000000006" w:firstLine="0"/>
      <w:rPr>
        <w:rFonts w:ascii="Montserrat" w:cs="Montserrat" w:eastAsia="Montserrat" w:hAnsi="Montserrat"/>
      </w:rPr>
    </w:pPr>
    <w:r w:rsidDel="00000000" w:rsidR="00000000" w:rsidRPr="00000000">
      <w:rPr>
        <w:rFonts w:ascii="Montserrat" w:cs="Montserrat" w:eastAsia="Montserrat" w:hAnsi="Montserrat"/>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PHQ-9 Depression Screening</w:t>
      <w:br w:type="textWrapping"/>
    </w:r>
    <w:r w:rsidDel="00000000" w:rsidR="00000000" w:rsidRPr="00000000">
      <w:rPr>
        <w:rFonts w:ascii="Montserrat" w:cs="Montserrat" w:eastAsia="Montserrat" w:hAnsi="Montserrat"/>
        <w:color w:val="ffffff"/>
        <w:sz w:val="20"/>
        <w:szCs w:val="20"/>
        <w:rtl w:val="0"/>
      </w:rPr>
      <w:t xml:space="preserve">Patient Health Questionnaire-9 — public-domain depression screening</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