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Montserrat-bold.ttf" ContentType="application/x-font-ttf"/>
  <Override PartName="/word/fonts/Montserrat-boldItalic.ttf" ContentType="application/x-font-ttf"/>
  <Override PartName="/word/fonts/Montserrat-italic.ttf" ContentType="application/x-font-ttf"/>
  <Override PartName="/word/fonts/Montserrat-regular.ttf" ContentType="application/x-font-ttf"/>
  <Override PartName="/word/fonts/MontserratSemiBold-bold.ttf" ContentType="application/x-font-ttf"/>
  <Override PartName="/word/fonts/MontserratSemiBold-boldItalic.ttf" ContentType="application/x-font-ttf"/>
  <Override PartName="/word/fonts/MontserratSemiBold-italic.ttf" ContentType="application/x-font-ttf"/>
  <Override PartName="/word/fonts/MontserratSemiBold-regular.ttf" ContentType="application/x-font-ttf"/>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spacing w:after="120" w:before="0"/>
      </w:pPr>
      <w:r>
        <w:rPr>
          <w:rFonts w:ascii="Montserrat" w:hAnsi="Montserrat" w:cs="Montserrat" w:eastAsia="Montserrat"/>
          <w:sz w:val="18"/>
          <w:szCs w:val="18"/>
          <w:color w:val="666666"/>
        </w:rPr>
        <w:t xml:space="preserve">Use this form to document a patient's authorization to use or disclose protected health information (PHI) for a purpose that is not otherwise permitted under the HIPAA Privacy Rule (45 CFR 164.508). Treatment, payment, and healthcare operations do not require an authorization (45 CFR 164.506). Customize the practice header before clinical use, and have a compliance officer or legal counsel review the final form.</w:t>
      </w:r>
    </w:p>
    <w:p>
      <w:pPr>
        <w:spacing w:after="120" w:before="0"/>
      </w:pPr>
      <w:r>
        <w:rPr>
          <w:rFonts w:ascii="Montserrat" w:hAnsi="Montserrat" w:cs="Montserrat" w:eastAsia="Montserrat"/>
          <w:sz w:val="18"/>
          <w:szCs w:val="18"/>
          <w:color w:val="666666"/>
        </w:rPr>
        <w:t xml:space="preserve">A valid authorization must contain six core elements and three required statements (45 CFR 164.508(c)). If required elements or statements are missing or incomplete, the authorization may not be valid under HIPAA, and relying on it could create compliance risk. State law can impose stricter rules, especially for mental health, substance use disorder, HIV, and genetic information.</w:t>
      </w:r>
    </w:p>
    <w:p>
      <w:pPr>
        <w:spacing w:after="200" w:before="0"/>
      </w:pPr>
      <w:r>
        <w:rPr>
          <w:rFonts w:ascii="Montserrat" w:hAnsi="Montserrat" w:cs="Montserrat" w:eastAsia="Montserrat"/>
          <w:sz w:val="16"/>
          <w:szCs w:val="16"/>
          <w:color w:val="666666"/>
        </w:rPr>
        <w:t xml:space="preserve">Version 1.0  ·  Last updated April 2026  ·  Keep the signed authorization for at least six years from the date of creation or the last date it was in effect, whichever is later (45 CFR 164.530(j)(2)), consistent with your state and payer record-retention rules.</w:t>
      </w: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Practice Information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Practice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[Practice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Fax</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[Fax]</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Practice address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Privacy officer / contact</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[Name, title, email]</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Patient Information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full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[Last, First]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 of birth</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Medical record number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[MRN]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Address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Email</w:t>
            </w:r>
          </w:p>
        </w:tc>
        <w:tc>
          <w:tcPr>
            <w:tcW w:w="669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[Email]</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Information to be Used or Disclosed</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Records covered (date range, type, provider)</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[All records from MM/DD/YYYY to MM/DD/YYYY, including visit notes and results from Dr. ____]</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Describe the records being released. Be specific. Vague or overly broad descriptions may make the authorization non-compliant under HIPAA and unusable.</w:t>
            </w:r>
          </w:p>
          <w:p>
            <w:pPr>
              <w:spacing w:after="60" w:before="0"/>
            </w:pPr>
            <w:r>
              <w:rPr>
                <w:rFonts w:ascii="Montserrat" w:hAnsi="Montserrat" w:cs="Montserrat" w:eastAsia="Montserrat"/>
                <w:sz w:val="18"/>
                <w:szCs w:val="18"/>
                <w:color w:val="2C2C2C"/>
              </w:rPr>
              <w:t xml:space="preserve">Check all that apply:</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Visit notes and progress notes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Lab and pathology results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Imaging studies and reports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Medication list / problem list</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Immunization record</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Billing records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Mental health records (excluding psychotherapy notes)</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Psychotherapy notes — separate authorization required (45 CFR 164.508(a)(2))</w:t>
            </w:r>
          </w:p>
          <w:p>
            <w:pPr>
              <w:spacing w:after="3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Substance use disorder records — additional consent rules under 42 CFR Part 2</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Person or Entity Authorized to Make the Disclosure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Disclosing entity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[Practice or person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Address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This is the practice or person releasing the records.</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Person or Entity to Whom the Information Will Be Disclosed</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Recipient legal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[Recipient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Address</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[Street, City, State, ZIP]</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Phone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[Phone]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Fax</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[Fax]</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Email</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[Email]</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Match the legal name on the recipient's letterhead. Avoid generic phrasing such as "whoever picks up."</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Purpose of the Disclosure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Purpose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[Continuing care / school enrollment / attorney representation / at the request of the patient]</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State the reason the records are being shared. "At the request of the patient" is allowed when the patient does not want to give a reason.</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Expiration Date or Event</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Expiration 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Or expiration event</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[Event tied to the purpose]</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Avoid vague terms like "indefinite" or "as needed." HIPAA requires a clear expiration date or event, and state law may further limit how long an authorization can last (45 CFR 164.508(c)(1)(v)).</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Right to Revoke</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20"/>
                <w:szCs w:val="20"/>
                <w:color w:val="2C2C2C"/>
              </w:rPr>
              <w:t xml:space="preserve">You have the right to revoke this authorization in writing at any time, except to the extent the practice has already acted in reliance on it (45 CFR 164.508(b)(5) and 164.508(c)(2)(i)). To revoke, send a signed and dated written revocation to the practice address listed above. Future disclosures will stop once the practice receives the written revocation.</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Redisclosure Notice</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20"/>
                <w:szCs w:val="20"/>
                <w:color w:val="2C2C2C"/>
              </w:rPr>
              <w:t xml:space="preserve">Information used or disclosed under this authorization may be subject to redisclosure by the recipient and may no longer be protected by HIPAA (45 CFR 164.508(c)(2)(iii)). Once your records leave this practice, the recipient may share or use them under its own rules and applicable law.</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No Conditioning of Treatment</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20"/>
                <w:szCs w:val="20"/>
                <w:color w:val="2C2C2C"/>
              </w:rPr>
              <w:t xml:space="preserve">Under HIPAA (45 CFR 164.508(b)(4)), this practice generally may not refuse to treat you, deny payment, or condition enrollment or eligibility for benefits because you decline to sign this authorization, except in limited situations such as research-related treatment, certain benefits-eligibility determinations, or when a third party needs information to create new PHI. Other federal or state laws and plan rules may also apply.</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Patient Signature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Patient printed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[Print full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Personal representative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Printed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[Print full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Relationship and authority</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[Parent, guardian, healthcare power of attorney, etc.]</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80" w:before="0"/>
            </w:pPr>
            <w:r>
              <w:rPr>
                <w:rFonts w:ascii="Montserrat" w:hAnsi="Montserrat" w:cs="Montserrat" w:eastAsia="Montserrat"/>
                <w:sz w:val="16"/>
                <w:szCs w:val="16"/>
                <w:color w:val="666666"/>
              </w:rPr>
              <w:t xml:space="preserve">By signing below, the patient (or the patient's personal representative) confirms they have read this authorization and authorize the disclosure described above.</w:t>
            </w:r>
          </w:p>
          <w:p>
            <w:pPr>
              <w:spacing w:after="40" w:before="0"/>
            </w:pPr>
            <w:r>
              <w:rPr>
                <w:rFonts w:ascii="Montserrat" w:hAnsi="Montserrat" w:cs="Montserrat" w:eastAsia="Montserrat"/>
                <w:b/>
                <w:bCs/>
                <w:sz w:val="18"/>
                <w:szCs w:val="18"/>
                <w:color w:val="2C2C2C"/>
              </w:rPr>
              <w:t xml:space="preserve">If signed by a personal representative:</w:t>
            </w:r>
          </w:p>
          <w:p>
            <w:pPr>
              <w:spacing w:after="60" w:before="0"/>
            </w:pPr>
            <w:r>
              <w:rPr>
                <w:rFonts w:ascii="Montserrat" w:hAnsi="Montserrat" w:cs="Montserrat" w:eastAsia="Montserrat"/>
                <w:sz w:val="16"/>
                <w:szCs w:val="16"/>
                <w:color w:val="666666"/>
              </w:rPr>
              <w:t xml:space="preserve">Attach a copy of the document establishing the personal representative's authority (for example, a power of attorney or guardianship order). State law varies on which powers of attorney qualify a person as a personal representative.</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Witness (Where Required by State Law)</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Witness signature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[Sign]</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Printed name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[Print full name]</w:t>
            </w:r>
          </w:p>
        </w:tc>
      </w:tr>
      <w:tr>
        <w:tc>
          <w:tcPr>
            <w:tcW w:w="33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caps/>
                <w:spacing w:val="30"/>
                <w:sz w:val="14"/>
                <w:szCs w:val="14"/>
                <w:color w:val="666666"/>
              </w:rPr>
              <w:t xml:space="preserve">Date</w:t>
            </w:r>
          </w:p>
        </w:tc>
        <w:tc>
          <w:tcPr>
            <w:tcW w:w="6690" w:type="dxa"/>
            <w:tcBorders>
              <w:top w:val="single" w:sz="8" w:space="0" w:color="D9D9D9"/>
              <w:bottom w:val="single" w:sz="8" w:space="0" w:color="EFEFEF"/>
              <w:left w:val="single" w:sz="8" w:space="0" w:color="FFFFFF"/>
              <w:right w:val="single" w:sz="8" w:space="0" w:color="FFFFFF"/>
            </w:tcBorders>
            <w:tcMar>
              <w:top w:w="100" w:type="dxa"/>
              <w:bottom w:w="100" w:type="dxa"/>
              <w:left w:w="100" w:type="dxa"/>
              <w:right w:w="100" w:type="dxa"/>
            </w:tcMar>
          </w:tcPr>
          <w:p>
            <w:pPr>
              <w:spacing w:after="40" w:before="40"/>
            </w:pPr>
            <w:r>
              <w:rPr>
                <w:rFonts w:ascii="Montserrat" w:hAnsi="Montserrat" w:cs="Montserrat" w:eastAsia="Montserrat"/>
                <w:sz w:val="20"/>
                <w:szCs w:val="20"/>
                <w:color w:val="666666"/>
              </w:rPr>
              <w:t xml:space="preserve">[MM / DD / YYYY]</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60" w:before="0"/>
            </w:pPr>
            <w:r>
              <w:rPr>
                <w:rFonts w:ascii="Montserrat" w:hAnsi="Montserrat" w:cs="Montserrat" w:eastAsia="Montserrat"/>
                <w:sz w:val="16"/>
                <w:szCs w:val="16"/>
                <w:color w:val="666666"/>
              </w:rPr>
              <w:t xml:space="preserve">Some states require a witness signature on authorization forms. Check your state's requirements before publishing a final form.</w:t>
            </w:r>
          </w:p>
        </w:tc>
      </w:tr>
    </w:tbl>
    <w:p>
      <w:pPr>
        <w:spacing w:after="120" w:line="240" w:lineRule="auto"/>
      </w:pPr>
    </w:p>
    <w:tbl>
      <w:tblPr>
        <w:tblW w:w="10080" w:type="dxa"/>
        <w:tblLayout w:type="fixed"/>
        <w:tblLook w:val="04A0"/>
      </w:tblPr>
      <w:tblGrid>
        <w:gridCol w:w="3390"/>
        <w:gridCol w:w="6690"/>
      </w:tblGrid>
      <w:tr>
        <w:tc>
          <w:tcPr>
            <w:tcW w:w="10080" w:type="dxa"/>
            <w:tcBorders>
              <w:top w:val="single" w:sz="8" w:space="0" w:color="FFFFFF"/>
              <w:bottom w:val="single" w:sz="8" w:space="0" w:color="D9D9D9"/>
              <w:left w:val="single" w:sz="8" w:space="0" w:color="FFFFFF"/>
              <w:right w:val="single" w:sz="8" w:space="0" w:color="FFFFFF"/>
            </w:tcBorders>
            <w:tcMar>
              <w:top w:w="100" w:type="dxa"/>
              <w:bottom w:w="100" w:type="dxa"/>
              <w:left w:w="100" w:type="dxa"/>
              <w:right w:w="100" w:type="dxa"/>
            </w:tcMar>
            <w:gridSpan w:val="2"/>
          </w:tcPr>
          <w:p>
            <w:pPr>
              <w:spacing w:after="60" w:before="60"/>
            </w:pPr>
            <w:r>
              <w:rPr>
                <w:rFonts w:ascii="Montserrat SemiBold" w:hAnsi="Montserrat SemiBold" w:cs="Montserrat SemiBold" w:eastAsia="Montserrat SemiBold"/>
                <w:b/>
                <w:bCs/>
                <w:sz w:val="22"/>
                <w:szCs w:val="22"/>
                <w:color w:val="1A1A1A"/>
              </w:rPr>
              <w:t xml:space="preserve">Copy Acknowledgment</w:t>
            </w:r>
          </w:p>
        </w:tc>
      </w:tr>
      <w:tr>
        <w:tc>
          <w:tcPr>
            <w:tcW w:w="10080" w:type="dxa"/>
            <w:tcBorders>
              <w:top w:val="single" w:sz="8" w:space="0" w:color="D9D9D9"/>
              <w:bottom w:val="single" w:sz="8" w:space="0" w:color="FFFFFF"/>
              <w:left w:val="single" w:sz="8" w:space="0" w:color="FFFFFF"/>
              <w:right w:val="single" w:sz="8" w:space="0" w:color="FFFFFF"/>
            </w:tcBorders>
            <w:tcMar>
              <w:top w:w="100" w:type="dxa"/>
              <w:bottom w:w="100" w:type="dxa"/>
              <w:left w:w="100" w:type="dxa"/>
              <w:right w:w="100" w:type="dxa"/>
            </w:tcMar>
            <w:gridSpan w:val="2"/>
          </w:tcPr>
          <w:p>
            <w:pPr>
              <w:spacing w:after="40" w:before="0"/>
            </w:pPr>
            <w:r>
              <w:rPr>
                <w:rFonts w:ascii="Montserrat" w:hAnsi="Montserrat" w:cs="Montserrat" w:eastAsia="Montserrat"/>
                <w:sz w:val="20"/>
                <w:szCs w:val="20"/>
                <w:color w:val="2C2C2C"/>
              </w:rPr>
              <w:t xml:space="preserve">You are entitled to a copy of this signed authorization (45 CFR 164.508(c)(4)).</w:t>
            </w:r>
          </w:p>
          <w:p>
            <w:pPr>
              <w:spacing w:after="40" w:before="0"/>
            </w:pPr>
            <w:r>
              <w:rPr>
                <w:rFonts w:ascii="Montserrat" w:hAnsi="Montserrat" w:cs="Montserrat" w:eastAsia="Montserrat"/>
                <w:sz w:val="22"/>
                <w:szCs w:val="22"/>
                <w:color w:val="2C2C2C"/>
              </w:rPr>
              <w:t xml:space="preserve">☐  </w:t>
            </w:r>
            <w:r>
              <w:rPr>
                <w:rFonts w:ascii="Montserrat" w:hAnsi="Montserrat" w:cs="Montserrat" w:eastAsia="Montserrat"/>
                <w:sz w:val="20"/>
                <w:szCs w:val="20"/>
                <w:color w:val="2C2C2C"/>
              </w:rPr>
              <w:t xml:space="preserve">I have received a copy of this signed authorization for my records.</w:t>
            </w:r>
          </w:p>
        </w:tc>
      </w:tr>
    </w:tbl>
    <w:p>
      <w:pPr>
        <w:spacing w:after="200" w:line="240" w:lineRule="auto"/>
      </w:pPr>
    </w:p>
    <w:p>
      <w:pPr>
        <w:spacing w:after="80" w:before="0"/>
      </w:pPr>
      <w:r>
        <w:rPr>
          <w:rFonts w:ascii="Montserrat" w:hAnsi="Montserrat" w:cs="Montserrat" w:eastAsia="Montserrat"/>
          <w:sz w:val="16"/>
          <w:szCs w:val="16"/>
          <w:color w:val="666666"/>
        </w:rPr>
        <w:t xml:space="preserve">Provided by Commure Scribe  |  getscribe.commure.com</w:t>
      </w:r>
    </w:p>
    <w:p>
      <w:pPr>
        <w:spacing w:after="80" w:before="0"/>
      </w:pPr>
      <w:r>
        <w:rPr>
          <w:rFonts w:ascii="Montserrat" w:hAnsi="Montserrat" w:cs="Montserrat" w:eastAsia="Montserrat"/>
          <w:sz w:val="16"/>
          <w:szCs w:val="16"/>
          <w:color w:val="666666"/>
        </w:rPr>
        <w:t xml:space="preserve">This template is provided by Commure, Inc. for informational and educational purposes only. It does not constitute legal, medical, regulatory, or compliance advice. Healthcare regulations, including HIPAA, CMS requirements, and state laws, change frequently. This template may not reflect the most current regulatory requirements or be suitable for your specific practice, jurisdiction, or clinical situation.</w:t>
      </w:r>
    </w:p>
    <w:p>
      <w:pPr>
        <w:spacing w:after="80" w:before="0"/>
      </w:pPr>
      <w:r>
        <w:rPr>
          <w:rFonts w:ascii="Montserrat" w:hAnsi="Montserrat" w:cs="Montserrat" w:eastAsia="Montserrat"/>
          <w:sz w:val="16"/>
          <w:szCs w:val="16"/>
          <w:color w:val="666666"/>
        </w:rPr>
        <w:t xml:space="preserve">Before using this template in a clinical or operational setting, have it reviewed by your compliance officer or legal counsel, verify that it meets your state and local regulatory requirements, and customize it to reflect your organization's specific policies and procedures.</w:t>
      </w:r>
    </w:p>
    <w:p>
      <w:pPr>
        <w:spacing w:after="80" w:before="0"/>
      </w:pPr>
      <w:r>
        <w:rPr>
          <w:rFonts w:ascii="Montserrat" w:hAnsi="Montserrat" w:cs="Montserrat" w:eastAsia="Montserrat"/>
          <w:sz w:val="16"/>
          <w:szCs w:val="16"/>
          <w:color w:val="666666"/>
        </w:rPr>
        <w:t xml:space="preserve">Commure, Inc. makes no warranties, express or implied, regarding the accuracy, completeness, or suitability of this template for any particular purpose. Use of this template is at your own risk. Commure, Inc. shall not be liable for any damages arising from the use of this template.</w:t>
      </w:r>
    </w:p>
    <w:p>
      <w:pPr>
        <w:spacing w:after="80" w:before="0"/>
      </w:pPr>
      <w:r>
        <w:rPr>
          <w:rFonts w:ascii="Montserrat" w:hAnsi="Montserrat" w:cs="Montserrat" w:eastAsia="Montserrat"/>
          <w:sz w:val="16"/>
          <w:szCs w:val="16"/>
          <w:color w:val="666666"/>
        </w:rPr>
        <w:t xml:space="preserve">© 2026 Commure, Inc. All rights reserved.</w:t>
      </w:r>
    </w:p>
    <w:sectPr>
      <w:headerReference r:id="rId6" w:type="default"/>
      <w:headerReference r:id="rId7" w:type="first"/>
      <w:footerReference r:id="rId8" w:type="default"/>
      <w:footerReference r:id="rId9" w:type="first"/>
      <w:headerReference w:type="even" r:id="rId10"/>
      <w:pgSz w:h="15840" w:w="12240" w:orient="portrait"/>
      <w:pgMar w:bottom="1080" w:top="1080" w:left="1080" w:right="108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HIPAA Authorization Form</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Authorization for use or disclosure of protected health information under 45 CFR 164.508</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HIPAA Authorization Form</w:t>
      <w:br w:type="textWrapping"/>
    </w:r>
    <w:r w:rsidDel="00000000" w:rsidR="00000000" w:rsidRPr="00000000">
      <w:rPr>
        <w:rFonts w:ascii="Montserrat" w:cs="Montserrat" w:eastAsia="Montserrat" w:hAnsi="Montserrat"/>
        <w:color w:val="ffffff"/>
        <w:sz w:val="20"/>
        <w:szCs w:val="20"/>
        <w:rtl w:val="0"/>
      </w:rPr>
      <w:t xml:space="preserve">Authorization for use or disclosure of protected health information under 45 CFR 164.508</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header3.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 Id="rId10"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