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before="0" w:line="240" w:lineRule="auto"/>
      </w:pPr>
      <w:r>
        <w:rPr>
          <w:rFonts w:ascii="Montserrat" w:hAnsi="Montserrat" w:cs="Montserrat" w:eastAsia="Montserrat"/>
          <w:sz w:val="20"/>
          <w:szCs w:val="20"/>
          <w:color w:val="2C2C2C"/>
        </w:rPr>
        <w:t xml:space="preserve"/>
      </w:r>
    </w:p>
    <w:p>
      <w:pPr>
        <w:spacing w:after="60" w:before="0" w:line="240" w:lineRule="auto"/>
      </w:pPr>
      <w:r>
        <w:rPr>
          <w:rFonts w:ascii="Montserrat" w:hAnsi="Montserrat" w:cs="Montserrat" w:eastAsia="Montserrat"/>
          <w:sz w:val="20"/>
          <w:szCs w:val="20"/>
          <w:color w:val="2C2C2C"/>
        </w:rPr>
        <w:t xml:space="preserve"/>
      </w:r>
    </w:p>
    <w:p>
      <w:pPr>
        <w:spacing w:after="60" w:before="0" w:line="240" w:lineRule="auto"/>
      </w:pPr>
      <w:r>
        <w:rPr>
          <w:rFonts w:ascii="Montserrat" w:hAnsi="Montserrat" w:cs="Montserrat" w:eastAsia="Montserrat"/>
          <w:sz w:val="20"/>
          <w:szCs w:val="20"/>
          <w:color w:val="2C2C2C"/>
        </w:rPr>
        <w:t xml:space="preserve"/>
      </w:r>
    </w:p>
    <w:p>
      <w:pPr>
        <w:spacing w:after="60" w:before="0" w:line="240" w:lineRule="auto"/>
      </w:pPr>
      <w:r>
        <w:rPr>
          <w:rFonts w:ascii="Montserrat" w:hAnsi="Montserrat" w:cs="Montserrat" w:eastAsia="Montserrat"/>
          <w:sz w:val="20"/>
          <w:szCs w:val="20"/>
          <w:color w:val="2C2C2C"/>
        </w:rPr>
        <w:t xml:space="preserve"/>
      </w:r>
    </w:p>
    <w:p>
      <w:pPr>
        <w:spacing w:after="60" w:before="0" w:line="240" w:lineRule="auto"/>
      </w:pPr>
      <w:r>
        <w:rPr>
          <w:rFonts w:ascii="Montserrat" w:hAnsi="Montserrat" w:cs="Montserrat" w:eastAsia="Montserrat"/>
          <w:sz w:val="20"/>
          <w:szCs w:val="20"/>
          <w:color w:val="2C2C2C"/>
        </w:rPr>
        <w:t xml:space="preserve"/>
      </w:r>
    </w:p>
    <w:p>
      <w:pPr>
        <w:spacing w:after="80" w:before="0" w:line="240" w:lineRule="auto"/>
      </w:pPr>
      <w:r>
        <w:rPr>
          <w:rFonts w:ascii="Montserrat" w:hAnsi="Montserrat" w:cs="Montserrat" w:eastAsia="Montserrat"/>
          <w:sz w:val="18"/>
          <w:szCs w:val="18"/>
          <w:color w:val="666666"/>
          <w:i w:val="1"/>
        </w:rPr>
        <w:t xml:space="preserve">This template is fillable. Click any [bracketed field] to position the cursor and replace the placeholder with the patient information. Click any checkbox to mark it. Adapt to your practice policies and clinical judgment.</w:t>
      </w:r>
    </w:p>
    <w:p>
      <w:pPr>
        <w:spacing w:after="80" w:before="0" w:line="240" w:lineRule="auto"/>
      </w:pPr>
      <w:r>
        <w:rPr>
          <w:rFonts w:ascii="Montserrat" w:hAnsi="Montserrat" w:cs="Montserrat" w:eastAsia="Montserrat"/>
          <w:sz w:val="18"/>
          <w:szCs w:val="18"/>
          <w:color w:val="666666"/>
          <w:i w:val="1"/>
        </w:rPr>
        <w:t xml:space="preserve">Patient access notice: under federal information blocking rules (45 CFR 171), the patient can view this note through the patient portal. Write with that audience in mind.</w:t>
      </w:r>
    </w:p>
    <w:p>
      <w:pPr>
        <w:spacing w:after="80" w:before="0" w:line="240" w:lineRule="auto"/>
      </w:pPr>
      <w:r>
        <w:rPr>
          <w:rFonts w:ascii="Montserrat" w:hAnsi="Montserrat" w:cs="Montserrat" w:eastAsia="Montserrat"/>
          <w:sz w:val="18"/>
          <w:szCs w:val="18"/>
          <w:color w:val="666666"/>
          <w:i w:val="1"/>
        </w:rPr>
        <w:t xml:space="preserve">Electronic security: once filled and saved electronically, this file holds protected health information. Apply HIPAA Security Rule safeguards (access controls, encryption at rest, audit logging) per 45 CFR 164.302-318.</w:t>
      </w:r>
    </w:p>
    <w:p>
      <w:pPr>
        <w:spacing w:after="80" w:before="0" w:line="240" w:lineRule="auto"/>
      </w:pPr>
      <w:r>
        <w:rPr>
          <w:rFonts w:ascii="Montserrat" w:hAnsi="Montserrat" w:cs="Montserrat" w:eastAsia="Montserrat"/>
          <w:sz w:val="18"/>
          <w:szCs w:val="18"/>
          <w:color w:val="666666"/>
          <w:i w:val="1"/>
        </w:rPr>
        <w:t xml:space="preserve">Version 1.0  ·  Last updated May 2026  ·  Developed with reference to HIPAA Privacy Rule (45 CFR 164.502, 164.514), 45 CFR 164.508(a)(2) (psychotherapy notes), 42 CFR Part 2, and selected state mental health confidentiality frameworks. Not a substitute for legal advice.</w:t>
      </w:r>
    </w:p>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Provider &amp; Clinic</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PRACTICE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[Practice name]</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PRACTICE ADDRESS</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[Street, City, State, ZIP]</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PHONE</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[Phone]</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FAX</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[Fax]</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Patient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PATIENT FULL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[Last, First]</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DATE OF BIRTH</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[MM / DD / YYYY]</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MEDICAL RECORD NUMBER</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[MRN]</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INSURANCE / PLAN</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[Plan name]</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POLICY NUMBER</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[Policy #]</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ALLERGIES</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[Medication, food, environmental; mark NKDA if none known]</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CURRENT MEDICATIONS</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[Active prescription and OTC medications, with dose and frequency. Flag psychotropics]</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Encounter</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DATE OF SERVICE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[MM / DD / YYYY]</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TIME</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[HH:MM AM/PM]</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SESSION DURATION (MINUTES)</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[Minutes]</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VISIT TYPE</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[In-person / Telehealth / Phone]</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SERVICE TYPE</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[Individual / Group / Family / Couples]</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RENDERING PROVIDER</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[Print name + credentials]</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Telehealth (Complete if Visit Type Is Telehealth)</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PATIENT LOCATION AT SERVICE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[Address, City, State]</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PROVIDER LOCATION</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[Address, City, State]</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PLATFORM / MODALITY</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[Audio-video, audio-only, asynchronous]</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TELEHEALTH CONSENT ON FILE</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[Yes / No / Date obtained]</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Chief Complaint or Reason for Visit</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CHIEF COMPLAINT</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[Patient's reason for the visit, in their own words. Reserve formal diagnostic labels for the Diagnostic Impression section.]</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Mental State Assessment Domains</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APPEARANCE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[Grooming, hygiene, dress, level of attentiveness]</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BEHAVIOR</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[Attitude, eye contact, motor activity, cooperation]</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SPEECH</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[Rate, rhythm, volume, fluency]</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MOOD</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[Patient-stated emotional state, in their own words]</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AFFECT</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[Observed emotional expression, range, congruence with mood]</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THOUGHT PROCESS</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[Linear, tangential, circumstantial, loose, blocking]</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THOUGHT CONTENT</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[Preoccupations, delusions, obsessions; summarize SI/HI here and also document in Risk Assessment below]</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PERCEPTION</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[Hallucinations, illusions, depersonalization, derealization (note modality)]</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COGNITION</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[Orientation, attention, memory, language; note tool used (e.g., a standardized mental status exam)]</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INSIGHT AND JUDGMENT</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[Awareness of illness; ability to make reasonable decisions]</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Risk Assessment</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INSTRUCTION</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[Strongly recommended for all mental health visits. Document in real time during the encounter; do not back-date or amend silently. If any item is positive, consider completing the Safety Plan section below.]</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20" w:before="60" w:line="240" w:lineRule="auto"/>
            </w:pPr>
            <w:r>
              <w:rPr>
                <w:rFonts w:ascii="Montserrat" w:hAnsi="Montserrat" w:cs="Montserrat" w:eastAsia="Montserrat"/>
                <w:spacing w:val="30"/>
                <w:sz w:val="14"/>
                <w:szCs w:val="14"/>
                <w:color w:val="666666"/>
              </w:rPr>
              <w:t xml:space="preserve">SUICIDAL IDEATION</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None reported"/>
                <w:tag w:val="none-reported"/>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None reported</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Passive ideation, no plan"/>
                <w:tag w:val="passive-ideation,-no-plan"/>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Passive ideation, no plan</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Active ideation with plan or intent. A safety plan is typica"/>
                <w:tag w:val="active-ideation-with-plan-or-intent.-a-s"/>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Active ideation with plan or intent. A safety plan is typically indicated; follow your organization's suicide-risk protocol.</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20" w:before="60" w:line="240" w:lineRule="auto"/>
            </w:pPr>
            <w:r>
              <w:rPr>
                <w:rFonts w:ascii="Montserrat" w:hAnsi="Montserrat" w:cs="Montserrat" w:eastAsia="Montserrat"/>
                <w:spacing w:val="30"/>
                <w:sz w:val="14"/>
                <w:szCs w:val="14"/>
                <w:color w:val="666666"/>
              </w:rPr>
              <w:t xml:space="preserve">HOMICIDAL IDEATION</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None reported"/>
                <w:tag w:val="none-reported"/>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None reported</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Ideation without plan or specific target"/>
                <w:tag w:val="ideation-without-plan-or-specific-target"/>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Ideation without plan or specific target</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Ideation with plan, intent, or specific target. Consider a s"/>
                <w:tag w:val="ideation-with-plan,-intent,-or-specific-"/>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Ideation with plan, intent, or specific target. Consider a safety plan and evaluate whether your jurisdiction's duty-to-protect or duty-to-warn standards apply.</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20" w:before="60" w:line="240" w:lineRule="auto"/>
            </w:pPr>
            <w:r>
              <w:rPr>
                <w:rFonts w:ascii="Montserrat" w:hAnsi="Montserrat" w:cs="Montserrat" w:eastAsia="Montserrat"/>
                <w:spacing w:val="30"/>
                <w:sz w:val="14"/>
                <w:szCs w:val="14"/>
                <w:color w:val="666666"/>
              </w:rPr>
              <w:t xml:space="preserve">SELF-HARM</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None reported"/>
                <w:tag w:val="none-reported"/>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None reported</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History of self-harm, none current"/>
                <w:tag w:val="history-of-self-harm,-none-current"/>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History of self-harm, none current</w:t>
            </w:r>
          </w:p>
        </w:tc>
      </w:tr>
      <w:tr>
        <w:tc>
          <w:tcPr>
            <w:tcW w:w="10080" w:type="dxa"/>
            <w:tcBorders>
              <w:top w:val="single" w:sz="8" w:space="0" w:color="FFFFFF"/>
              <w:bottom w:val="single" w:sz="8" w:space="0" w:color="FFFFFF"/>
              <w:left w:val="single" w:sz="8" w:space="0" w:color="FFFFFF"/>
              <w:right w:val="single" w:sz="8" w:space="0" w:color="FFFFFF"/>
            </w:tcBorders>
            <w:tcMar>
              <w:top w:w="100" w:type="dxa"/>
              <w:bottom w:w="100" w:type="dxa"/>
              <w:left w:w="300" w:type="dxa"/>
              <w:right w:w="100" w:type="dxa"/>
            </w:tcMar>
          </w:tcPr>
          <w:p>
            <w:pPr>
              <w:spacing w:after="40" w:before="20" w:line="240" w:lineRule="auto"/>
            </w:pPr>
            <w:sdt>
              <w:sdtPr>
                <w:rPr>
                  <w:rFonts w:ascii="MS Gothic" w:hAnsi="MS Gothic" w:cs="MS Gothic" w:eastAsia="MS Gothic"/>
                </w:rPr>
                <w:alias w:val="Current self-harm behavior. A safety plan is typically indic"/>
                <w:tag w:val="current-self-harm-behavior.-a-safety-pla"/>
                <w14:checkbox>
                  <w14:checked w14:val="0"/>
                  <w14:checkedState w14:val="2612" w14:font="MS Gothic"/>
                  <w14:uncheckedState w14:val="2610" w14:font="MS Gothic"/>
                </w14:checkbox>
              </w:sdtPr>
              <w:sdtContent>
                <w:r>
                  <w:rPr>
                    <w:rFonts w:ascii="MS Gothic" w:hAnsi="MS Gothic" w:cs="MS Gothic" w:eastAsia="MS Gothic"/>
                    <w:sz w:val="22"/>
                    <w:szCs w:val="22"/>
                    <w:color w:val="2C2C2C"/>
                  </w:rPr>
                  <w:t>☐</w:t>
                </w:r>
              </w:sdtContent>
            </w:sdt>
            <w:r>
              <w:rPr>
                <w:rFonts w:ascii="Montserrat" w:hAnsi="Montserrat" w:cs="Montserrat" w:eastAsia="Montserrat"/>
                <w:sz w:val="20"/>
                <w:szCs w:val="20"/>
                <w:color w:val="2C2C2C"/>
              </w:rPr>
              <w:t xml:space="preserve">  Current self-harm behavior. A safety plan is typically indicated.</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Risk Notes</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RISK NOTES</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[Plan, intent, means, recent attempts, protective factors, screening tool scores (e.g., C-SSRS)]</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Safety Plan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INSTRUCTION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[Complete when, in your clinical judgment or under your organization's policy, risk is elevated. You may reference the Stanley-Brown Safety Planning Intervention or your practice's safety-planning protocol.]</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SAFETY PLAN</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[Warning signs, internal coping strategies, social contacts, professional contacts, environmental safety, follow-up plan]</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Diagnostic Impression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INSTRUCTION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[Use DSM-5-TR (current as of March 2022) and ICD-10-CM diagnostic codes. Verify code sets and billing guidance against your organization's current references.]</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WORKING DIAGNOSIS AND CLINICAL REASONING</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[Diagnosis with reasoning; differential considered; what was ruled in or ruled out]</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DSM-5-TR / ICD-10-CM CODES</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[Verify against the most current version and code set used by your organization and payers before submitting]</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Plan</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TREATMENT AND FOLLOW-UP</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[Therapy, medication, referrals, frequency, follow-up date, patient education]</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Psychotherapy Notes Distinction</w:t>
            </w:r>
          </w:p>
        </w:tc>
      </w:tr>
    </w:tbl>
    <w:p>
      <w:pPr>
        <w:spacing w:after="120" w:before="0" w:line="240" w:lineRule="auto"/>
      </w:pPr>
      <w:r>
        <w:rPr>
          <w:rFonts w:ascii="Montserrat" w:hAnsi="Montserrat" w:cs="Montserrat" w:eastAsia="Montserrat"/>
          <w:sz w:val="20"/>
          <w:szCs w:val="20"/>
          <w:color w:val="2C2C2C"/>
        </w:rPr>
        <w:t xml:space="preserve">Under HIPAA, 'psychotherapy notes' are a narrow category of notes kept separate from the medical record and given special authorization protections under 45 CFR 164.508(a)(2). The carve-out does NOT cover medication prescription/monitoring, treatment plan, diagnosis, modality, frequency, results of clinical tests, symptoms, prognosis, progress to date, or session start and stop times — those remain part of the regular medical record. This template is part of the medical record and is not a substitute for any separate psychotherapy notes you keep; follow your organization's policy for those.</w:t>
      </w:r>
    </w:p>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Provider Signature and Authentication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INSTRUCTION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[Typically, the rendering provider authenticates the note. If a co-signature is required, the co-signer adds a separate line rather than replacing the rendering provider's signature. Follow your organization's and payers' documentation requirements.]</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RENDERING PROVIDER SIGNATURE</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[Sign]</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DATE AND TIME</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[MM / DD / YYYY  HH:MM]</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PRINTED NAME AND CREDENTIALS</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[Print name + credentials (e.g., MD, DO, NP, PA, LCSW, PsyD)]</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STATE LICENSE NUMBER</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[License #]</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NPI</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[10-digit National Provider Identifier]</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CO-SIGNER SIGNATURE (IF REQUIRED)</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[Sign]</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CO-SIGNER DATE AND TIME</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[MM / DD / YYYY  HH:MM]</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CO-SIGNER PRINTED NAME AND CREDENTIALS</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[Print name + credentials]</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CO-SIGNER LICENSE # / NPI</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[License # / 10-digit NPI]</w:t>
            </w:r>
          </w:p>
        </w:tc>
      </w:tr>
    </w:tbl>
    <w:p>
      <w:pPr>
        <w:spacing w:after="120" w:before="0" w:line="240" w:lineRule="auto"/>
      </w:pPr>
      <w:r>
        <w:rPr>
          <w:rFonts w:ascii="Montserrat" w:hAnsi="Montserrat" w:cs="Montserrat" w:eastAsia="Montserrat"/>
          <w:sz w:val="20"/>
          <w:szCs w:val="20"/>
          <w:color w:val="2C2C2C"/>
        </w:rPr>
        <w:t xml:space="preserve"> </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10080" w:type="dxa"/>
            <w:gridSpan w:val="2"/>
            <w:tcBorders>
              <w:top w:val="single" w:sz="8" w:space="0" w:color="FFFFFF"/>
              <w:bottom w:val="single" w:sz="8" w:space="0" w:color="D9D9D9"/>
              <w:left w:val="single" w:sz="8" w:space="0" w:color="FFFFFF"/>
              <w:right w:val="single" w:sz="8" w:space="0" w:color="FFFFFF"/>
            </w:tcBorders>
            <w:tcMar>
              <w:top w:w="60" w:type="dxa"/>
              <w:bottom w:w="80" w:type="dxa"/>
              <w:left w:w="100" w:type="dxa"/>
              <w:right w:w="100" w:type="dxa"/>
            </w:tcMar>
          </w:tcPr>
          <w:p>
            <w:pPr>
              <w:spacing w:after="60" w:before="120" w:line="240" w:lineRule="auto"/>
            </w:pPr>
            <w:r>
              <w:rPr>
                <w:rFonts w:ascii="Montserrat SemiBold" w:hAnsi="Montserrat SemiBold" w:cs="Montserrat SemiBold" w:eastAsia="Montserrat SemiBold"/>
                <w:b w:val="1"/>
                <w:bCs w:val="1"/>
                <w:sz w:val="22"/>
                <w:szCs w:val="22"/>
                <w:color w:val="1A1A1A"/>
              </w:rPr>
              <w:t xml:space="preserve">Amendment / Addendum</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INSTRUCTION</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[After the original note is signed, changes are documented as a labeled addendum with the date and identity of the author. Do not silently alter the original entry. Follow your EHR and organizational policy.]</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DATE OF ADDENDUM</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[MM / DD / YYYY]</w:t>
            </w:r>
          </w:p>
        </w:tc>
      </w:tr>
      <w:tr>
        <w:tc>
          <w:tcPr>
            <w:tcW w:w="33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AUTHOR OF ADDENDUM</w:t>
            </w:r>
          </w:p>
        </w:tc>
        <w:tc>
          <w:tcPr>
            <w:tcW w:w="6690" w:type="dxa"/>
            <w:tcBorders>
              <w:top w:val="single" w:sz="8" w:space="0" w:color="FFFFFF"/>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[Print name + credentials]</w:t>
            </w:r>
          </w:p>
        </w:tc>
      </w:tr>
      <w:tr>
        <w:tc>
          <w:tcPr>
            <w:tcW w:w="33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pacing w:val="30"/>
                <w:sz w:val="14"/>
                <w:szCs w:val="14"/>
                <w:color w:val="666666"/>
              </w:rPr>
              <w:t xml:space="preserve">REASON AND CONTENT OF CHANGE</w:t>
            </w:r>
          </w:p>
        </w:tc>
        <w:tc>
          <w:tcPr>
            <w:tcW w:w="6690" w:type="dxa"/>
            <w:tcBorders>
              <w:top w:val="single" w:sz="8" w:space="0" w:color="FFFFFF"/>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20" w:line="240" w:lineRule="auto"/>
            </w:pPr>
            <w:r>
              <w:rPr>
                <w:rFonts w:ascii="Montserrat" w:hAnsi="Montserrat" w:cs="Montserrat" w:eastAsia="Montserrat"/>
                <w:sz w:val="20"/>
                <w:szCs w:val="20"/>
                <w:color w:val="888888"/>
              </w:rPr>
              <w:t xml:space="preserve">[State the reason and the specific change made]</w:t>
            </w:r>
          </w:p>
        </w:tc>
      </w:tr>
    </w:tbl>
    <w:p>
      <w:pPr>
        <w:spacing w:after="240" w:before="0" w:line="240" w:lineRule="auto"/>
      </w:pPr>
      <w:r>
        <w:rPr>
          <w:rFonts w:ascii="Montserrat" w:hAnsi="Montserrat" w:cs="Montserrat" w:eastAsia="Montserrat"/>
          <w:sz w:val="20"/>
          <w:szCs w:val="20"/>
          <w:color w:val="2C2C2C"/>
        </w:rPr>
        <w:t xml:space="preserve"> </w:t>
      </w:r>
    </w:p>
    <w:p>
      <w:pPr>
        <w:spacing w:after="80" w:before="0" w:line="240" w:lineRule="auto"/>
      </w:pPr>
      <w:r>
        <w:rPr>
          <w:rFonts w:ascii="Montserrat" w:hAnsi="Montserrat" w:cs="Montserrat" w:eastAsia="Montserrat"/>
          <w:b w:val="1"/>
          <w:bCs w:val="1"/>
          <w:sz w:val="16"/>
          <w:szCs w:val="16"/>
          <w:color w:val="666666"/>
        </w:rPr>
        <w:t xml:space="preserve">DISCLAIMER</w:t>
      </w:r>
    </w:p>
    <w:p>
      <w:pPr>
        <w:spacing w:after="60" w:before="0" w:line="240" w:lineRule="auto"/>
      </w:pPr>
      <w:r>
        <w:rPr>
          <w:rFonts w:ascii="Montserrat" w:hAnsi="Montserrat" w:cs="Montserrat" w:eastAsia="Montserrat"/>
          <w:sz w:val="16"/>
          <w:szCs w:val="16"/>
          <w:color w:val="666666"/>
          <w:i w:val="1"/>
        </w:rPr>
        <w:t xml:space="preserve">Provided by Commure Scribe  |  getscribe.commure.com</w:t>
      </w:r>
    </w:p>
    <w:p>
      <w:pPr>
        <w:spacing w:after="80" w:before="0" w:line="240" w:lineRule="auto"/>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42 CFR Part 2, CMS requirements, and state mental health confidentiality laws, are subject to change. Before using this template in a clinical setting, have your compliance officer or legal counsel review it; verify state and local regulatory requirements; customize to your organization's policies; and confirm referenced codes (DSM-5-TR, ICD-10-CM) are current. Commure, Inc. makes no warranties and shall not be liable for damages arising from use.</w:t>
      </w:r>
    </w:p>
    <w:p>
      <w:pPr>
        <w:spacing w:after="60" w:before="0" w:line="240" w:lineRule="auto"/>
      </w:pPr>
      <w:r>
        <w:rPr>
          <w:rFonts w:ascii="Montserrat" w:hAnsi="Montserrat" w:cs="Montserrat" w:eastAsia="Montserrat"/>
          <w:sz w:val="16"/>
          <w:szCs w:val="16"/>
          <w:color w:val="666666"/>
          <w:i w:val="1"/>
        </w:rPr>
        <w:t xml:space="preserve">© 2026 Commure, Inc. All rights reserved.</w:t>
      </w:r>
    </w:p>
    <w:sectPr>
      <w:headerReference r:id="rId6" w:type="default"/>
      <w:headerReference r:id="rId7" w:type="first"/>
      <w:footerReference r:id="rId8" w:type="default"/>
      <w:footerReference r:id="rId9" w:type="first"/>
      <w:headerReference w:type="even" r:id="rId10"/>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Mental State Assessment Template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Editable clinical documentation template for outpatient mental health visits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Mental State Assessment Template</w:t>
      <w:br w:type="textWrapping"/>
    </w:r>
    <w:r w:rsidDel="00000000" w:rsidR="00000000" w:rsidRPr="00000000">
      <w:rPr>
        <w:rFonts w:ascii="Montserrat" w:cs="Montserrat" w:eastAsia="Montserrat" w:hAnsi="Montserrat"/>
        <w:color w:val="ffffff"/>
        <w:sz w:val="20"/>
        <w:szCs w:val="20"/>
        <w:rtl w:val="0"/>
      </w:rPr>
      <w:t xml:space="preserve">Editable clinical documentation template for outpatient mental health visits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10"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