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PATIENT AND VISITS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NAME OR INITIALS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BIRTH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VISIT 1 DATE AND LENGTH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   [Minutes]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VISIT 2 DATE AND LENGTH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   [Minutes]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VISIT FORMAT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 person     ☐  Audio-video telehealth     ☐  Mixed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CRITERIA WALK — ADULTS AGED 17 AND OVER</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FIVE OR MORE INATTENTION SYMPTOMS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Count: ____   [Which ones]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FIVE OR MORE HYPERACTIVE OR IMPULSIVE SYMPTOMS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Count: ____   [Which ones]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SEVERAL SYMPTOMS PRESENT BEFORE AGE 12</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  Cannot establish   [Evidence]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SYMPTOMS IN TWO OR MORE SETTINGS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[Which settings, with an example from each]</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CLEAR INTERFERENCE WITH FUNCTIONING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[Work, study, relationships, finances, driving]</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NOT BETTER EXPLAINED BY ANOTHER CONDITION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[What was considered and ruled out]</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INSTRUMENTS USED</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INSTRUMENT 1</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version]   Score: ____   Rule used: ____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INSTRUMENT 2</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version]   Score: ____   Rule used: ____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CHILDHOOD MEASURE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version]   Score: ____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SCORING RULE NOTE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Where an instrument has more than one published scoring rule, record which one you applied.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SOURCE OF EACH INSTRUMENT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[Publisher or URL. Record that your use is licensed.]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COLLATERAL</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INFORMANT AVAILABLE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  Declined by patient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INFORMANT AND RELATIONSHIP</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[Who, and to the patient]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THE INFORMANT REPORTED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[Summary, kept separate from the patient's own report]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NO INFORMANT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Record that collateral was sought, what was tried, and why it could not be obtained.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RECORDS REVIEWED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School     ☐  Prior treatment     ☐  None available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DIFFERENTIAL AND COMORBIDITY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CONSIDERED AND ADDRESSED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Mood     ☐  Anxiety     ☐  Bipolar     ☐  Substance use     ☐  Sleep     ☐  Trauma     ☐  Medical</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BASIS FOR EACH EXCLUSION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[Brief reasoning, one line each]</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CONCERNS ABOUT SYMPTOM VALIDITY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None noted     ☐  Noted   [What, and how it was handled]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OUTCOME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DIAGNOSTIC IMPRESSION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[ICD-10 code. Codes are updated annually, so use the current-year edition.]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PRESENTATION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Predominantly inattentive     ☐  Predominantly hyperactive-impulsive     ☐  Combined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DIAGNOSIS NOT MADE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Criteria not met     ☐  Insufficient information     [What would be needed]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PLAN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[Treatment, referral, or repeat assessment and when]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PRESCRIBING A CONTROLLED SUBSTANCE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Confirm current federal and state telehealth rules apply to this visit format.</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CLINICIAN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NAME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SCOPE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Can prescribe     ☐  Cannot prescribe, referral made to [   ]</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STATUS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Scale results and the diagnosis are part of the clinical record. Neither is a psychotherapy note.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Adult ADHD Evaluation Record</w:t>
      <w:br w:type="textWrapping"/>
    </w:r>
    <w:r w:rsidDel="00000000" w:rsidR="00000000" w:rsidRPr="00000000">
      <w:rPr>
        <w:rFonts w:ascii="Montserrat" w:cs="Montserrat" w:eastAsia="Montserrat" w:hAnsi="Montserrat"/>
        <w:color w:val="ffffff"/>
        <w:sz w:val="20"/>
        <w:szCs w:val="20"/>
        <w:rtl w:val="0"/>
      </w:rPr>
      <w:t xml:space="preserve">Criteria walk, instruments used, collateral, and differential</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2026-09-14T16:06:18Z</dcterms:modified>
  <cp:category>C</cp:category>
</cp:coreProperties>
</file>