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C645" w14:textId="77777777" w:rsidR="0087652D" w:rsidRPr="0087652D" w:rsidRDefault="0087652D" w:rsidP="0087652D">
      <w:pPr>
        <w:rPr>
          <w:b/>
          <w:bCs/>
        </w:rPr>
      </w:pPr>
      <w:r w:rsidRPr="0087652D">
        <w:rPr>
          <w:b/>
          <w:bCs/>
        </w:rPr>
        <w:t>EDT Privacy Notice</w:t>
      </w:r>
    </w:p>
    <w:p w14:paraId="2F97A725" w14:textId="6ACC7FF8" w:rsidR="0087652D" w:rsidRDefault="0087652D" w:rsidP="0087652D">
      <w:r w:rsidRPr="0087652D">
        <w:rPr>
          <w:b/>
          <w:bCs/>
        </w:rPr>
        <w:t>Effective date:</w:t>
      </w:r>
      <w:r w:rsidRPr="0087652D">
        <w:t xml:space="preserve"> </w:t>
      </w:r>
      <w:r w:rsidR="005B182C">
        <w:t>March</w:t>
      </w:r>
      <w:r w:rsidRPr="0087652D">
        <w:t xml:space="preserve"> 2026</w:t>
      </w:r>
      <w:r w:rsidRPr="0087652D">
        <w:br/>
      </w:r>
      <w:r w:rsidRPr="0087652D">
        <w:rPr>
          <w:b/>
          <w:bCs/>
        </w:rPr>
        <w:t>Who we are:</w:t>
      </w:r>
      <w:r w:rsidRPr="0087652D">
        <w:t xml:space="preserve"> Engineering Development Trust (“</w:t>
      </w:r>
      <w:r w:rsidRPr="0087652D">
        <w:rPr>
          <w:b/>
          <w:bCs/>
        </w:rPr>
        <w:t>EDT</w:t>
      </w:r>
      <w:r w:rsidRPr="0087652D">
        <w:t>”, “we”, “us”, “our”).</w:t>
      </w:r>
      <w:r w:rsidRPr="0087652D">
        <w:br/>
      </w:r>
      <w:r w:rsidRPr="0087652D">
        <w:rPr>
          <w:b/>
          <w:bCs/>
        </w:rPr>
        <w:t>Contact:</w:t>
      </w:r>
      <w:r w:rsidRPr="0087652D">
        <w:t xml:space="preserve"> </w:t>
      </w:r>
    </w:p>
    <w:p w14:paraId="4E7852C7" w14:textId="44FD315D" w:rsidR="0087652D" w:rsidRDefault="0087652D" w:rsidP="0087652D">
      <w:pPr>
        <w:pStyle w:val="ListParagraph"/>
        <w:numPr>
          <w:ilvl w:val="0"/>
          <w:numId w:val="9"/>
        </w:numPr>
      </w:pPr>
      <w:r w:rsidRPr="0087652D">
        <w:t>data protection queries</w:t>
      </w:r>
      <w:r>
        <w:t xml:space="preserve"> - </w:t>
      </w:r>
      <w:hyperlink r:id="rId8" w:history="1">
        <w:r w:rsidRPr="009A7DA5">
          <w:rPr>
            <w:rStyle w:val="Hyperlink"/>
          </w:rPr>
          <w:t>data@etrust.org.uk</w:t>
        </w:r>
      </w:hyperlink>
    </w:p>
    <w:p w14:paraId="6D6B4245" w14:textId="72BA56DB" w:rsidR="0087652D" w:rsidRDefault="0087652D" w:rsidP="0087652D">
      <w:pPr>
        <w:pStyle w:val="ListParagraph"/>
        <w:numPr>
          <w:ilvl w:val="0"/>
          <w:numId w:val="9"/>
        </w:numPr>
      </w:pPr>
      <w:r w:rsidRPr="0087652D">
        <w:t>marketing/consent preferences</w:t>
      </w:r>
      <w:r>
        <w:t xml:space="preserve"> - </w:t>
      </w:r>
      <w:hyperlink r:id="rId9" w:history="1">
        <w:r w:rsidR="00EC3470" w:rsidRPr="009A7DA5">
          <w:rPr>
            <w:rStyle w:val="Hyperlink"/>
          </w:rPr>
          <w:t>marketing@etrust.org.uk</w:t>
        </w:r>
      </w:hyperlink>
    </w:p>
    <w:p w14:paraId="650A9C0D" w14:textId="77777777" w:rsidR="00EC3470" w:rsidRPr="0087652D" w:rsidRDefault="00EC3470" w:rsidP="00EC3470">
      <w:pPr>
        <w:pStyle w:val="ListParagraph"/>
      </w:pPr>
    </w:p>
    <w:p w14:paraId="46DA3EFC" w14:textId="77777777" w:rsidR="0087652D" w:rsidRPr="0087652D" w:rsidRDefault="00000000" w:rsidP="0087652D">
      <w:r>
        <w:pict w14:anchorId="3A41628C">
          <v:rect id="_x0000_i1025" style="width:0;height:1.5pt" o:hralign="center" o:hrstd="t" o:hr="t" fillcolor="#a0a0a0" stroked="f"/>
        </w:pict>
      </w:r>
    </w:p>
    <w:p w14:paraId="3DAF355F" w14:textId="77777777" w:rsidR="0087652D" w:rsidRPr="0087652D" w:rsidRDefault="0087652D" w:rsidP="0087652D">
      <w:pPr>
        <w:rPr>
          <w:b/>
          <w:bCs/>
        </w:rPr>
      </w:pPr>
      <w:r w:rsidRPr="0087652D">
        <w:rPr>
          <w:b/>
          <w:bCs/>
        </w:rPr>
        <w:t>1) Scope of this notice</w:t>
      </w:r>
    </w:p>
    <w:p w14:paraId="059F3F9A" w14:textId="5FB676DD" w:rsidR="0087652D" w:rsidRPr="0087652D" w:rsidRDefault="0087652D" w:rsidP="0087652D">
      <w:r w:rsidRPr="0087652D">
        <w:t xml:space="preserve">This notice explains how EDT collects and uses personal information when you work with us, participate in our programmes, volunteer, supply services, or interact with our websites and online learning platforms. We process personal data in line with the </w:t>
      </w:r>
      <w:r w:rsidRPr="0087652D">
        <w:rPr>
          <w:b/>
          <w:bCs/>
        </w:rPr>
        <w:t>UK GDPR</w:t>
      </w:r>
      <w:r w:rsidRPr="0087652D">
        <w:t xml:space="preserve">, </w:t>
      </w:r>
      <w:r w:rsidRPr="0087652D">
        <w:rPr>
          <w:b/>
          <w:bCs/>
        </w:rPr>
        <w:t>Data Protection Act 2018</w:t>
      </w:r>
      <w:r w:rsidRPr="0087652D">
        <w:t xml:space="preserve">, and the </w:t>
      </w:r>
      <w:r w:rsidRPr="0087652D">
        <w:rPr>
          <w:b/>
          <w:bCs/>
        </w:rPr>
        <w:t>Data (Use and Access) Act 2025</w:t>
      </w:r>
      <w:r w:rsidRPr="0087652D">
        <w:t>. The DUAA updates parts of UK GDPR/DPA 2018 and is being phased in across 2025–2026</w:t>
      </w:r>
    </w:p>
    <w:p w14:paraId="4957B25D" w14:textId="77777777" w:rsidR="0087652D" w:rsidRPr="0087652D" w:rsidRDefault="00000000" w:rsidP="0087652D">
      <w:r>
        <w:pict w14:anchorId="796E5A04">
          <v:rect id="_x0000_i1026" style="width:0;height:1.5pt" o:hralign="center" o:hrstd="t" o:hr="t" fillcolor="#a0a0a0" stroked="f"/>
        </w:pict>
      </w:r>
    </w:p>
    <w:p w14:paraId="44627533" w14:textId="77777777" w:rsidR="0087652D" w:rsidRPr="0087652D" w:rsidRDefault="0087652D" w:rsidP="0087652D">
      <w:pPr>
        <w:rPr>
          <w:b/>
          <w:bCs/>
        </w:rPr>
      </w:pPr>
      <w:r w:rsidRPr="0087652D">
        <w:rPr>
          <w:b/>
          <w:bCs/>
        </w:rPr>
        <w:t>2) The personal data we collect</w:t>
      </w:r>
    </w:p>
    <w:p w14:paraId="1036F016" w14:textId="77777777" w:rsidR="0087652D" w:rsidRPr="0087652D" w:rsidRDefault="0087652D" w:rsidP="0087652D">
      <w:pPr>
        <w:rPr>
          <w:b/>
          <w:bCs/>
        </w:rPr>
      </w:pPr>
      <w:r w:rsidRPr="0087652D">
        <w:rPr>
          <w:b/>
          <w:bCs/>
        </w:rPr>
        <w:t>A. Students under 16</w:t>
      </w:r>
    </w:p>
    <w:p w14:paraId="26A52534" w14:textId="77777777" w:rsidR="0087652D" w:rsidRPr="0087652D" w:rsidRDefault="0087652D" w:rsidP="0087652D">
      <w:pPr>
        <w:numPr>
          <w:ilvl w:val="0"/>
          <w:numId w:val="1"/>
        </w:numPr>
      </w:pPr>
      <w:r w:rsidRPr="0087652D">
        <w:t>Name, date of birth, address, email</w:t>
      </w:r>
    </w:p>
    <w:p w14:paraId="289111FC" w14:textId="77777777" w:rsidR="0087652D" w:rsidRPr="0087652D" w:rsidRDefault="0087652D" w:rsidP="0087652D">
      <w:pPr>
        <w:numPr>
          <w:ilvl w:val="0"/>
          <w:numId w:val="1"/>
        </w:numPr>
      </w:pPr>
      <w:r w:rsidRPr="0087652D">
        <w:t>School name and address</w:t>
      </w:r>
    </w:p>
    <w:p w14:paraId="606BBF12" w14:textId="77777777" w:rsidR="0087652D" w:rsidRPr="0087652D" w:rsidRDefault="0087652D" w:rsidP="0087652D">
      <w:pPr>
        <w:numPr>
          <w:ilvl w:val="0"/>
          <w:numId w:val="1"/>
        </w:numPr>
      </w:pPr>
      <w:r w:rsidRPr="0087652D">
        <w:t>Diversity data (e.g., nationality, ethnicity, gender)</w:t>
      </w:r>
    </w:p>
    <w:p w14:paraId="208DFD2B" w14:textId="77777777" w:rsidR="0087652D" w:rsidRPr="0087652D" w:rsidRDefault="0087652D" w:rsidP="0087652D">
      <w:pPr>
        <w:numPr>
          <w:ilvl w:val="0"/>
          <w:numId w:val="1"/>
        </w:numPr>
      </w:pPr>
      <w:r w:rsidRPr="0087652D">
        <w:t>Consent from a teacher/parent/guardian to participate</w:t>
      </w:r>
    </w:p>
    <w:p w14:paraId="0236161E" w14:textId="77777777" w:rsidR="0087652D" w:rsidRPr="0087652D" w:rsidRDefault="0087652D" w:rsidP="0087652D">
      <w:pPr>
        <w:numPr>
          <w:ilvl w:val="0"/>
          <w:numId w:val="1"/>
        </w:numPr>
      </w:pPr>
      <w:r w:rsidRPr="0087652D">
        <w:t>Parent/guardian name, email and phone</w:t>
      </w:r>
    </w:p>
    <w:p w14:paraId="6FFB38EA" w14:textId="77777777" w:rsidR="0087652D" w:rsidRPr="0087652D" w:rsidRDefault="0087652D" w:rsidP="0087652D">
      <w:r w:rsidRPr="0087652D">
        <w:rPr>
          <w:b/>
          <w:bCs/>
        </w:rPr>
        <w:t>Why:</w:t>
      </w:r>
      <w:r w:rsidRPr="0087652D">
        <w:t xml:space="preserve"> to enable participation, certification/awards, safeguarding, and access to our learning portal(s).</w:t>
      </w:r>
    </w:p>
    <w:p w14:paraId="13C355CF" w14:textId="77777777" w:rsidR="0087652D" w:rsidRPr="0087652D" w:rsidRDefault="0087652D" w:rsidP="0087652D">
      <w:r w:rsidRPr="0087652D">
        <w:rPr>
          <w:b/>
          <w:bCs/>
        </w:rPr>
        <w:t>Retention:</w:t>
      </w:r>
      <w:r w:rsidRPr="0087652D">
        <w:t xml:space="preserve"> we remove this data </w:t>
      </w:r>
      <w:r w:rsidRPr="0087652D">
        <w:rPr>
          <w:b/>
          <w:bCs/>
        </w:rPr>
        <w:t>within 18 months</w:t>
      </w:r>
      <w:r w:rsidRPr="0087652D">
        <w:t xml:space="preserve"> of you completing your experience/receiving your Industrial Cadets Award, unless a longer period is necessary for safeguarding, legal, or regulatory reasons.</w:t>
      </w:r>
    </w:p>
    <w:p w14:paraId="47BFA6DD" w14:textId="77777777" w:rsidR="0087652D" w:rsidRPr="0087652D" w:rsidRDefault="0087652D" w:rsidP="0087652D">
      <w:pPr>
        <w:rPr>
          <w:b/>
          <w:bCs/>
        </w:rPr>
      </w:pPr>
      <w:r w:rsidRPr="0087652D">
        <w:rPr>
          <w:b/>
          <w:bCs/>
        </w:rPr>
        <w:t>B. Students 16 and over</w:t>
      </w:r>
    </w:p>
    <w:p w14:paraId="1E713CC3" w14:textId="77777777" w:rsidR="0087652D" w:rsidRPr="0087652D" w:rsidRDefault="0087652D" w:rsidP="0087652D">
      <w:pPr>
        <w:numPr>
          <w:ilvl w:val="0"/>
          <w:numId w:val="2"/>
        </w:numPr>
      </w:pPr>
      <w:r w:rsidRPr="0087652D">
        <w:t>Name, date of birth, address, email, mobile number</w:t>
      </w:r>
    </w:p>
    <w:p w14:paraId="7934BB76" w14:textId="77777777" w:rsidR="0087652D" w:rsidRPr="0087652D" w:rsidRDefault="0087652D" w:rsidP="0087652D">
      <w:pPr>
        <w:numPr>
          <w:ilvl w:val="0"/>
          <w:numId w:val="2"/>
        </w:numPr>
      </w:pPr>
      <w:r w:rsidRPr="0087652D">
        <w:t>Diversity data (e.g., nationality, ethnicity, gender)</w:t>
      </w:r>
    </w:p>
    <w:p w14:paraId="770887AA" w14:textId="77777777" w:rsidR="0087652D" w:rsidRPr="0087652D" w:rsidRDefault="0087652D" w:rsidP="0087652D">
      <w:pPr>
        <w:numPr>
          <w:ilvl w:val="0"/>
          <w:numId w:val="2"/>
        </w:numPr>
      </w:pPr>
      <w:r w:rsidRPr="0087652D">
        <w:t>Parent/guardian contact details (where appropriate)</w:t>
      </w:r>
    </w:p>
    <w:p w14:paraId="1D4970E2" w14:textId="77777777" w:rsidR="0087652D" w:rsidRPr="0087652D" w:rsidRDefault="0087652D" w:rsidP="0087652D">
      <w:pPr>
        <w:numPr>
          <w:ilvl w:val="0"/>
          <w:numId w:val="2"/>
        </w:numPr>
      </w:pPr>
      <w:r w:rsidRPr="0087652D">
        <w:lastRenderedPageBreak/>
        <w:t>Programme</w:t>
      </w:r>
      <w:r w:rsidRPr="0087652D">
        <w:noBreakHyphen/>
        <w:t>specific information (e.g., CV for work placements)</w:t>
      </w:r>
    </w:p>
    <w:p w14:paraId="257C45C6" w14:textId="77777777" w:rsidR="0087652D" w:rsidRPr="0087652D" w:rsidRDefault="0087652D" w:rsidP="0087652D">
      <w:r w:rsidRPr="0087652D">
        <w:rPr>
          <w:b/>
          <w:bCs/>
        </w:rPr>
        <w:t>Why:</w:t>
      </w:r>
      <w:r w:rsidRPr="0087652D">
        <w:t xml:space="preserve"> to enable participation, certification/awards, safeguarding where relevant, and learning platform access. We may invite you to join EDT alumni communications; you can unsubscribe at any time.</w:t>
      </w:r>
    </w:p>
    <w:p w14:paraId="2B8D9532" w14:textId="77777777" w:rsidR="0087652D" w:rsidRPr="0087652D" w:rsidRDefault="0087652D" w:rsidP="0087652D">
      <w:pPr>
        <w:rPr>
          <w:b/>
          <w:bCs/>
        </w:rPr>
      </w:pPr>
      <w:r w:rsidRPr="0087652D">
        <w:rPr>
          <w:b/>
          <w:bCs/>
        </w:rPr>
        <w:t>C. Supporting companies, schools, and partners (including volunteers)</w:t>
      </w:r>
    </w:p>
    <w:p w14:paraId="71A177F4" w14:textId="77777777" w:rsidR="0087652D" w:rsidRPr="0087652D" w:rsidRDefault="0087652D" w:rsidP="0087652D">
      <w:pPr>
        <w:numPr>
          <w:ilvl w:val="0"/>
          <w:numId w:val="3"/>
        </w:numPr>
      </w:pPr>
      <w:r w:rsidRPr="0087652D">
        <w:t>Name, email, phone, job title, workplace address</w:t>
      </w:r>
    </w:p>
    <w:p w14:paraId="5A83AED8" w14:textId="77777777" w:rsidR="0087652D" w:rsidRPr="0087652D" w:rsidRDefault="0087652D" w:rsidP="0087652D">
      <w:pPr>
        <w:numPr>
          <w:ilvl w:val="0"/>
          <w:numId w:val="3"/>
        </w:numPr>
      </w:pPr>
      <w:r w:rsidRPr="0087652D">
        <w:rPr>
          <w:b/>
          <w:bCs/>
        </w:rPr>
        <w:t>Volunteers:</w:t>
      </w:r>
      <w:r w:rsidRPr="0087652D">
        <w:t xml:space="preserve"> DBS/PVG confirmation for safeguarding</w:t>
      </w:r>
    </w:p>
    <w:p w14:paraId="08D78132" w14:textId="77777777" w:rsidR="0087652D" w:rsidRPr="0087652D" w:rsidRDefault="00000000" w:rsidP="0087652D">
      <w:r>
        <w:pict w14:anchorId="19803E65">
          <v:rect id="_x0000_i1027" style="width:0;height:1.5pt" o:hralign="center" o:hrstd="t" o:hr="t" fillcolor="#a0a0a0" stroked="f"/>
        </w:pict>
      </w:r>
    </w:p>
    <w:p w14:paraId="4E83FDC8" w14:textId="77777777" w:rsidR="0087652D" w:rsidRPr="0087652D" w:rsidRDefault="0087652D" w:rsidP="0087652D">
      <w:pPr>
        <w:rPr>
          <w:b/>
          <w:bCs/>
        </w:rPr>
      </w:pPr>
      <w:r w:rsidRPr="0087652D">
        <w:rPr>
          <w:b/>
          <w:bCs/>
        </w:rPr>
        <w:t>3) Where we get your data</w:t>
      </w:r>
    </w:p>
    <w:p w14:paraId="38ABB859" w14:textId="77777777" w:rsidR="0087652D" w:rsidRPr="0087652D" w:rsidRDefault="0087652D" w:rsidP="0087652D">
      <w:pPr>
        <w:numPr>
          <w:ilvl w:val="0"/>
          <w:numId w:val="4"/>
        </w:numPr>
      </w:pPr>
      <w:r w:rsidRPr="0087652D">
        <w:t>Directly from you (forms, emails, events, calls, surveys)</w:t>
      </w:r>
    </w:p>
    <w:p w14:paraId="2ECC0E3E" w14:textId="77777777" w:rsidR="0087652D" w:rsidRPr="0087652D" w:rsidRDefault="0087652D" w:rsidP="0087652D">
      <w:pPr>
        <w:numPr>
          <w:ilvl w:val="0"/>
          <w:numId w:val="4"/>
        </w:numPr>
      </w:pPr>
      <w:r w:rsidRPr="0087652D">
        <w:t>From your school/college/teacher/parent/guardian (where relevant)</w:t>
      </w:r>
    </w:p>
    <w:p w14:paraId="654B272E" w14:textId="77777777" w:rsidR="0087652D" w:rsidRPr="0087652D" w:rsidRDefault="0087652D" w:rsidP="0087652D">
      <w:pPr>
        <w:numPr>
          <w:ilvl w:val="0"/>
          <w:numId w:val="4"/>
        </w:numPr>
      </w:pPr>
      <w:r w:rsidRPr="0087652D">
        <w:t>From supporting companies/partners for programme logistics and security (e.g., site access)</w:t>
      </w:r>
    </w:p>
    <w:p w14:paraId="0F2AF491" w14:textId="77777777" w:rsidR="0087652D" w:rsidRPr="0087652D" w:rsidRDefault="00000000" w:rsidP="0087652D">
      <w:r>
        <w:pict w14:anchorId="67E674BE">
          <v:rect id="_x0000_i1028" style="width:0;height:1.5pt" o:hralign="center" o:hrstd="t" o:hr="t" fillcolor="#a0a0a0" stroked="f"/>
        </w:pict>
      </w:r>
    </w:p>
    <w:p w14:paraId="7DF524E1" w14:textId="77777777" w:rsidR="0087652D" w:rsidRPr="0087652D" w:rsidRDefault="0087652D" w:rsidP="0087652D">
      <w:pPr>
        <w:rPr>
          <w:b/>
          <w:bCs/>
        </w:rPr>
      </w:pPr>
      <w:r w:rsidRPr="0087652D">
        <w:rPr>
          <w:b/>
          <w:bCs/>
        </w:rPr>
        <w:t>4) How we use your data (purposes)</w:t>
      </w:r>
    </w:p>
    <w:p w14:paraId="4094D382" w14:textId="77777777" w:rsidR="0087652D" w:rsidRPr="0087652D" w:rsidRDefault="0087652D" w:rsidP="0087652D">
      <w:r w:rsidRPr="0087652D">
        <w:t>We use personal data to:</w:t>
      </w:r>
    </w:p>
    <w:p w14:paraId="2883012A" w14:textId="77777777" w:rsidR="0087652D" w:rsidRPr="0087652D" w:rsidRDefault="0087652D" w:rsidP="0087652D">
      <w:pPr>
        <w:numPr>
          <w:ilvl w:val="0"/>
          <w:numId w:val="5"/>
        </w:numPr>
      </w:pPr>
      <w:r w:rsidRPr="0087652D">
        <w:t>Maintain and develop our relationship with you and your organisation</w:t>
      </w:r>
    </w:p>
    <w:p w14:paraId="44D0610E" w14:textId="77777777" w:rsidR="0087652D" w:rsidRPr="0087652D" w:rsidRDefault="0087652D" w:rsidP="0087652D">
      <w:pPr>
        <w:numPr>
          <w:ilvl w:val="0"/>
          <w:numId w:val="5"/>
        </w:numPr>
      </w:pPr>
      <w:r w:rsidRPr="0087652D">
        <w:t>Administer and deliver programmes you join (including enrolment, learning platforms, assessments, awards/certificates)</w:t>
      </w:r>
    </w:p>
    <w:p w14:paraId="092823CA" w14:textId="77777777" w:rsidR="0087652D" w:rsidRPr="0087652D" w:rsidRDefault="0087652D" w:rsidP="0087652D">
      <w:pPr>
        <w:numPr>
          <w:ilvl w:val="0"/>
          <w:numId w:val="5"/>
        </w:numPr>
      </w:pPr>
      <w:r w:rsidRPr="0087652D">
        <w:t>Communicate about programmes you are in or may be interested in</w:t>
      </w:r>
    </w:p>
    <w:p w14:paraId="63F1BDB8" w14:textId="77777777" w:rsidR="0087652D" w:rsidRPr="0087652D" w:rsidRDefault="0087652D" w:rsidP="0087652D">
      <w:pPr>
        <w:numPr>
          <w:ilvl w:val="0"/>
          <w:numId w:val="5"/>
        </w:numPr>
      </w:pPr>
      <w:r w:rsidRPr="0087652D">
        <w:t>Manage safeguarding, risk, and health &amp; safety</w:t>
      </w:r>
    </w:p>
    <w:p w14:paraId="4C0824AB" w14:textId="77777777" w:rsidR="0087652D" w:rsidRPr="0087652D" w:rsidRDefault="0087652D" w:rsidP="0087652D">
      <w:pPr>
        <w:numPr>
          <w:ilvl w:val="0"/>
          <w:numId w:val="5"/>
        </w:numPr>
      </w:pPr>
      <w:r w:rsidRPr="0087652D">
        <w:t>Evaluate impact (e.g., follow</w:t>
      </w:r>
      <w:r w:rsidRPr="0087652D">
        <w:noBreakHyphen/>
        <w:t>up about education/career pathways)</w:t>
      </w:r>
    </w:p>
    <w:p w14:paraId="6F739261" w14:textId="77777777" w:rsidR="0087652D" w:rsidRPr="0087652D" w:rsidRDefault="0087652D" w:rsidP="0087652D">
      <w:pPr>
        <w:numPr>
          <w:ilvl w:val="0"/>
          <w:numId w:val="5"/>
        </w:numPr>
      </w:pPr>
      <w:r w:rsidRPr="0087652D">
        <w:t>Operate events (including webinars and video</w:t>
      </w:r>
      <w:r w:rsidRPr="0087652D">
        <w:noBreakHyphen/>
        <w:t>conferencing)</w:t>
      </w:r>
    </w:p>
    <w:p w14:paraId="3FC38069" w14:textId="77777777" w:rsidR="0087652D" w:rsidRPr="0087652D" w:rsidRDefault="0087652D" w:rsidP="0087652D">
      <w:pPr>
        <w:numPr>
          <w:ilvl w:val="0"/>
          <w:numId w:val="5"/>
        </w:numPr>
      </w:pPr>
      <w:r w:rsidRPr="0087652D">
        <w:t>Manage volunteers and partner engagement (including DBS/PVG checks)</w:t>
      </w:r>
    </w:p>
    <w:p w14:paraId="4A2208A5" w14:textId="77777777" w:rsidR="0087652D" w:rsidRPr="0087652D" w:rsidRDefault="0087652D" w:rsidP="0087652D">
      <w:pPr>
        <w:numPr>
          <w:ilvl w:val="0"/>
          <w:numId w:val="5"/>
        </w:numPr>
      </w:pPr>
      <w:r w:rsidRPr="0087652D">
        <w:t>Comply with legal and regulatory obligations</w:t>
      </w:r>
    </w:p>
    <w:p w14:paraId="16B28D3E" w14:textId="77777777" w:rsidR="0087652D" w:rsidRPr="0087652D" w:rsidRDefault="00000000" w:rsidP="0087652D">
      <w:r>
        <w:pict w14:anchorId="0F1984E1">
          <v:rect id="_x0000_i1029" style="width:0;height:1.5pt" o:hralign="center" o:hrstd="t" o:hr="t" fillcolor="#a0a0a0" stroked="f"/>
        </w:pict>
      </w:r>
    </w:p>
    <w:p w14:paraId="5AE13B32" w14:textId="77777777" w:rsidR="0087652D" w:rsidRPr="0087652D" w:rsidRDefault="0087652D" w:rsidP="0087652D">
      <w:pPr>
        <w:rPr>
          <w:b/>
          <w:bCs/>
        </w:rPr>
      </w:pPr>
      <w:r w:rsidRPr="0087652D">
        <w:rPr>
          <w:b/>
          <w:bCs/>
        </w:rPr>
        <w:t>5) Our lawful bases for processing</w:t>
      </w:r>
    </w:p>
    <w:p w14:paraId="0DA8C56F" w14:textId="77777777" w:rsidR="0087652D" w:rsidRPr="0087652D" w:rsidRDefault="0087652D" w:rsidP="0087652D">
      <w:r w:rsidRPr="0087652D">
        <w:t>Depending on the context, we rely on one or more of the following lawful bases:</w:t>
      </w:r>
    </w:p>
    <w:p w14:paraId="1EAAE5C1" w14:textId="77777777" w:rsidR="0087652D" w:rsidRPr="0087652D" w:rsidRDefault="0087652D" w:rsidP="0087652D">
      <w:pPr>
        <w:numPr>
          <w:ilvl w:val="0"/>
          <w:numId w:val="6"/>
        </w:numPr>
      </w:pPr>
      <w:r w:rsidRPr="0087652D">
        <w:rPr>
          <w:b/>
          <w:bCs/>
        </w:rPr>
        <w:lastRenderedPageBreak/>
        <w:t>Consent</w:t>
      </w:r>
      <w:r w:rsidRPr="0087652D">
        <w:t xml:space="preserve"> (e.g., optional photos/video or alumni communications; you can withdraw at any time).</w:t>
      </w:r>
    </w:p>
    <w:p w14:paraId="1D3CD9F5" w14:textId="77777777" w:rsidR="0087652D" w:rsidRPr="0087652D" w:rsidRDefault="0087652D" w:rsidP="0087652D">
      <w:pPr>
        <w:numPr>
          <w:ilvl w:val="0"/>
          <w:numId w:val="6"/>
        </w:numPr>
      </w:pPr>
      <w:r w:rsidRPr="0087652D">
        <w:rPr>
          <w:b/>
          <w:bCs/>
        </w:rPr>
        <w:t>Contract</w:t>
      </w:r>
      <w:r w:rsidRPr="0087652D">
        <w:t xml:space="preserve"> (to register you on a programme and deliver services you request).</w:t>
      </w:r>
    </w:p>
    <w:p w14:paraId="4282525D" w14:textId="77777777" w:rsidR="0087652D" w:rsidRPr="0087652D" w:rsidRDefault="0087652D" w:rsidP="0087652D">
      <w:pPr>
        <w:numPr>
          <w:ilvl w:val="0"/>
          <w:numId w:val="6"/>
        </w:numPr>
      </w:pPr>
      <w:r w:rsidRPr="0087652D">
        <w:rPr>
          <w:b/>
          <w:bCs/>
        </w:rPr>
        <w:t>Legal obligation</w:t>
      </w:r>
      <w:r w:rsidRPr="0087652D">
        <w:t xml:space="preserve"> (e.g., safeguarding, health &amp; safety, statutory reporting).</w:t>
      </w:r>
    </w:p>
    <w:p w14:paraId="1C9E82C5" w14:textId="77777777" w:rsidR="0087652D" w:rsidRPr="0087652D" w:rsidRDefault="0087652D" w:rsidP="0087652D">
      <w:pPr>
        <w:numPr>
          <w:ilvl w:val="0"/>
          <w:numId w:val="6"/>
        </w:numPr>
      </w:pPr>
      <w:r w:rsidRPr="0087652D">
        <w:rPr>
          <w:b/>
          <w:bCs/>
        </w:rPr>
        <w:t>Vital interests</w:t>
      </w:r>
      <w:r w:rsidRPr="0087652D">
        <w:t xml:space="preserve"> (e.g., emergencies).</w:t>
      </w:r>
    </w:p>
    <w:p w14:paraId="080B6FE6" w14:textId="77777777" w:rsidR="0087652D" w:rsidRPr="0087652D" w:rsidRDefault="0087652D" w:rsidP="0087652D">
      <w:pPr>
        <w:numPr>
          <w:ilvl w:val="0"/>
          <w:numId w:val="6"/>
        </w:numPr>
      </w:pPr>
      <w:r w:rsidRPr="0087652D">
        <w:rPr>
          <w:b/>
          <w:bCs/>
        </w:rPr>
        <w:t>Legitimate interests</w:t>
      </w:r>
      <w:r w:rsidRPr="0087652D">
        <w:t xml:space="preserve"> (e.g., running and improving our programmes; you can object).</w:t>
      </w:r>
    </w:p>
    <w:p w14:paraId="39D0841A" w14:textId="359E9CA6" w:rsidR="0087652D" w:rsidRPr="0087652D" w:rsidRDefault="0087652D" w:rsidP="0087652D">
      <w:pPr>
        <w:numPr>
          <w:ilvl w:val="0"/>
          <w:numId w:val="6"/>
        </w:numPr>
      </w:pPr>
      <w:r w:rsidRPr="0087652D">
        <w:rPr>
          <w:b/>
          <w:bCs/>
        </w:rPr>
        <w:t>Recognised legitimate interests</w:t>
      </w:r>
      <w:r w:rsidRPr="0087652D">
        <w:t xml:space="preserve"> – a new lawful basis under UK law for specified public</w:t>
      </w:r>
      <w:r w:rsidRPr="0087652D">
        <w:noBreakHyphen/>
        <w:t xml:space="preserve">interest purposes (e.g., safeguarding or crime prevention) where no balancing test is required. This basis </w:t>
      </w:r>
      <w:r w:rsidRPr="0087652D">
        <w:rPr>
          <w:b/>
          <w:bCs/>
        </w:rPr>
        <w:t>does not</w:t>
      </w:r>
      <w:r w:rsidRPr="0087652D">
        <w:t xml:space="preserve"> cover commercial processing or marketing activities.</w:t>
      </w:r>
    </w:p>
    <w:p w14:paraId="0F68A01B" w14:textId="25658A27" w:rsidR="0087652D" w:rsidRPr="0087652D" w:rsidRDefault="0087652D" w:rsidP="0087652D">
      <w:r w:rsidRPr="0087652D">
        <w:rPr>
          <w:b/>
          <w:bCs/>
        </w:rPr>
        <w:t>Note:</w:t>
      </w:r>
      <w:r w:rsidRPr="0087652D">
        <w:t xml:space="preserve"> The DUAA introduced the </w:t>
      </w:r>
      <w:r w:rsidRPr="0087652D">
        <w:rPr>
          <w:i/>
          <w:iCs/>
        </w:rPr>
        <w:t xml:space="preserve">recognised legitimate </w:t>
      </w:r>
      <w:proofErr w:type="gramStart"/>
      <w:r w:rsidRPr="0087652D">
        <w:rPr>
          <w:i/>
          <w:iCs/>
        </w:rPr>
        <w:t>interests</w:t>
      </w:r>
      <w:proofErr w:type="gramEnd"/>
      <w:r w:rsidRPr="0087652D">
        <w:t xml:space="preserve"> basis and clarifies when it can be relied upon; this sits alongside existing Article 6 bases and is limited to pre</w:t>
      </w:r>
      <w:r w:rsidRPr="0087652D">
        <w:noBreakHyphen/>
        <w:t xml:space="preserve">approved purposes defined in law. </w:t>
      </w:r>
    </w:p>
    <w:p w14:paraId="3BD2EA4D" w14:textId="77777777" w:rsidR="0087652D" w:rsidRPr="0087652D" w:rsidRDefault="00000000" w:rsidP="0087652D">
      <w:r>
        <w:pict w14:anchorId="610B55C5">
          <v:rect id="_x0000_i1030" style="width:0;height:1.5pt" o:hralign="center" o:hrstd="t" o:hr="t" fillcolor="#a0a0a0" stroked="f"/>
        </w:pict>
      </w:r>
    </w:p>
    <w:p w14:paraId="2573522F" w14:textId="77777777" w:rsidR="0087652D" w:rsidRPr="0087652D" w:rsidRDefault="0087652D" w:rsidP="0087652D">
      <w:pPr>
        <w:rPr>
          <w:b/>
          <w:bCs/>
        </w:rPr>
      </w:pPr>
      <w:r w:rsidRPr="0087652D">
        <w:rPr>
          <w:b/>
          <w:bCs/>
        </w:rPr>
        <w:t>6) Special category data &amp; criminal records</w:t>
      </w:r>
    </w:p>
    <w:p w14:paraId="5424901E" w14:textId="77777777" w:rsidR="0087652D" w:rsidRPr="0087652D" w:rsidRDefault="0087652D" w:rsidP="0087652D">
      <w:r w:rsidRPr="0087652D">
        <w:t xml:space="preserve">Where we process diversity data (e.g., ethnicity) or health/disability information, we do so under UK GDPR conditions that require additional safeguards. For volunteers, we process </w:t>
      </w:r>
      <w:r w:rsidRPr="0087652D">
        <w:rPr>
          <w:b/>
          <w:bCs/>
        </w:rPr>
        <w:t>DBS/PVG</w:t>
      </w:r>
      <w:r w:rsidRPr="0087652D">
        <w:t xml:space="preserve"> status solely for safeguarding and role suitability, applying strict access controls.</w:t>
      </w:r>
    </w:p>
    <w:p w14:paraId="19B9ADD6" w14:textId="77777777" w:rsidR="0087652D" w:rsidRPr="0087652D" w:rsidRDefault="00000000" w:rsidP="0087652D">
      <w:r>
        <w:pict w14:anchorId="0AE662F3">
          <v:rect id="_x0000_i1031" style="width:0;height:1.5pt" o:hralign="center" o:hrstd="t" o:hr="t" fillcolor="#a0a0a0" stroked="f"/>
        </w:pict>
      </w:r>
    </w:p>
    <w:p w14:paraId="034EA38B" w14:textId="77777777" w:rsidR="0087652D" w:rsidRPr="0087652D" w:rsidRDefault="0087652D" w:rsidP="0087652D">
      <w:pPr>
        <w:rPr>
          <w:b/>
          <w:bCs/>
        </w:rPr>
      </w:pPr>
      <w:r w:rsidRPr="0087652D">
        <w:rPr>
          <w:b/>
          <w:bCs/>
        </w:rPr>
        <w:t>7) Automated decision</w:t>
      </w:r>
      <w:r w:rsidRPr="0087652D">
        <w:rPr>
          <w:b/>
          <w:bCs/>
        </w:rPr>
        <w:noBreakHyphen/>
        <w:t>making (ADM) and profiling</w:t>
      </w:r>
    </w:p>
    <w:p w14:paraId="7AE4B2D5" w14:textId="064A6F9D" w:rsidR="0087652D" w:rsidRPr="0087652D" w:rsidRDefault="0087652D" w:rsidP="0087652D">
      <w:r w:rsidRPr="0087652D">
        <w:t xml:space="preserve">If we use automated tools that make decisions with legal or similarly significant effects (for example, determining eligibility for certain programmes), UK law now allows a wider range of lawful bases for such ADM </w:t>
      </w:r>
      <w:r w:rsidRPr="0087652D">
        <w:rPr>
          <w:b/>
          <w:bCs/>
        </w:rPr>
        <w:t>for non</w:t>
      </w:r>
      <w:r w:rsidRPr="0087652D">
        <w:rPr>
          <w:b/>
          <w:bCs/>
        </w:rPr>
        <w:noBreakHyphen/>
        <w:t>special</w:t>
      </w:r>
      <w:r w:rsidRPr="0087652D">
        <w:rPr>
          <w:b/>
          <w:bCs/>
        </w:rPr>
        <w:noBreakHyphen/>
        <w:t>category data</w:t>
      </w:r>
      <w:r w:rsidRPr="0087652D">
        <w:t xml:space="preserve">, provided organisations implement specific safeguards. You will be given meaningful information about the decision, the right to obtain human review, to express your view, and to challenge the outcome. </w:t>
      </w:r>
    </w:p>
    <w:p w14:paraId="32AD7D15" w14:textId="77777777" w:rsidR="0087652D" w:rsidRPr="0087652D" w:rsidRDefault="00000000" w:rsidP="0087652D">
      <w:r>
        <w:pict w14:anchorId="436ECBD5">
          <v:rect id="_x0000_i1032" style="width:0;height:1.5pt" o:hralign="center" o:hrstd="t" o:hr="t" fillcolor="#a0a0a0" stroked="f"/>
        </w:pict>
      </w:r>
    </w:p>
    <w:p w14:paraId="44A4682B" w14:textId="77777777" w:rsidR="0087652D" w:rsidRPr="0087652D" w:rsidRDefault="0087652D" w:rsidP="0087652D">
      <w:pPr>
        <w:rPr>
          <w:b/>
          <w:bCs/>
        </w:rPr>
      </w:pPr>
      <w:r w:rsidRPr="0087652D">
        <w:rPr>
          <w:b/>
          <w:bCs/>
        </w:rPr>
        <w:t>8) Who we share data with</w:t>
      </w:r>
    </w:p>
    <w:p w14:paraId="723D15C8" w14:textId="77777777" w:rsidR="0087652D" w:rsidRPr="0087652D" w:rsidRDefault="0087652D" w:rsidP="0087652D">
      <w:r w:rsidRPr="0087652D">
        <w:t>We keep your information within EDT and share only what is necessary with:</w:t>
      </w:r>
    </w:p>
    <w:p w14:paraId="2C798388" w14:textId="77777777" w:rsidR="0087652D" w:rsidRPr="0087652D" w:rsidRDefault="0087652D" w:rsidP="0087652D">
      <w:pPr>
        <w:numPr>
          <w:ilvl w:val="0"/>
          <w:numId w:val="7"/>
        </w:numPr>
      </w:pPr>
      <w:r w:rsidRPr="0087652D">
        <w:rPr>
          <w:b/>
          <w:bCs/>
        </w:rPr>
        <w:t>Trusted delivery partners, funders, host organisations and event venues</w:t>
      </w:r>
      <w:r w:rsidRPr="0087652D">
        <w:t xml:space="preserve"> (to run activities)</w:t>
      </w:r>
    </w:p>
    <w:p w14:paraId="4CB7C535" w14:textId="77777777" w:rsidR="0087652D" w:rsidRPr="0087652D" w:rsidRDefault="0087652D" w:rsidP="0087652D">
      <w:pPr>
        <w:numPr>
          <w:ilvl w:val="0"/>
          <w:numId w:val="7"/>
        </w:numPr>
      </w:pPr>
      <w:r w:rsidRPr="0087652D">
        <w:rPr>
          <w:b/>
          <w:bCs/>
        </w:rPr>
        <w:lastRenderedPageBreak/>
        <w:t>Learning technology providers</w:t>
      </w:r>
      <w:r w:rsidRPr="0087652D">
        <w:t xml:space="preserve"> (e.g., learning management and webinar platforms)</w:t>
      </w:r>
    </w:p>
    <w:p w14:paraId="41156310" w14:textId="77777777" w:rsidR="0087652D" w:rsidRPr="0087652D" w:rsidRDefault="0087652D" w:rsidP="0087652D">
      <w:pPr>
        <w:numPr>
          <w:ilvl w:val="0"/>
          <w:numId w:val="7"/>
        </w:numPr>
      </w:pPr>
      <w:r w:rsidRPr="0087652D">
        <w:rPr>
          <w:b/>
          <w:bCs/>
        </w:rPr>
        <w:t>Professional advisers</w:t>
      </w:r>
      <w:r w:rsidRPr="0087652D">
        <w:t xml:space="preserve"> (e.g., auditors, legal counsel)</w:t>
      </w:r>
    </w:p>
    <w:p w14:paraId="6C862A5C" w14:textId="77777777" w:rsidR="0087652D" w:rsidRPr="0087652D" w:rsidRDefault="0087652D" w:rsidP="0087652D">
      <w:pPr>
        <w:numPr>
          <w:ilvl w:val="0"/>
          <w:numId w:val="7"/>
        </w:numPr>
      </w:pPr>
      <w:r w:rsidRPr="0087652D">
        <w:rPr>
          <w:b/>
          <w:bCs/>
        </w:rPr>
        <w:t>Law enforcement/regulators</w:t>
      </w:r>
      <w:r w:rsidRPr="0087652D">
        <w:t xml:space="preserve"> where disclosure is required by law</w:t>
      </w:r>
    </w:p>
    <w:p w14:paraId="72140B8C" w14:textId="77777777" w:rsidR="0087652D" w:rsidRPr="0087652D" w:rsidRDefault="0087652D" w:rsidP="0087652D">
      <w:r w:rsidRPr="0087652D">
        <w:t>We require all recipients to protect your data and use it only for the agreed purposes.</w:t>
      </w:r>
    </w:p>
    <w:p w14:paraId="060BEB14" w14:textId="77777777" w:rsidR="0087652D" w:rsidRPr="0087652D" w:rsidRDefault="00000000" w:rsidP="0087652D">
      <w:r>
        <w:pict w14:anchorId="0C8E9621">
          <v:rect id="_x0000_i1033" style="width:0;height:1.5pt" o:hralign="center" o:hrstd="t" o:hr="t" fillcolor="#a0a0a0" stroked="f"/>
        </w:pict>
      </w:r>
    </w:p>
    <w:p w14:paraId="1246236D" w14:textId="77777777" w:rsidR="0087652D" w:rsidRPr="0087652D" w:rsidRDefault="0087652D" w:rsidP="0087652D">
      <w:pPr>
        <w:rPr>
          <w:b/>
          <w:bCs/>
        </w:rPr>
      </w:pPr>
      <w:r w:rsidRPr="0087652D">
        <w:rPr>
          <w:b/>
          <w:bCs/>
        </w:rPr>
        <w:t>9) International transfers</w:t>
      </w:r>
    </w:p>
    <w:p w14:paraId="27C9D92D" w14:textId="7F8BF1A8" w:rsidR="0087652D" w:rsidRPr="0087652D" w:rsidRDefault="0087652D" w:rsidP="0087652D">
      <w:r w:rsidRPr="0087652D">
        <w:t xml:space="preserve">Some suppliers and platforms may process personal data outside the UK. Where we transfer data internationally, we ensure appropriate safeguards are in place (e.g., </w:t>
      </w:r>
      <w:r w:rsidRPr="0087652D">
        <w:rPr>
          <w:b/>
          <w:bCs/>
        </w:rPr>
        <w:t>UK International Data Transfer Agreement/Standard Contractual Clauses</w:t>
      </w:r>
      <w:r w:rsidRPr="0087652D">
        <w:t xml:space="preserve">) and rely on UK adequacy assessments. Under the DUAA, the UK may deem a country adequate where its protection is </w:t>
      </w:r>
      <w:r w:rsidRPr="0087652D">
        <w:rPr>
          <w:b/>
          <w:bCs/>
        </w:rPr>
        <w:t>“not materially lower”</w:t>
      </w:r>
      <w:r w:rsidRPr="0087652D">
        <w:t xml:space="preserve"> than the </w:t>
      </w:r>
      <w:proofErr w:type="gramStart"/>
      <w:r w:rsidRPr="0087652D">
        <w:t>UK’s;</w:t>
      </w:r>
      <w:proofErr w:type="gramEnd"/>
      <w:r w:rsidRPr="0087652D">
        <w:t xml:space="preserve"> </w:t>
      </w:r>
      <w:proofErr w:type="gramStart"/>
      <w:r w:rsidRPr="0087652D">
        <w:t>this standard guides</w:t>
      </w:r>
      <w:proofErr w:type="gramEnd"/>
      <w:r w:rsidRPr="0087652D">
        <w:t xml:space="preserve"> future adequacy decisions and transfer mechanisms.</w:t>
      </w:r>
    </w:p>
    <w:p w14:paraId="059D5F41" w14:textId="77777777" w:rsidR="0087652D" w:rsidRPr="0087652D" w:rsidRDefault="00000000" w:rsidP="0087652D">
      <w:r>
        <w:pict w14:anchorId="55222B1B">
          <v:rect id="_x0000_i1034" style="width:0;height:1.5pt" o:hralign="center" o:hrstd="t" o:hr="t" fillcolor="#a0a0a0" stroked="f"/>
        </w:pict>
      </w:r>
    </w:p>
    <w:p w14:paraId="015BF42B" w14:textId="77777777" w:rsidR="0087652D" w:rsidRPr="0087652D" w:rsidRDefault="0087652D" w:rsidP="0087652D">
      <w:pPr>
        <w:rPr>
          <w:b/>
          <w:bCs/>
        </w:rPr>
      </w:pPr>
      <w:r w:rsidRPr="0087652D">
        <w:rPr>
          <w:b/>
          <w:bCs/>
        </w:rPr>
        <w:t>10) Cookies and similar technologies</w:t>
      </w:r>
    </w:p>
    <w:p w14:paraId="3FB2C7E6" w14:textId="55BA9CE2" w:rsidR="0087652D" w:rsidRPr="0087652D" w:rsidRDefault="0087652D" w:rsidP="0087652D">
      <w:r w:rsidRPr="0087652D">
        <w:t xml:space="preserve">We use cookies and similar technologies on our registration forms and websites. You can control cookies via your browser settings. Under recent UK law changes, certain cookies used for </w:t>
      </w:r>
      <w:r w:rsidRPr="0087652D">
        <w:rPr>
          <w:b/>
          <w:bCs/>
        </w:rPr>
        <w:t>statistical purposes</w:t>
      </w:r>
      <w:r w:rsidRPr="0087652D">
        <w:t xml:space="preserve"> or to </w:t>
      </w:r>
      <w:r w:rsidRPr="0087652D">
        <w:rPr>
          <w:b/>
          <w:bCs/>
        </w:rPr>
        <w:t>improve functionality</w:t>
      </w:r>
      <w:r w:rsidRPr="0087652D">
        <w:t xml:space="preserve"> may be set </w:t>
      </w:r>
      <w:r w:rsidRPr="0087652D">
        <w:rPr>
          <w:b/>
          <w:bCs/>
        </w:rPr>
        <w:t>without consent</w:t>
      </w:r>
      <w:r w:rsidRPr="0087652D">
        <w:t>, while marketing cookies will continue to require consent. We will provide clear on</w:t>
      </w:r>
      <w:r w:rsidRPr="0087652D">
        <w:noBreakHyphen/>
        <w:t xml:space="preserve">page information and choices. </w:t>
      </w:r>
    </w:p>
    <w:p w14:paraId="48AB97D3" w14:textId="62D0288C" w:rsidR="0087652D" w:rsidRPr="0087652D" w:rsidRDefault="0087652D" w:rsidP="0087652D">
      <w:r w:rsidRPr="0087652D">
        <w:rPr>
          <w:b/>
          <w:bCs/>
        </w:rPr>
        <w:t>Note:</w:t>
      </w:r>
      <w:r w:rsidRPr="0087652D">
        <w:t xml:space="preserve"> PECR enforcement powers have been strengthened, with penalties aligned to UK GDPR levels; we are committed to compliant cookie practices.</w:t>
      </w:r>
    </w:p>
    <w:p w14:paraId="79EC53B7" w14:textId="77777777" w:rsidR="0087652D" w:rsidRPr="0087652D" w:rsidRDefault="00000000" w:rsidP="0087652D">
      <w:r>
        <w:pict w14:anchorId="1ADC90B7">
          <v:rect id="_x0000_i1035" style="width:0;height:1.5pt" o:hralign="center" o:hrstd="t" o:hr="t" fillcolor="#a0a0a0" stroked="f"/>
        </w:pict>
      </w:r>
    </w:p>
    <w:p w14:paraId="7A547A0E" w14:textId="77777777" w:rsidR="0087652D" w:rsidRPr="0087652D" w:rsidRDefault="0087652D" w:rsidP="0087652D">
      <w:pPr>
        <w:rPr>
          <w:b/>
          <w:bCs/>
        </w:rPr>
      </w:pPr>
      <w:r w:rsidRPr="0087652D">
        <w:rPr>
          <w:b/>
          <w:bCs/>
        </w:rPr>
        <w:t>11) Children’s data</w:t>
      </w:r>
    </w:p>
    <w:p w14:paraId="15DB5E8E" w14:textId="1C2DD3A9" w:rsidR="0087652D" w:rsidRPr="0087652D" w:rsidRDefault="0087652D" w:rsidP="0087652D">
      <w:r w:rsidRPr="0087652D">
        <w:t>We apply heightened protections to the personal data of children. The UK’s updated framework and the ICO’s ongoing focus on children’s privacy inform our programme design and online practices.</w:t>
      </w:r>
    </w:p>
    <w:p w14:paraId="1BC71D9E" w14:textId="77777777" w:rsidR="0087652D" w:rsidRPr="0087652D" w:rsidRDefault="00000000" w:rsidP="0087652D">
      <w:r>
        <w:pict w14:anchorId="1AA87128">
          <v:rect id="_x0000_i1036" style="width:0;height:1.5pt" o:hralign="center" o:hrstd="t" o:hr="t" fillcolor="#a0a0a0" stroked="f"/>
        </w:pict>
      </w:r>
    </w:p>
    <w:p w14:paraId="40C7FA6F" w14:textId="77777777" w:rsidR="0087652D" w:rsidRPr="0087652D" w:rsidRDefault="0087652D" w:rsidP="0087652D">
      <w:pPr>
        <w:rPr>
          <w:b/>
          <w:bCs/>
        </w:rPr>
      </w:pPr>
      <w:r w:rsidRPr="0087652D">
        <w:rPr>
          <w:b/>
          <w:bCs/>
        </w:rPr>
        <w:t>12) How long we keep your data</w:t>
      </w:r>
    </w:p>
    <w:p w14:paraId="52DF4B77" w14:textId="77777777" w:rsidR="0087652D" w:rsidRPr="0087652D" w:rsidRDefault="0087652D" w:rsidP="0087652D">
      <w:r w:rsidRPr="0087652D">
        <w:t>We retain personal data only for as long as necessary for the purposes set out in this notice—typically:</w:t>
      </w:r>
    </w:p>
    <w:p w14:paraId="5B5EF796" w14:textId="77777777" w:rsidR="0087652D" w:rsidRPr="0087652D" w:rsidRDefault="0087652D" w:rsidP="0087652D">
      <w:pPr>
        <w:numPr>
          <w:ilvl w:val="0"/>
          <w:numId w:val="8"/>
        </w:numPr>
      </w:pPr>
      <w:r w:rsidRPr="0087652D">
        <w:rPr>
          <w:b/>
          <w:bCs/>
        </w:rPr>
        <w:t>Students under 16:</w:t>
      </w:r>
      <w:r w:rsidRPr="0087652D">
        <w:t xml:space="preserve"> delete within </w:t>
      </w:r>
      <w:r w:rsidRPr="0087652D">
        <w:rPr>
          <w:b/>
          <w:bCs/>
        </w:rPr>
        <w:t>18 months</w:t>
      </w:r>
      <w:r w:rsidRPr="0087652D">
        <w:t xml:space="preserve"> of programme completion/award (unless we must retain longer for safeguarding or legal reasons)</w:t>
      </w:r>
    </w:p>
    <w:p w14:paraId="654D09C9" w14:textId="77777777" w:rsidR="0087652D" w:rsidRPr="0087652D" w:rsidRDefault="0087652D" w:rsidP="0087652D">
      <w:pPr>
        <w:numPr>
          <w:ilvl w:val="0"/>
          <w:numId w:val="8"/>
        </w:numPr>
      </w:pPr>
      <w:r w:rsidRPr="0087652D">
        <w:rPr>
          <w:b/>
          <w:bCs/>
        </w:rPr>
        <w:lastRenderedPageBreak/>
        <w:t>Students 16+:</w:t>
      </w:r>
      <w:r w:rsidRPr="0087652D">
        <w:t xml:space="preserve"> for the duration of the programme and for defined post</w:t>
      </w:r>
      <w:r w:rsidRPr="0087652D">
        <w:noBreakHyphen/>
        <w:t>programme periods (e.g., to issue/verify awards, manage queries or where you opt in to alumni communications)</w:t>
      </w:r>
    </w:p>
    <w:p w14:paraId="577D4B1F" w14:textId="77777777" w:rsidR="0087652D" w:rsidRPr="0087652D" w:rsidRDefault="0087652D" w:rsidP="0087652D">
      <w:pPr>
        <w:numPr>
          <w:ilvl w:val="0"/>
          <w:numId w:val="8"/>
        </w:numPr>
      </w:pPr>
      <w:r w:rsidRPr="0087652D">
        <w:rPr>
          <w:b/>
          <w:bCs/>
        </w:rPr>
        <w:t>Partners/volunteers:</w:t>
      </w:r>
      <w:r w:rsidRPr="0087652D">
        <w:t xml:space="preserve"> for the duration of the relationship and for a reasonable period afterwards (e.g., safeguarding, audit, legal/regulatory obligations)</w:t>
      </w:r>
    </w:p>
    <w:p w14:paraId="7CB7BBB3" w14:textId="77777777" w:rsidR="0087652D" w:rsidRPr="0087652D" w:rsidRDefault="0087652D" w:rsidP="0087652D">
      <w:r w:rsidRPr="0087652D">
        <w:t>We maintain a detailed retention schedule that applies purpose</w:t>
      </w:r>
      <w:r w:rsidRPr="0087652D">
        <w:noBreakHyphen/>
        <w:t>based retention and secure deletion.</w:t>
      </w:r>
    </w:p>
    <w:p w14:paraId="2FA8C142" w14:textId="77777777" w:rsidR="0087652D" w:rsidRPr="0087652D" w:rsidRDefault="00000000" w:rsidP="0087652D">
      <w:r>
        <w:pict w14:anchorId="4B09D99B">
          <v:rect id="_x0000_i1037" style="width:0;height:1.5pt" o:hralign="center" o:hrstd="t" o:hr="t" fillcolor="#a0a0a0" stroked="f"/>
        </w:pict>
      </w:r>
    </w:p>
    <w:p w14:paraId="780AC4EF" w14:textId="77777777" w:rsidR="0087652D" w:rsidRPr="0087652D" w:rsidRDefault="0087652D" w:rsidP="0087652D">
      <w:pPr>
        <w:rPr>
          <w:b/>
          <w:bCs/>
        </w:rPr>
      </w:pPr>
      <w:r w:rsidRPr="0087652D">
        <w:rPr>
          <w:b/>
          <w:bCs/>
        </w:rPr>
        <w:t>13) Security</w:t>
      </w:r>
    </w:p>
    <w:p w14:paraId="5031FB5C" w14:textId="77777777" w:rsidR="0087652D" w:rsidRPr="0087652D" w:rsidRDefault="0087652D" w:rsidP="0087652D">
      <w:r w:rsidRPr="0087652D">
        <w:t>We use appropriate technical and organisational measures to protect personal data against unauthorised access, alteration, disclosure or loss, and we limit access on a strict “need</w:t>
      </w:r>
      <w:r w:rsidRPr="0087652D">
        <w:noBreakHyphen/>
        <w:t>to</w:t>
      </w:r>
      <w:r w:rsidRPr="0087652D">
        <w:noBreakHyphen/>
        <w:t>know” basis.</w:t>
      </w:r>
    </w:p>
    <w:p w14:paraId="2884E00D" w14:textId="77777777" w:rsidR="0087652D" w:rsidRPr="0087652D" w:rsidRDefault="00000000" w:rsidP="0087652D">
      <w:r>
        <w:pict w14:anchorId="53EDF37D">
          <v:rect id="_x0000_i1038" style="width:0;height:1.5pt" o:hralign="center" o:hrstd="t" o:hr="t" fillcolor="#a0a0a0" stroked="f"/>
        </w:pict>
      </w:r>
    </w:p>
    <w:p w14:paraId="0C940E38" w14:textId="77777777" w:rsidR="0087652D" w:rsidRPr="0087652D" w:rsidRDefault="0087652D" w:rsidP="0087652D">
      <w:pPr>
        <w:rPr>
          <w:b/>
          <w:bCs/>
        </w:rPr>
      </w:pPr>
      <w:r w:rsidRPr="0087652D">
        <w:rPr>
          <w:b/>
          <w:bCs/>
        </w:rPr>
        <w:t>14) Your rights</w:t>
      </w:r>
    </w:p>
    <w:p w14:paraId="26F2365D" w14:textId="77777777" w:rsidR="0087652D" w:rsidRPr="0087652D" w:rsidRDefault="0087652D" w:rsidP="0087652D">
      <w:r w:rsidRPr="0087652D">
        <w:t>You have rights under data protection law, including to request access, rectification, erasure, restriction, portability, and to object to certain processing (including direct marketing). Where processing is based on consent, you can withdraw consent at any time (this does not affect past processing).</w:t>
      </w:r>
    </w:p>
    <w:p w14:paraId="351C5438" w14:textId="77777777" w:rsidR="0087652D" w:rsidRPr="0087652D" w:rsidRDefault="0087652D" w:rsidP="0087652D">
      <w:pPr>
        <w:rPr>
          <w:b/>
          <w:bCs/>
        </w:rPr>
      </w:pPr>
      <w:r w:rsidRPr="0087652D">
        <w:rPr>
          <w:b/>
          <w:bCs/>
        </w:rPr>
        <w:t>Updates to Subject Access Requests (SARs/DSARs)</w:t>
      </w:r>
    </w:p>
    <w:p w14:paraId="1AD7B84B" w14:textId="0047C2CE" w:rsidR="0087652D" w:rsidRPr="0087652D" w:rsidRDefault="0087652D" w:rsidP="0087652D">
      <w:r w:rsidRPr="0087652D">
        <w:t xml:space="preserve">Recent changes clarify that the </w:t>
      </w:r>
      <w:r w:rsidRPr="0087652D">
        <w:rPr>
          <w:b/>
          <w:bCs/>
        </w:rPr>
        <w:t>one</w:t>
      </w:r>
      <w:r w:rsidRPr="0087652D">
        <w:rPr>
          <w:b/>
          <w:bCs/>
        </w:rPr>
        <w:noBreakHyphen/>
        <w:t>month response period begins after we verify your identity</w:t>
      </w:r>
      <w:r w:rsidRPr="0087652D">
        <w:t xml:space="preserve">, and we may </w:t>
      </w:r>
      <w:r w:rsidRPr="0087652D">
        <w:rPr>
          <w:b/>
          <w:bCs/>
        </w:rPr>
        <w:t>pause the clock</w:t>
      </w:r>
      <w:r w:rsidRPr="0087652D">
        <w:t xml:space="preserve"> while awaiting reasonable clarification. We must conduct a </w:t>
      </w:r>
      <w:r w:rsidRPr="0087652D">
        <w:rPr>
          <w:b/>
          <w:bCs/>
        </w:rPr>
        <w:t>reasonable and proportionate</w:t>
      </w:r>
      <w:r w:rsidRPr="0087652D">
        <w:t xml:space="preserve"> search. If we rely on exemptions (e.g., legal privilege), we will explain which exemption applies and why.</w:t>
      </w:r>
      <w:r w:rsidR="00F9273F" w:rsidRPr="0087652D">
        <w:t xml:space="preserve"> </w:t>
      </w:r>
    </w:p>
    <w:p w14:paraId="60C5E7D1" w14:textId="77777777" w:rsidR="0087652D" w:rsidRPr="0087652D" w:rsidRDefault="0087652D" w:rsidP="0087652D">
      <w:r w:rsidRPr="0087652D">
        <w:rPr>
          <w:b/>
          <w:bCs/>
        </w:rPr>
        <w:t>How to exercise your rights:</w:t>
      </w:r>
      <w:r w:rsidRPr="0087652D">
        <w:t xml:space="preserve"> email </w:t>
      </w:r>
      <w:r w:rsidRPr="0087652D">
        <w:rPr>
          <w:b/>
          <w:bCs/>
        </w:rPr>
        <w:t>data@etrust.org.uk</w:t>
      </w:r>
      <w:r w:rsidRPr="0087652D">
        <w:t>. We may ask for proof of identity and, for parents/guardians, proof of parental responsibility.</w:t>
      </w:r>
    </w:p>
    <w:p w14:paraId="235B1D36" w14:textId="77777777" w:rsidR="0087652D" w:rsidRPr="0087652D" w:rsidRDefault="00000000" w:rsidP="0087652D">
      <w:r>
        <w:pict w14:anchorId="6AA2D6A1">
          <v:rect id="_x0000_i1039" style="width:0;height:1.5pt" o:hralign="center" o:hrstd="t" o:hr="t" fillcolor="#a0a0a0" stroked="f"/>
        </w:pict>
      </w:r>
    </w:p>
    <w:p w14:paraId="797C63C0" w14:textId="77777777" w:rsidR="0087652D" w:rsidRPr="0087652D" w:rsidRDefault="0087652D" w:rsidP="0087652D">
      <w:pPr>
        <w:rPr>
          <w:b/>
          <w:bCs/>
        </w:rPr>
      </w:pPr>
      <w:r w:rsidRPr="0087652D">
        <w:rPr>
          <w:b/>
          <w:bCs/>
        </w:rPr>
        <w:t>15) How to complain (our mandatory complaints process)</w:t>
      </w:r>
    </w:p>
    <w:p w14:paraId="340BB35D" w14:textId="63EA968F" w:rsidR="0087652D" w:rsidRPr="0087652D" w:rsidRDefault="0087652D" w:rsidP="0087652D">
      <w:r w:rsidRPr="0087652D">
        <w:t xml:space="preserve">We operate an </w:t>
      </w:r>
      <w:r w:rsidRPr="0087652D">
        <w:rPr>
          <w:b/>
          <w:bCs/>
        </w:rPr>
        <w:t>internal data protection complaints procedure</w:t>
      </w:r>
      <w:r w:rsidRPr="0087652D">
        <w:t xml:space="preserve">. Please contact </w:t>
      </w:r>
      <w:r w:rsidRPr="0087652D">
        <w:rPr>
          <w:b/>
          <w:bCs/>
        </w:rPr>
        <w:t>data@etrust.org.uk</w:t>
      </w:r>
      <w:r w:rsidRPr="0087652D">
        <w:t xml:space="preserve"> in the first instance and we will investigate and respond. If you remain dissatisfied, you can contact the </w:t>
      </w:r>
      <w:r w:rsidRPr="0087652D">
        <w:rPr>
          <w:b/>
          <w:bCs/>
        </w:rPr>
        <w:t>Information Commissioner’s Office (ICO)</w:t>
      </w:r>
      <w:r w:rsidRPr="0087652D">
        <w:t xml:space="preserve"> at </w:t>
      </w:r>
      <w:r w:rsidRPr="0087652D">
        <w:rPr>
          <w:b/>
          <w:bCs/>
        </w:rPr>
        <w:t>www.ico.org.uk</w:t>
      </w:r>
      <w:r w:rsidRPr="0087652D">
        <w:t>. UK law now requires organisations to have such a complaints process and gives the ICO enhanced powers.</w:t>
      </w:r>
    </w:p>
    <w:p w14:paraId="3FECBEF1" w14:textId="77777777" w:rsidR="0087652D" w:rsidRPr="0087652D" w:rsidRDefault="00000000" w:rsidP="0087652D">
      <w:r>
        <w:pict w14:anchorId="0410BEA0">
          <v:rect id="_x0000_i1040" style="width:0;height:1.5pt" o:hralign="center" o:hrstd="t" o:hr="t" fillcolor="#a0a0a0" stroked="f"/>
        </w:pict>
      </w:r>
    </w:p>
    <w:p w14:paraId="7865FA51" w14:textId="77777777" w:rsidR="0087652D" w:rsidRPr="0087652D" w:rsidRDefault="0087652D" w:rsidP="0087652D">
      <w:pPr>
        <w:rPr>
          <w:b/>
          <w:bCs/>
        </w:rPr>
      </w:pPr>
      <w:r w:rsidRPr="0087652D">
        <w:rPr>
          <w:b/>
          <w:bCs/>
        </w:rPr>
        <w:lastRenderedPageBreak/>
        <w:t>16) Marketing &amp; alumni</w:t>
      </w:r>
    </w:p>
    <w:p w14:paraId="7B40DC4D" w14:textId="77777777" w:rsidR="0087652D" w:rsidRPr="0087652D" w:rsidRDefault="0087652D" w:rsidP="0087652D">
      <w:r w:rsidRPr="0087652D">
        <w:t xml:space="preserve">We will only send you electronic marketing </w:t>
      </w:r>
      <w:proofErr w:type="gramStart"/>
      <w:r w:rsidRPr="0087652D">
        <w:t>where</w:t>
      </w:r>
      <w:proofErr w:type="gramEnd"/>
      <w:r w:rsidRPr="0087652D">
        <w:t xml:space="preserve"> permitted by law (for example, where you have consented or where an exemption applies). You can opt out at any time using the unsubscribe link or by emailing </w:t>
      </w:r>
      <w:r w:rsidRPr="0087652D">
        <w:rPr>
          <w:b/>
          <w:bCs/>
        </w:rPr>
        <w:t>marketing@etrust.org.uk</w:t>
      </w:r>
      <w:r w:rsidRPr="0087652D">
        <w:t>.</w:t>
      </w:r>
    </w:p>
    <w:p w14:paraId="02505EF4" w14:textId="77777777" w:rsidR="0087652D" w:rsidRPr="0087652D" w:rsidRDefault="00000000" w:rsidP="0087652D">
      <w:r>
        <w:pict w14:anchorId="116DB554">
          <v:rect id="_x0000_i1041" style="width:0;height:1.5pt" o:hralign="center" o:hrstd="t" o:hr="t" fillcolor="#a0a0a0" stroked="f"/>
        </w:pict>
      </w:r>
    </w:p>
    <w:p w14:paraId="6057562F" w14:textId="77777777" w:rsidR="0087652D" w:rsidRPr="0087652D" w:rsidRDefault="0087652D" w:rsidP="0087652D">
      <w:pPr>
        <w:rPr>
          <w:b/>
          <w:bCs/>
        </w:rPr>
      </w:pPr>
      <w:r w:rsidRPr="0087652D">
        <w:rPr>
          <w:b/>
          <w:bCs/>
        </w:rPr>
        <w:t>17) Third</w:t>
      </w:r>
      <w:r w:rsidRPr="0087652D">
        <w:rPr>
          <w:b/>
          <w:bCs/>
        </w:rPr>
        <w:noBreakHyphen/>
        <w:t>party links and platforms</w:t>
      </w:r>
    </w:p>
    <w:p w14:paraId="119234FA" w14:textId="77777777" w:rsidR="0087652D" w:rsidRPr="0087652D" w:rsidRDefault="0087652D" w:rsidP="0087652D">
      <w:r w:rsidRPr="0087652D">
        <w:t>Our programmes may use third</w:t>
      </w:r>
      <w:r w:rsidRPr="0087652D">
        <w:noBreakHyphen/>
        <w:t>party services (e.g., webinar or learning platforms). We endeavour to work with providers that maintain high privacy standards; please also read their privacy notices as their practices are outside our control.</w:t>
      </w:r>
    </w:p>
    <w:p w14:paraId="31071484" w14:textId="77777777" w:rsidR="0087652D" w:rsidRPr="0087652D" w:rsidRDefault="00000000" w:rsidP="0087652D">
      <w:r>
        <w:pict w14:anchorId="38D209A5">
          <v:rect id="_x0000_i1042" style="width:0;height:1.5pt" o:hralign="center" o:hrstd="t" o:hr="t" fillcolor="#a0a0a0" stroked="f"/>
        </w:pict>
      </w:r>
    </w:p>
    <w:p w14:paraId="77AAE08B" w14:textId="77777777" w:rsidR="0087652D" w:rsidRPr="0087652D" w:rsidRDefault="0087652D" w:rsidP="0087652D">
      <w:pPr>
        <w:rPr>
          <w:b/>
          <w:bCs/>
        </w:rPr>
      </w:pPr>
      <w:r w:rsidRPr="0087652D">
        <w:rPr>
          <w:b/>
          <w:bCs/>
        </w:rPr>
        <w:t>18) Changes to this notice</w:t>
      </w:r>
    </w:p>
    <w:p w14:paraId="71753778" w14:textId="77777777" w:rsidR="0087652D" w:rsidRPr="0087652D" w:rsidRDefault="0087652D" w:rsidP="0087652D">
      <w:r w:rsidRPr="0087652D">
        <w:t xml:space="preserve">We may update this notice to reflect legal, technical, or operational changes. The latest version and effective date will always be posted here. The DUAA changes are being phased in through </w:t>
      </w:r>
      <w:r w:rsidRPr="0087652D">
        <w:rPr>
          <w:b/>
          <w:bCs/>
        </w:rPr>
        <w:t>June 2025–June 2026</w:t>
      </w:r>
      <w:r w:rsidRPr="0087652D">
        <w:t>, so you may see targeted updates over this period.</w:t>
      </w:r>
    </w:p>
    <w:p w14:paraId="03D06531" w14:textId="77777777" w:rsidR="00FB4F0B" w:rsidRDefault="00FB4F0B"/>
    <w:sectPr w:rsidR="00FB4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34F"/>
    <w:multiLevelType w:val="multilevel"/>
    <w:tmpl w:val="4710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6DB9"/>
    <w:multiLevelType w:val="multilevel"/>
    <w:tmpl w:val="5C6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D7912"/>
    <w:multiLevelType w:val="multilevel"/>
    <w:tmpl w:val="FA84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F2581"/>
    <w:multiLevelType w:val="multilevel"/>
    <w:tmpl w:val="EED6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F6408"/>
    <w:multiLevelType w:val="multilevel"/>
    <w:tmpl w:val="C400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71807"/>
    <w:multiLevelType w:val="multilevel"/>
    <w:tmpl w:val="036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700B9"/>
    <w:multiLevelType w:val="multilevel"/>
    <w:tmpl w:val="DF06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82634"/>
    <w:multiLevelType w:val="multilevel"/>
    <w:tmpl w:val="B052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06D8C"/>
    <w:multiLevelType w:val="hybridMultilevel"/>
    <w:tmpl w:val="DE92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648759">
    <w:abstractNumId w:val="0"/>
  </w:num>
  <w:num w:numId="2" w16cid:durableId="213582702">
    <w:abstractNumId w:val="7"/>
  </w:num>
  <w:num w:numId="3" w16cid:durableId="925849519">
    <w:abstractNumId w:val="2"/>
  </w:num>
  <w:num w:numId="4" w16cid:durableId="1407073852">
    <w:abstractNumId w:val="1"/>
  </w:num>
  <w:num w:numId="5" w16cid:durableId="231044749">
    <w:abstractNumId w:val="3"/>
  </w:num>
  <w:num w:numId="6" w16cid:durableId="1890922413">
    <w:abstractNumId w:val="5"/>
  </w:num>
  <w:num w:numId="7" w16cid:durableId="1909226415">
    <w:abstractNumId w:val="4"/>
  </w:num>
  <w:num w:numId="8" w16cid:durableId="2136872123">
    <w:abstractNumId w:val="6"/>
  </w:num>
  <w:num w:numId="9" w16cid:durableId="1409116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2D"/>
    <w:rsid w:val="00143B74"/>
    <w:rsid w:val="003F3579"/>
    <w:rsid w:val="0045102C"/>
    <w:rsid w:val="005B182C"/>
    <w:rsid w:val="0087652D"/>
    <w:rsid w:val="008E5024"/>
    <w:rsid w:val="009D4273"/>
    <w:rsid w:val="00A90482"/>
    <w:rsid w:val="00B146FD"/>
    <w:rsid w:val="00C81337"/>
    <w:rsid w:val="00D1712F"/>
    <w:rsid w:val="00E12882"/>
    <w:rsid w:val="00EC3470"/>
    <w:rsid w:val="00F91CE2"/>
    <w:rsid w:val="00F9273F"/>
    <w:rsid w:val="00FB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0276"/>
  <w15:chartTrackingRefBased/>
  <w15:docId w15:val="{AC35E800-F432-4BF2-BB90-459BD3F6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52D"/>
    <w:rPr>
      <w:rFonts w:eastAsiaTheme="majorEastAsia" w:cstheme="majorBidi"/>
      <w:color w:val="272727" w:themeColor="text1" w:themeTint="D8"/>
    </w:rPr>
  </w:style>
  <w:style w:type="paragraph" w:styleId="Title">
    <w:name w:val="Title"/>
    <w:basedOn w:val="Normal"/>
    <w:next w:val="Normal"/>
    <w:link w:val="TitleChar"/>
    <w:uiPriority w:val="10"/>
    <w:qFormat/>
    <w:rsid w:val="00876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52D"/>
    <w:pPr>
      <w:spacing w:before="160"/>
      <w:jc w:val="center"/>
    </w:pPr>
    <w:rPr>
      <w:i/>
      <w:iCs/>
      <w:color w:val="404040" w:themeColor="text1" w:themeTint="BF"/>
    </w:rPr>
  </w:style>
  <w:style w:type="character" w:customStyle="1" w:styleId="QuoteChar">
    <w:name w:val="Quote Char"/>
    <w:basedOn w:val="DefaultParagraphFont"/>
    <w:link w:val="Quote"/>
    <w:uiPriority w:val="29"/>
    <w:rsid w:val="0087652D"/>
    <w:rPr>
      <w:i/>
      <w:iCs/>
      <w:color w:val="404040" w:themeColor="text1" w:themeTint="BF"/>
    </w:rPr>
  </w:style>
  <w:style w:type="paragraph" w:styleId="ListParagraph">
    <w:name w:val="List Paragraph"/>
    <w:basedOn w:val="Normal"/>
    <w:uiPriority w:val="34"/>
    <w:qFormat/>
    <w:rsid w:val="0087652D"/>
    <w:pPr>
      <w:ind w:left="720"/>
      <w:contextualSpacing/>
    </w:pPr>
  </w:style>
  <w:style w:type="character" w:styleId="IntenseEmphasis">
    <w:name w:val="Intense Emphasis"/>
    <w:basedOn w:val="DefaultParagraphFont"/>
    <w:uiPriority w:val="21"/>
    <w:qFormat/>
    <w:rsid w:val="0087652D"/>
    <w:rPr>
      <w:i/>
      <w:iCs/>
      <w:color w:val="0F4761" w:themeColor="accent1" w:themeShade="BF"/>
    </w:rPr>
  </w:style>
  <w:style w:type="paragraph" w:styleId="IntenseQuote">
    <w:name w:val="Intense Quote"/>
    <w:basedOn w:val="Normal"/>
    <w:next w:val="Normal"/>
    <w:link w:val="IntenseQuoteChar"/>
    <w:uiPriority w:val="30"/>
    <w:qFormat/>
    <w:rsid w:val="00876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52D"/>
    <w:rPr>
      <w:i/>
      <w:iCs/>
      <w:color w:val="0F4761" w:themeColor="accent1" w:themeShade="BF"/>
    </w:rPr>
  </w:style>
  <w:style w:type="character" w:styleId="IntenseReference">
    <w:name w:val="Intense Reference"/>
    <w:basedOn w:val="DefaultParagraphFont"/>
    <w:uiPriority w:val="32"/>
    <w:qFormat/>
    <w:rsid w:val="0087652D"/>
    <w:rPr>
      <w:b/>
      <w:bCs/>
      <w:smallCaps/>
      <w:color w:val="0F4761" w:themeColor="accent1" w:themeShade="BF"/>
      <w:spacing w:val="5"/>
    </w:rPr>
  </w:style>
  <w:style w:type="character" w:styleId="Hyperlink">
    <w:name w:val="Hyperlink"/>
    <w:basedOn w:val="DefaultParagraphFont"/>
    <w:uiPriority w:val="99"/>
    <w:unhideWhenUsed/>
    <w:rsid w:val="0087652D"/>
    <w:rPr>
      <w:color w:val="467886" w:themeColor="hyperlink"/>
      <w:u w:val="single"/>
    </w:rPr>
  </w:style>
  <w:style w:type="character" w:styleId="UnresolvedMention">
    <w:name w:val="Unresolved Mention"/>
    <w:basedOn w:val="DefaultParagraphFont"/>
    <w:uiPriority w:val="99"/>
    <w:semiHidden/>
    <w:unhideWhenUsed/>
    <w:rsid w:val="0087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etrus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keting@e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61125D7DCD640A019853CCA357B8C" ma:contentTypeVersion="12" ma:contentTypeDescription="Create a new document." ma:contentTypeScope="" ma:versionID="43eb5d39b26648b7a1e4788f095d72e1">
  <xsd:schema xmlns:xsd="http://www.w3.org/2001/XMLSchema" xmlns:xs="http://www.w3.org/2001/XMLSchema" xmlns:p="http://schemas.microsoft.com/office/2006/metadata/properties" xmlns:ns2="9285d935-81d3-4d8e-bdf1-5c4a076beeeb" xmlns:ns3="40431009-04d4-4c38-86f0-1057dda89a5f" targetNamespace="http://schemas.microsoft.com/office/2006/metadata/properties" ma:root="true" ma:fieldsID="dece6d53eba247d46aaa07796715e66a" ns2:_="" ns3:_="">
    <xsd:import namespace="9285d935-81d3-4d8e-bdf1-5c4a076beeeb"/>
    <xsd:import namespace="40431009-04d4-4c38-86f0-1057dda89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5d935-81d3-4d8e-bdf1-5c4a076be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ed8983-67b4-4e68-937f-0122b47b941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431009-04d4-4c38-86f0-1057dda89a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7f1885-9140-42d9-994e-163c85670a60}" ma:internalName="TaxCatchAll" ma:showField="CatchAllData" ma:web="40431009-04d4-4c38-86f0-1057dda89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431009-04d4-4c38-86f0-1057dda89a5f" xsi:nil="true"/>
    <lcf76f155ced4ddcb4097134ff3c332f xmlns="9285d935-81d3-4d8e-bdf1-5c4a076bee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21B9E-ADD4-41D3-AB9F-B10FCC95C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5d935-81d3-4d8e-bdf1-5c4a076beeeb"/>
    <ds:schemaRef ds:uri="40431009-04d4-4c38-86f0-1057dda8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D92BF-BE63-4E85-8477-6EB897E93572}">
  <ds:schemaRefs>
    <ds:schemaRef ds:uri="http://schemas.microsoft.com/office/2006/metadata/properties"/>
    <ds:schemaRef ds:uri="http://schemas.microsoft.com/office/infopath/2007/PartnerControls"/>
    <ds:schemaRef ds:uri="40431009-04d4-4c38-86f0-1057dda89a5f"/>
    <ds:schemaRef ds:uri="9285d935-81d3-4d8e-bdf1-5c4a076beeeb"/>
  </ds:schemaRefs>
</ds:datastoreItem>
</file>

<file path=customXml/itemProps3.xml><?xml version="1.0" encoding="utf-8"?>
<ds:datastoreItem xmlns:ds="http://schemas.openxmlformats.org/officeDocument/2006/customXml" ds:itemID="{ABCC7291-9B00-4D82-BE98-1816DDB42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1317</Words>
  <Characters>7885</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Sobo</dc:creator>
  <cp:keywords/>
  <dc:description/>
  <cp:lastModifiedBy>David Sobo</cp:lastModifiedBy>
  <cp:revision>3</cp:revision>
  <dcterms:created xsi:type="dcterms:W3CDTF">2026-03-02T11:24:00Z</dcterms:created>
  <dcterms:modified xsi:type="dcterms:W3CDTF">2026-03-02T14:21:00Z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0x0101003B261125D7DCD640A019853CCA357B8C</vt:lpwstr>
  </property>
  <property fmtid="{D5CDD505-2E9C-101B-9397-08002B2CF9AE}" pid="3" name="MediaServiceImageTags">
    <vt:lpwstr/>
  </property>
</Properties>
</file>