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A2392" w14:textId="6962C69D" w:rsidR="006B7155" w:rsidRPr="006B7155" w:rsidRDefault="006B7155" w:rsidP="00231264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b/>
          <w:bCs/>
          <w:kern w:val="0"/>
          <w:sz w:val="24"/>
          <w:szCs w:val="24"/>
        </w:rPr>
      </w:pPr>
      <w:r w:rsidRPr="006B7155">
        <w:rPr>
          <w:rFonts w:ascii="Georgia" w:hAnsi="Georgia" w:cs="Arial"/>
          <w:b/>
          <w:bCs/>
          <w:kern w:val="0"/>
          <w:sz w:val="24"/>
          <w:szCs w:val="24"/>
        </w:rPr>
        <w:t>NABKISAN Finance Ltd.</w:t>
      </w:r>
    </w:p>
    <w:p w14:paraId="08D9E42E" w14:textId="77777777" w:rsidR="006B7155" w:rsidRDefault="006B7155" w:rsidP="00231264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b/>
          <w:bCs/>
          <w:kern w:val="0"/>
        </w:rPr>
      </w:pPr>
    </w:p>
    <w:p w14:paraId="10055FF8" w14:textId="2984169F" w:rsidR="00B26B55" w:rsidRPr="000562AD" w:rsidRDefault="00B26B55" w:rsidP="00231264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b/>
          <w:bCs/>
          <w:kern w:val="0"/>
        </w:rPr>
      </w:pPr>
      <w:r w:rsidRPr="000562AD">
        <w:rPr>
          <w:rFonts w:ascii="Georgia" w:hAnsi="Georgia" w:cs="Arial"/>
          <w:b/>
          <w:bCs/>
          <w:kern w:val="0"/>
        </w:rPr>
        <w:t>Public disclosure on liquidity risk</w:t>
      </w:r>
      <w:r w:rsidR="003336E4" w:rsidRPr="000562AD">
        <w:rPr>
          <w:rFonts w:ascii="Georgia" w:hAnsi="Georgia" w:cs="Arial"/>
          <w:b/>
          <w:bCs/>
          <w:kern w:val="0"/>
        </w:rPr>
        <w:t xml:space="preserve"> </w:t>
      </w:r>
      <w:r w:rsidR="00C04E30" w:rsidRPr="000562AD">
        <w:rPr>
          <w:rFonts w:ascii="Georgia" w:hAnsi="Georgia" w:cs="Arial"/>
          <w:b/>
          <w:bCs/>
          <w:kern w:val="0"/>
        </w:rPr>
        <w:t xml:space="preserve">for the </w:t>
      </w:r>
      <w:r w:rsidR="00205446">
        <w:rPr>
          <w:rFonts w:ascii="Georgia" w:hAnsi="Georgia" w:cs="Arial"/>
          <w:b/>
          <w:bCs/>
          <w:kern w:val="0"/>
        </w:rPr>
        <w:t>period</w:t>
      </w:r>
      <w:r w:rsidR="00C04E30" w:rsidRPr="000562AD">
        <w:rPr>
          <w:rFonts w:ascii="Georgia" w:hAnsi="Georgia" w:cs="Arial"/>
          <w:b/>
          <w:bCs/>
          <w:kern w:val="0"/>
        </w:rPr>
        <w:t xml:space="preserve"> ended 3</w:t>
      </w:r>
      <w:r w:rsidR="001D27B0">
        <w:rPr>
          <w:rFonts w:ascii="Georgia" w:hAnsi="Georgia" w:cs="Arial"/>
          <w:b/>
          <w:bCs/>
          <w:kern w:val="0"/>
        </w:rPr>
        <w:t xml:space="preserve">1 </w:t>
      </w:r>
      <w:r w:rsidR="00257CA4">
        <w:rPr>
          <w:rFonts w:ascii="Georgia" w:hAnsi="Georgia" w:cs="Arial"/>
          <w:b/>
          <w:bCs/>
          <w:kern w:val="0"/>
        </w:rPr>
        <w:t>March 2026</w:t>
      </w:r>
    </w:p>
    <w:p w14:paraId="1FAF0444" w14:textId="77777777" w:rsidR="003336E4" w:rsidRPr="000562AD" w:rsidRDefault="003336E4" w:rsidP="00B26B5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b/>
          <w:bCs/>
          <w:kern w:val="0"/>
        </w:rPr>
      </w:pPr>
    </w:p>
    <w:p w14:paraId="1E4901CD" w14:textId="77777777" w:rsidR="00C04E30" w:rsidRPr="000562AD" w:rsidRDefault="00C04E30" w:rsidP="00C04E30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b/>
          <w:bCs/>
          <w:color w:val="000000"/>
          <w:kern w:val="0"/>
        </w:rPr>
      </w:pPr>
      <w:r w:rsidRPr="000562AD">
        <w:rPr>
          <w:rFonts w:ascii="Georgia" w:hAnsi="Georgia" w:cs="Arial"/>
          <w:b/>
          <w:bCs/>
          <w:color w:val="000000"/>
          <w:kern w:val="0"/>
        </w:rPr>
        <w:t>Background</w:t>
      </w:r>
    </w:p>
    <w:p w14:paraId="598B9111" w14:textId="77777777" w:rsidR="00C04E30" w:rsidRPr="00231264" w:rsidRDefault="00C04E30" w:rsidP="00C04E30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kern w:val="0"/>
        </w:rPr>
      </w:pPr>
    </w:p>
    <w:p w14:paraId="603F656B" w14:textId="246DC56A" w:rsidR="00A247C9" w:rsidRDefault="00C04E30" w:rsidP="00AF4976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kern w:val="0"/>
        </w:rPr>
      </w:pPr>
      <w:r w:rsidRPr="00231264">
        <w:rPr>
          <w:rFonts w:ascii="Georgia" w:hAnsi="Georgia" w:cs="Arial"/>
          <w:color w:val="000000"/>
          <w:kern w:val="0"/>
        </w:rPr>
        <w:t>RBI ha</w:t>
      </w:r>
      <w:r w:rsidR="00A247C9">
        <w:rPr>
          <w:rFonts w:ascii="Georgia" w:hAnsi="Georgia" w:cs="Arial"/>
          <w:color w:val="000000"/>
          <w:kern w:val="0"/>
        </w:rPr>
        <w:t>d</w:t>
      </w:r>
      <w:r w:rsidRPr="00231264">
        <w:rPr>
          <w:rFonts w:ascii="Georgia" w:hAnsi="Georgia" w:cs="Arial"/>
          <w:color w:val="000000"/>
          <w:kern w:val="0"/>
        </w:rPr>
        <w:t xml:space="preserve"> issued Master Direction – </w:t>
      </w:r>
      <w:r w:rsidR="00AF4976" w:rsidRPr="00AF4976">
        <w:rPr>
          <w:rFonts w:ascii="Georgia" w:hAnsi="Georgia" w:cs="Arial"/>
          <w:color w:val="000000"/>
          <w:kern w:val="0"/>
        </w:rPr>
        <w:t>Reserve Bank of India (Non-Banking Financial Companies – Financial</w:t>
      </w:r>
      <w:r w:rsidR="00AF4976">
        <w:rPr>
          <w:rFonts w:ascii="Georgia" w:hAnsi="Georgia" w:cs="Arial"/>
          <w:color w:val="000000"/>
          <w:kern w:val="0"/>
        </w:rPr>
        <w:t xml:space="preserve"> </w:t>
      </w:r>
      <w:r w:rsidR="00AF4976" w:rsidRPr="00AF4976">
        <w:rPr>
          <w:rFonts w:ascii="Georgia" w:hAnsi="Georgia" w:cs="Arial"/>
          <w:color w:val="000000"/>
          <w:kern w:val="0"/>
        </w:rPr>
        <w:t xml:space="preserve">Statements: Presentation and Disclosures) Directions, </w:t>
      </w:r>
      <w:proofErr w:type="gramStart"/>
      <w:r w:rsidR="00AF4976" w:rsidRPr="00AF4976">
        <w:rPr>
          <w:rFonts w:ascii="Georgia" w:hAnsi="Georgia" w:cs="Arial"/>
          <w:color w:val="000000"/>
          <w:kern w:val="0"/>
        </w:rPr>
        <w:t xml:space="preserve">2025 </w:t>
      </w:r>
      <w:r w:rsidRPr="00231264">
        <w:rPr>
          <w:rFonts w:ascii="Georgia" w:hAnsi="Georgia" w:cs="Arial"/>
          <w:color w:val="000000"/>
          <w:kern w:val="0"/>
        </w:rPr>
        <w:t xml:space="preserve"> on</w:t>
      </w:r>
      <w:proofErr w:type="gramEnd"/>
      <w:r w:rsidRPr="00231264">
        <w:rPr>
          <w:rFonts w:ascii="Georgia" w:hAnsi="Georgia" w:cs="Arial"/>
          <w:color w:val="000000"/>
          <w:kern w:val="0"/>
        </w:rPr>
        <w:t xml:space="preserve"> </w:t>
      </w:r>
      <w:r w:rsidR="00AF4976" w:rsidRPr="00AF4976">
        <w:rPr>
          <w:rFonts w:ascii="Georgia" w:hAnsi="Georgia" w:cs="Arial"/>
          <w:color w:val="000000"/>
          <w:kern w:val="0"/>
        </w:rPr>
        <w:t>November 28, 2025</w:t>
      </w:r>
      <w:r w:rsidR="00787E46">
        <w:rPr>
          <w:rFonts w:ascii="Georgia" w:hAnsi="Georgia" w:cs="Arial"/>
          <w:color w:val="000000"/>
          <w:kern w:val="0"/>
        </w:rPr>
        <w:t xml:space="preserve"> </w:t>
      </w:r>
      <w:r w:rsidRPr="00231264">
        <w:rPr>
          <w:rFonts w:ascii="Georgia" w:hAnsi="Georgia" w:cs="Arial"/>
          <w:color w:val="000000"/>
          <w:kern w:val="0"/>
        </w:rPr>
        <w:t xml:space="preserve">vide notification </w:t>
      </w:r>
      <w:r w:rsidR="00787E46" w:rsidRPr="00787E46">
        <w:rPr>
          <w:rFonts w:ascii="Georgia" w:hAnsi="Georgia" w:cs="Arial"/>
          <w:color w:val="000000"/>
          <w:kern w:val="0"/>
        </w:rPr>
        <w:t>RBI/DOR/2025-26/359</w:t>
      </w:r>
      <w:r w:rsidR="00787E46">
        <w:rPr>
          <w:rFonts w:ascii="Georgia" w:hAnsi="Georgia" w:cs="Arial"/>
          <w:color w:val="000000"/>
          <w:kern w:val="0"/>
        </w:rPr>
        <w:t xml:space="preserve"> </w:t>
      </w:r>
      <w:r w:rsidR="00787E46" w:rsidRPr="00787E46">
        <w:rPr>
          <w:rFonts w:ascii="Georgia" w:hAnsi="Georgia" w:cs="Arial"/>
          <w:color w:val="000000"/>
          <w:kern w:val="0"/>
        </w:rPr>
        <w:t>DOR.ACC.REC.No.278/21.04.018/2025-26</w:t>
      </w:r>
      <w:r w:rsidRPr="00231264">
        <w:rPr>
          <w:rFonts w:ascii="Georgia" w:hAnsi="Georgia" w:cs="Arial"/>
          <w:color w:val="000000"/>
          <w:kern w:val="0"/>
        </w:rPr>
        <w:t xml:space="preserve">. </w:t>
      </w:r>
    </w:p>
    <w:p w14:paraId="7850015F" w14:textId="77777777" w:rsidR="00A247C9" w:rsidRDefault="00A247C9" w:rsidP="00C04E30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kern w:val="0"/>
        </w:rPr>
      </w:pPr>
    </w:p>
    <w:p w14:paraId="28EA8485" w14:textId="3AB29551" w:rsidR="00C04E30" w:rsidRPr="00231264" w:rsidRDefault="00C04E30" w:rsidP="00C04E30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kern w:val="0"/>
        </w:rPr>
      </w:pPr>
      <w:r w:rsidRPr="00231264">
        <w:rPr>
          <w:rFonts w:ascii="Georgia" w:hAnsi="Georgia" w:cs="Arial"/>
          <w:color w:val="000000"/>
          <w:kern w:val="0"/>
        </w:rPr>
        <w:t xml:space="preserve">As per </w:t>
      </w:r>
      <w:r w:rsidR="00A247C9" w:rsidRPr="00231264">
        <w:rPr>
          <w:rFonts w:ascii="Georgia" w:hAnsi="Georgia" w:cs="Arial"/>
          <w:color w:val="000000"/>
          <w:kern w:val="0"/>
        </w:rPr>
        <w:t>these directions</w:t>
      </w:r>
      <w:r w:rsidRPr="00231264">
        <w:rPr>
          <w:rFonts w:ascii="Georgia" w:hAnsi="Georgia" w:cs="Arial"/>
          <w:color w:val="000000"/>
          <w:kern w:val="0"/>
        </w:rPr>
        <w:t xml:space="preserve">, NBFCs are required to publicly disclose the below information related to liquidity risk on a quarterly basis. Accordingly, the disclosures on liquidity risk as of </w:t>
      </w:r>
      <w:r w:rsidR="004678FF">
        <w:rPr>
          <w:rFonts w:ascii="Georgia" w:hAnsi="Georgia" w:cs="Arial"/>
          <w:color w:val="000000"/>
          <w:kern w:val="0"/>
        </w:rPr>
        <w:t xml:space="preserve">March </w:t>
      </w:r>
      <w:r w:rsidR="00466BBC">
        <w:rPr>
          <w:rFonts w:ascii="Georgia" w:hAnsi="Georgia" w:cs="Arial"/>
          <w:color w:val="000000"/>
          <w:kern w:val="0"/>
        </w:rPr>
        <w:t xml:space="preserve">31, </w:t>
      </w:r>
      <w:r w:rsidRPr="00231264">
        <w:rPr>
          <w:rFonts w:ascii="Georgia" w:hAnsi="Georgia" w:cs="Arial"/>
          <w:color w:val="000000"/>
          <w:kern w:val="0"/>
        </w:rPr>
        <w:t>202</w:t>
      </w:r>
      <w:r w:rsidR="004678FF">
        <w:rPr>
          <w:rFonts w:ascii="Georgia" w:hAnsi="Georgia" w:cs="Arial"/>
          <w:color w:val="000000"/>
          <w:kern w:val="0"/>
        </w:rPr>
        <w:t>6</w:t>
      </w:r>
      <w:r w:rsidRPr="00231264">
        <w:rPr>
          <w:rFonts w:ascii="Georgia" w:hAnsi="Georgia" w:cs="Arial"/>
          <w:color w:val="000000"/>
          <w:kern w:val="0"/>
        </w:rPr>
        <w:t xml:space="preserve"> are as under: </w:t>
      </w:r>
    </w:p>
    <w:p w14:paraId="0FE2C301" w14:textId="77777777" w:rsidR="00C04E30" w:rsidRPr="00231264" w:rsidRDefault="00C04E30" w:rsidP="00C04E30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color w:val="000000"/>
          <w:kern w:val="0"/>
        </w:rPr>
      </w:pPr>
    </w:p>
    <w:p w14:paraId="4FDB8D8A" w14:textId="6AB615A3" w:rsidR="00B26B55" w:rsidRPr="000562AD" w:rsidRDefault="00B26B55" w:rsidP="00B26B5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b/>
          <w:bCs/>
          <w:kern w:val="0"/>
        </w:rPr>
      </w:pPr>
      <w:r w:rsidRPr="000562AD">
        <w:rPr>
          <w:rFonts w:ascii="Georgia" w:hAnsi="Georgia" w:cs="Arial"/>
          <w:b/>
          <w:bCs/>
          <w:kern w:val="0"/>
        </w:rPr>
        <w:t>(</w:t>
      </w:r>
      <w:proofErr w:type="spellStart"/>
      <w:r w:rsidRPr="000562AD">
        <w:rPr>
          <w:rFonts w:ascii="Georgia" w:hAnsi="Georgia" w:cs="Arial"/>
          <w:b/>
          <w:bCs/>
          <w:kern w:val="0"/>
        </w:rPr>
        <w:t>i</w:t>
      </w:r>
      <w:proofErr w:type="spellEnd"/>
      <w:r w:rsidRPr="000562AD">
        <w:rPr>
          <w:rFonts w:ascii="Georgia" w:hAnsi="Georgia" w:cs="Arial"/>
          <w:b/>
          <w:bCs/>
          <w:kern w:val="0"/>
        </w:rPr>
        <w:t>) Funding Concentration based on significant counterparty (both deposits and</w:t>
      </w:r>
      <w:r w:rsidR="008126DD" w:rsidRPr="000562AD">
        <w:rPr>
          <w:rFonts w:ascii="Georgia" w:hAnsi="Georgia" w:cs="Arial"/>
          <w:b/>
          <w:bCs/>
          <w:kern w:val="0"/>
        </w:rPr>
        <w:t xml:space="preserve"> </w:t>
      </w:r>
      <w:r w:rsidRPr="000562AD">
        <w:rPr>
          <w:rFonts w:ascii="Georgia" w:hAnsi="Georgia" w:cs="Arial"/>
          <w:b/>
          <w:bCs/>
          <w:kern w:val="0"/>
        </w:rPr>
        <w:t>borrowings)</w:t>
      </w:r>
    </w:p>
    <w:p w14:paraId="724ADDA7" w14:textId="77777777" w:rsidR="0039430A" w:rsidRPr="00231264" w:rsidRDefault="0039430A" w:rsidP="00B26B5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kern w:val="0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20"/>
        <w:gridCol w:w="2436"/>
        <w:gridCol w:w="1276"/>
        <w:gridCol w:w="1203"/>
        <w:gridCol w:w="1323"/>
      </w:tblGrid>
      <w:tr w:rsidR="0039430A" w:rsidRPr="00231264" w14:paraId="0B5CDFC0" w14:textId="77777777" w:rsidTr="00CB2681">
        <w:tc>
          <w:tcPr>
            <w:tcW w:w="820" w:type="dxa"/>
          </w:tcPr>
          <w:p w14:paraId="3A11CEE9" w14:textId="51D4FE39" w:rsidR="0039430A" w:rsidRPr="00231264" w:rsidRDefault="0039430A" w:rsidP="00B26B55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kern w:val="0"/>
              </w:rPr>
            </w:pPr>
            <w:r w:rsidRPr="00231264">
              <w:rPr>
                <w:rFonts w:ascii="Georgia" w:hAnsi="Georgia" w:cs="Arial"/>
                <w:kern w:val="0"/>
              </w:rPr>
              <w:t>Sr. No.</w:t>
            </w:r>
          </w:p>
        </w:tc>
        <w:tc>
          <w:tcPr>
            <w:tcW w:w="2436" w:type="dxa"/>
          </w:tcPr>
          <w:p w14:paraId="583B9384" w14:textId="2B8A0C5E" w:rsidR="0039430A" w:rsidRPr="00231264" w:rsidRDefault="0039430A" w:rsidP="007421E7">
            <w:pPr>
              <w:autoSpaceDE w:val="0"/>
              <w:autoSpaceDN w:val="0"/>
              <w:adjustRightInd w:val="0"/>
              <w:rPr>
                <w:rFonts w:ascii="Georgia" w:hAnsi="Georgia" w:cs="Arial"/>
                <w:kern w:val="0"/>
              </w:rPr>
            </w:pPr>
            <w:r w:rsidRPr="00231264">
              <w:rPr>
                <w:rFonts w:ascii="Georgia" w:hAnsi="Georgia" w:cs="Arial"/>
                <w:kern w:val="0"/>
              </w:rPr>
              <w:t>Number of</w:t>
            </w:r>
            <w:r w:rsidR="007421E7">
              <w:rPr>
                <w:rFonts w:ascii="Georgia" w:hAnsi="Georgia" w:cs="Arial"/>
                <w:kern w:val="0"/>
              </w:rPr>
              <w:t xml:space="preserve"> </w:t>
            </w:r>
            <w:r w:rsidRPr="00231264">
              <w:rPr>
                <w:rFonts w:ascii="Georgia" w:hAnsi="Georgia" w:cs="Arial"/>
                <w:kern w:val="0"/>
              </w:rPr>
              <w:t>Significant</w:t>
            </w:r>
            <w:r w:rsidR="007421E7">
              <w:rPr>
                <w:rFonts w:ascii="Georgia" w:hAnsi="Georgia" w:cs="Arial"/>
                <w:kern w:val="0"/>
              </w:rPr>
              <w:t xml:space="preserve"> </w:t>
            </w:r>
            <w:r w:rsidRPr="00231264">
              <w:rPr>
                <w:rFonts w:ascii="Georgia" w:hAnsi="Georgia" w:cs="Arial"/>
                <w:kern w:val="0"/>
              </w:rPr>
              <w:t>Counterparties</w:t>
            </w:r>
          </w:p>
        </w:tc>
        <w:tc>
          <w:tcPr>
            <w:tcW w:w="1123" w:type="dxa"/>
          </w:tcPr>
          <w:p w14:paraId="3D570977" w14:textId="77777777" w:rsidR="0039430A" w:rsidRPr="00231264" w:rsidRDefault="0039430A" w:rsidP="0039430A">
            <w:pPr>
              <w:autoSpaceDE w:val="0"/>
              <w:autoSpaceDN w:val="0"/>
              <w:adjustRightInd w:val="0"/>
              <w:rPr>
                <w:rFonts w:ascii="Georgia" w:hAnsi="Georgia" w:cs="Arial"/>
                <w:kern w:val="0"/>
              </w:rPr>
            </w:pPr>
            <w:r w:rsidRPr="00231264">
              <w:rPr>
                <w:rFonts w:ascii="Georgia" w:hAnsi="Georgia" w:cs="Arial"/>
                <w:kern w:val="0"/>
              </w:rPr>
              <w:t>Amount</w:t>
            </w:r>
          </w:p>
          <w:p w14:paraId="009704C0" w14:textId="5D321663" w:rsidR="0039430A" w:rsidRPr="00231264" w:rsidRDefault="0039430A" w:rsidP="00920792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kern w:val="0"/>
              </w:rPr>
            </w:pPr>
            <w:r w:rsidRPr="00231264">
              <w:rPr>
                <w:rFonts w:ascii="Georgia" w:hAnsi="Georgia" w:cs="Arial"/>
                <w:kern w:val="0"/>
              </w:rPr>
              <w:t xml:space="preserve">(₹ </w:t>
            </w:r>
            <w:r w:rsidR="00920792">
              <w:rPr>
                <w:rFonts w:ascii="Georgia" w:hAnsi="Georgia" w:cs="Arial"/>
                <w:kern w:val="0"/>
              </w:rPr>
              <w:t>Lakh</w:t>
            </w:r>
            <w:r w:rsidRPr="00231264">
              <w:rPr>
                <w:rFonts w:ascii="Georgia" w:hAnsi="Georgia" w:cs="Arial"/>
                <w:kern w:val="0"/>
              </w:rPr>
              <w:t>)</w:t>
            </w:r>
          </w:p>
        </w:tc>
        <w:tc>
          <w:tcPr>
            <w:tcW w:w="1203" w:type="dxa"/>
          </w:tcPr>
          <w:p w14:paraId="4181C094" w14:textId="77777777" w:rsidR="0039430A" w:rsidRPr="00231264" w:rsidRDefault="0039430A" w:rsidP="0039430A">
            <w:pPr>
              <w:autoSpaceDE w:val="0"/>
              <w:autoSpaceDN w:val="0"/>
              <w:adjustRightInd w:val="0"/>
              <w:rPr>
                <w:rFonts w:ascii="Georgia" w:hAnsi="Georgia" w:cs="Arial"/>
                <w:kern w:val="0"/>
              </w:rPr>
            </w:pPr>
            <w:r w:rsidRPr="00231264">
              <w:rPr>
                <w:rFonts w:ascii="Georgia" w:hAnsi="Georgia" w:cs="Arial"/>
                <w:kern w:val="0"/>
              </w:rPr>
              <w:t>% of Total</w:t>
            </w:r>
          </w:p>
          <w:p w14:paraId="3C9DEC67" w14:textId="29C5CBA7" w:rsidR="0039430A" w:rsidRPr="00231264" w:rsidRDefault="0039430A" w:rsidP="0039430A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kern w:val="0"/>
              </w:rPr>
            </w:pPr>
            <w:r w:rsidRPr="00231264">
              <w:rPr>
                <w:rFonts w:ascii="Georgia" w:hAnsi="Georgia" w:cs="Arial"/>
                <w:kern w:val="0"/>
              </w:rPr>
              <w:t>deposits</w:t>
            </w:r>
          </w:p>
        </w:tc>
        <w:tc>
          <w:tcPr>
            <w:tcW w:w="1323" w:type="dxa"/>
          </w:tcPr>
          <w:p w14:paraId="25D52494" w14:textId="77777777" w:rsidR="0039430A" w:rsidRPr="00231264" w:rsidRDefault="0039430A" w:rsidP="0039430A">
            <w:pPr>
              <w:autoSpaceDE w:val="0"/>
              <w:autoSpaceDN w:val="0"/>
              <w:adjustRightInd w:val="0"/>
              <w:rPr>
                <w:rFonts w:ascii="Georgia" w:hAnsi="Georgia" w:cs="Arial"/>
                <w:kern w:val="0"/>
              </w:rPr>
            </w:pPr>
            <w:r w:rsidRPr="00231264">
              <w:rPr>
                <w:rFonts w:ascii="Georgia" w:hAnsi="Georgia" w:cs="Arial"/>
                <w:kern w:val="0"/>
              </w:rPr>
              <w:t>% of Total</w:t>
            </w:r>
          </w:p>
          <w:p w14:paraId="1182FD2B" w14:textId="7CE90F2A" w:rsidR="0039430A" w:rsidRPr="00231264" w:rsidRDefault="0039430A" w:rsidP="0039430A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kern w:val="0"/>
              </w:rPr>
            </w:pPr>
            <w:r w:rsidRPr="00231264">
              <w:rPr>
                <w:rFonts w:ascii="Georgia" w:hAnsi="Georgia" w:cs="Arial"/>
                <w:kern w:val="0"/>
              </w:rPr>
              <w:t>Liabilities</w:t>
            </w:r>
          </w:p>
        </w:tc>
      </w:tr>
      <w:tr w:rsidR="0039430A" w:rsidRPr="00231264" w14:paraId="38738280" w14:textId="77777777" w:rsidTr="00CB2681">
        <w:tc>
          <w:tcPr>
            <w:tcW w:w="820" w:type="dxa"/>
          </w:tcPr>
          <w:p w14:paraId="05006FDE" w14:textId="511710BE" w:rsidR="0039430A" w:rsidRPr="00231264" w:rsidRDefault="0039430A" w:rsidP="00B26B55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kern w:val="0"/>
              </w:rPr>
            </w:pPr>
            <w:r w:rsidRPr="00231264">
              <w:rPr>
                <w:rFonts w:ascii="Georgia" w:hAnsi="Georgia" w:cs="Arial"/>
                <w:kern w:val="0"/>
              </w:rPr>
              <w:t>1</w:t>
            </w:r>
          </w:p>
        </w:tc>
        <w:tc>
          <w:tcPr>
            <w:tcW w:w="2436" w:type="dxa"/>
          </w:tcPr>
          <w:p w14:paraId="7CD04414" w14:textId="7CEA24E2" w:rsidR="0039430A" w:rsidRPr="00231264" w:rsidRDefault="0039430A" w:rsidP="00F45854">
            <w:pPr>
              <w:autoSpaceDE w:val="0"/>
              <w:autoSpaceDN w:val="0"/>
              <w:adjustRightInd w:val="0"/>
              <w:jc w:val="center"/>
              <w:rPr>
                <w:rFonts w:ascii="Georgia" w:hAnsi="Georgia" w:cs="Arial"/>
                <w:kern w:val="0"/>
              </w:rPr>
            </w:pPr>
            <w:r w:rsidRPr="00231264">
              <w:rPr>
                <w:rFonts w:ascii="Georgia" w:hAnsi="Georgia" w:cs="Arial"/>
                <w:kern w:val="0"/>
              </w:rPr>
              <w:t>1</w:t>
            </w:r>
          </w:p>
        </w:tc>
        <w:tc>
          <w:tcPr>
            <w:tcW w:w="1123" w:type="dxa"/>
          </w:tcPr>
          <w:p w14:paraId="5CD0A874" w14:textId="214CF006" w:rsidR="0039430A" w:rsidRPr="00231264" w:rsidRDefault="00935C62" w:rsidP="005000AD">
            <w:pPr>
              <w:autoSpaceDE w:val="0"/>
              <w:autoSpaceDN w:val="0"/>
              <w:adjustRightInd w:val="0"/>
              <w:jc w:val="right"/>
              <w:rPr>
                <w:rFonts w:ascii="Georgia" w:hAnsi="Georgia" w:cs="Arial"/>
                <w:kern w:val="0"/>
              </w:rPr>
            </w:pPr>
            <w:r>
              <w:rPr>
                <w:rFonts w:ascii="Georgia" w:hAnsi="Georgia" w:cs="Arial"/>
                <w:kern w:val="0"/>
              </w:rPr>
              <w:t>5382</w:t>
            </w:r>
            <w:r w:rsidR="005000AD">
              <w:rPr>
                <w:rFonts w:ascii="Georgia" w:hAnsi="Georgia" w:cs="Arial"/>
                <w:kern w:val="0"/>
              </w:rPr>
              <w:t>64.90</w:t>
            </w:r>
          </w:p>
        </w:tc>
        <w:tc>
          <w:tcPr>
            <w:tcW w:w="1203" w:type="dxa"/>
          </w:tcPr>
          <w:p w14:paraId="4BDB4747" w14:textId="4AF0A7DE" w:rsidR="0039430A" w:rsidRPr="00231264" w:rsidRDefault="00DD6903" w:rsidP="00F45854">
            <w:pPr>
              <w:autoSpaceDE w:val="0"/>
              <w:autoSpaceDN w:val="0"/>
              <w:adjustRightInd w:val="0"/>
              <w:jc w:val="center"/>
              <w:rPr>
                <w:rFonts w:ascii="Georgia" w:hAnsi="Georgia" w:cs="Arial"/>
                <w:kern w:val="0"/>
              </w:rPr>
            </w:pPr>
            <w:r w:rsidRPr="00231264">
              <w:rPr>
                <w:rFonts w:ascii="Georgia" w:hAnsi="Georgia" w:cs="Arial"/>
                <w:kern w:val="0"/>
              </w:rPr>
              <w:t>NA</w:t>
            </w:r>
          </w:p>
        </w:tc>
        <w:tc>
          <w:tcPr>
            <w:tcW w:w="1323" w:type="dxa"/>
          </w:tcPr>
          <w:p w14:paraId="364A402A" w14:textId="073D3C85" w:rsidR="0039430A" w:rsidRPr="00231264" w:rsidRDefault="00F444F7" w:rsidP="00F45854">
            <w:pPr>
              <w:autoSpaceDE w:val="0"/>
              <w:autoSpaceDN w:val="0"/>
              <w:adjustRightInd w:val="0"/>
              <w:jc w:val="center"/>
              <w:rPr>
                <w:rFonts w:ascii="Georgia" w:hAnsi="Georgia" w:cs="Arial"/>
                <w:kern w:val="0"/>
              </w:rPr>
            </w:pPr>
            <w:r>
              <w:rPr>
                <w:rFonts w:ascii="Georgia" w:hAnsi="Georgia" w:cs="Arial"/>
                <w:kern w:val="0"/>
              </w:rPr>
              <w:t>86.51</w:t>
            </w:r>
          </w:p>
        </w:tc>
      </w:tr>
    </w:tbl>
    <w:p w14:paraId="7D5243B1" w14:textId="77777777" w:rsidR="0039430A" w:rsidRPr="00231264" w:rsidRDefault="0039430A" w:rsidP="00B26B5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kern w:val="0"/>
        </w:rPr>
      </w:pPr>
    </w:p>
    <w:p w14:paraId="34D1B522" w14:textId="23735D0E" w:rsidR="00B26B55" w:rsidRPr="000562AD" w:rsidRDefault="00B26B55" w:rsidP="00B26B5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b/>
          <w:bCs/>
          <w:kern w:val="0"/>
        </w:rPr>
      </w:pPr>
      <w:r w:rsidRPr="000562AD">
        <w:rPr>
          <w:rFonts w:ascii="Georgia" w:hAnsi="Georgia" w:cs="Arial"/>
          <w:b/>
          <w:bCs/>
          <w:kern w:val="0"/>
        </w:rPr>
        <w:t xml:space="preserve">(ii) Top </w:t>
      </w:r>
      <w:r w:rsidR="00920792">
        <w:rPr>
          <w:rFonts w:ascii="Georgia" w:hAnsi="Georgia" w:cs="Arial"/>
          <w:b/>
          <w:bCs/>
          <w:kern w:val="0"/>
        </w:rPr>
        <w:t>20 large deposits (amount in ₹ Lakh</w:t>
      </w:r>
      <w:r w:rsidRPr="000562AD">
        <w:rPr>
          <w:rFonts w:ascii="Georgia" w:hAnsi="Georgia" w:cs="Arial"/>
          <w:b/>
          <w:bCs/>
          <w:kern w:val="0"/>
        </w:rPr>
        <w:t xml:space="preserve"> and percent of total deposits)</w:t>
      </w:r>
    </w:p>
    <w:p w14:paraId="039EFD78" w14:textId="77777777" w:rsidR="00B26B55" w:rsidRPr="00231264" w:rsidRDefault="00B26B55" w:rsidP="00B26B5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kern w:val="0"/>
        </w:rPr>
      </w:pPr>
    </w:p>
    <w:p w14:paraId="65154106" w14:textId="48FC7BEF" w:rsidR="00703A66" w:rsidRPr="00231264" w:rsidRDefault="00703A66" w:rsidP="00B26B5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kern w:val="0"/>
        </w:rPr>
      </w:pPr>
      <w:r w:rsidRPr="00231264">
        <w:rPr>
          <w:rFonts w:ascii="Georgia" w:hAnsi="Georgia"/>
        </w:rPr>
        <w:t>Not Applicable. The Company being a Systematically Important Non-Deposit taking Non-Banking Financial Company registered with Reserve Bank of India does not accept any public deposits.</w:t>
      </w:r>
    </w:p>
    <w:p w14:paraId="47D7FF82" w14:textId="77777777" w:rsidR="00703A66" w:rsidRPr="00231264" w:rsidRDefault="00703A66" w:rsidP="00B26B5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kern w:val="0"/>
        </w:rPr>
      </w:pPr>
    </w:p>
    <w:p w14:paraId="6C1EB68F" w14:textId="7A4E6ECB" w:rsidR="00B26B55" w:rsidRDefault="00B26B55" w:rsidP="00B26B5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b/>
          <w:bCs/>
          <w:kern w:val="0"/>
        </w:rPr>
      </w:pPr>
      <w:r w:rsidRPr="000562AD">
        <w:rPr>
          <w:rFonts w:ascii="Georgia" w:hAnsi="Georgia" w:cs="Arial"/>
          <w:b/>
          <w:bCs/>
          <w:kern w:val="0"/>
        </w:rPr>
        <w:t xml:space="preserve">(iii) </w:t>
      </w:r>
      <w:r w:rsidR="00920792">
        <w:rPr>
          <w:rFonts w:ascii="Georgia" w:hAnsi="Georgia" w:cs="Arial"/>
          <w:b/>
          <w:bCs/>
          <w:kern w:val="0"/>
        </w:rPr>
        <w:t>Top 10 borrowings (amount in ₹ Lakh</w:t>
      </w:r>
      <w:r w:rsidRPr="000562AD">
        <w:rPr>
          <w:rFonts w:ascii="Georgia" w:hAnsi="Georgia" w:cs="Arial"/>
          <w:b/>
          <w:bCs/>
          <w:kern w:val="0"/>
        </w:rPr>
        <w:t xml:space="preserve"> and percent of total borrowings)</w:t>
      </w:r>
    </w:p>
    <w:p w14:paraId="196BB8C3" w14:textId="77777777" w:rsidR="00CB2681" w:rsidRDefault="00CB2681" w:rsidP="00B26B5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b/>
          <w:bCs/>
          <w:kern w:val="0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436"/>
        <w:gridCol w:w="1208"/>
      </w:tblGrid>
      <w:tr w:rsidR="00CB2681" w:rsidRPr="00231264" w14:paraId="79906AD6" w14:textId="77777777" w:rsidTr="00CB2681">
        <w:tc>
          <w:tcPr>
            <w:tcW w:w="2436" w:type="dxa"/>
          </w:tcPr>
          <w:p w14:paraId="27D0EFE1" w14:textId="459558FF" w:rsidR="00CB2681" w:rsidRPr="00231264" w:rsidRDefault="00CB2681" w:rsidP="00920792">
            <w:pPr>
              <w:autoSpaceDE w:val="0"/>
              <w:autoSpaceDN w:val="0"/>
              <w:adjustRightInd w:val="0"/>
              <w:rPr>
                <w:rFonts w:ascii="Georgia" w:hAnsi="Georgia" w:cs="Arial"/>
                <w:kern w:val="0"/>
              </w:rPr>
            </w:pPr>
            <w:r w:rsidRPr="00231264">
              <w:rPr>
                <w:rFonts w:ascii="Georgia" w:hAnsi="Georgia" w:cs="Arial"/>
                <w:kern w:val="0"/>
              </w:rPr>
              <w:t>Amount</w:t>
            </w:r>
            <w:r>
              <w:rPr>
                <w:rFonts w:ascii="Georgia" w:hAnsi="Georgia" w:cs="Arial"/>
                <w:kern w:val="0"/>
              </w:rPr>
              <w:t xml:space="preserve"> </w:t>
            </w:r>
            <w:r w:rsidR="00920792">
              <w:rPr>
                <w:rFonts w:ascii="Georgia" w:hAnsi="Georgia" w:cs="Arial"/>
                <w:kern w:val="0"/>
              </w:rPr>
              <w:t>(₹ Lakh</w:t>
            </w:r>
            <w:r w:rsidRPr="00231264">
              <w:rPr>
                <w:rFonts w:ascii="Georgia" w:hAnsi="Georgia" w:cs="Arial"/>
                <w:kern w:val="0"/>
              </w:rPr>
              <w:t>)</w:t>
            </w:r>
          </w:p>
        </w:tc>
        <w:tc>
          <w:tcPr>
            <w:tcW w:w="1123" w:type="dxa"/>
          </w:tcPr>
          <w:p w14:paraId="38463C9F" w14:textId="32251E8C" w:rsidR="00CB2681" w:rsidRPr="00231264" w:rsidRDefault="00920792" w:rsidP="00EA3C27">
            <w:pPr>
              <w:autoSpaceDE w:val="0"/>
              <w:autoSpaceDN w:val="0"/>
              <w:adjustRightInd w:val="0"/>
              <w:jc w:val="right"/>
              <w:rPr>
                <w:rFonts w:ascii="Georgia" w:hAnsi="Georgia" w:cs="Arial"/>
                <w:kern w:val="0"/>
              </w:rPr>
            </w:pPr>
            <w:r>
              <w:rPr>
                <w:rFonts w:ascii="Georgia" w:hAnsi="Georgia" w:cs="Arial"/>
                <w:kern w:val="0"/>
              </w:rPr>
              <w:t>6137</w:t>
            </w:r>
            <w:r w:rsidR="0025196D">
              <w:rPr>
                <w:rFonts w:ascii="Georgia" w:hAnsi="Georgia" w:cs="Arial"/>
                <w:kern w:val="0"/>
              </w:rPr>
              <w:t>1</w:t>
            </w:r>
            <w:r w:rsidR="00EA3C27">
              <w:rPr>
                <w:rFonts w:ascii="Georgia" w:hAnsi="Georgia" w:cs="Arial"/>
                <w:kern w:val="0"/>
              </w:rPr>
              <w:t>5.00</w:t>
            </w:r>
          </w:p>
        </w:tc>
      </w:tr>
      <w:tr w:rsidR="00CB2681" w:rsidRPr="00231264" w14:paraId="7D371388" w14:textId="77777777" w:rsidTr="00CB2681">
        <w:tc>
          <w:tcPr>
            <w:tcW w:w="2436" w:type="dxa"/>
          </w:tcPr>
          <w:p w14:paraId="345F9418" w14:textId="700C1FD1" w:rsidR="00CB2681" w:rsidRPr="00231264" w:rsidRDefault="00CB2681" w:rsidP="00375939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kern w:val="0"/>
              </w:rPr>
            </w:pPr>
            <w:r w:rsidRPr="00CB2681">
              <w:rPr>
                <w:rFonts w:ascii="Georgia" w:hAnsi="Georgia" w:cs="Arial"/>
                <w:kern w:val="0"/>
              </w:rPr>
              <w:t>% of total borrowings</w:t>
            </w:r>
          </w:p>
        </w:tc>
        <w:tc>
          <w:tcPr>
            <w:tcW w:w="1123" w:type="dxa"/>
          </w:tcPr>
          <w:p w14:paraId="51C13C67" w14:textId="594AD559" w:rsidR="00CB2681" w:rsidRPr="00231264" w:rsidRDefault="00CB2681" w:rsidP="00F45854">
            <w:pPr>
              <w:autoSpaceDE w:val="0"/>
              <w:autoSpaceDN w:val="0"/>
              <w:adjustRightInd w:val="0"/>
              <w:jc w:val="center"/>
              <w:rPr>
                <w:rFonts w:ascii="Georgia" w:hAnsi="Georgia" w:cs="Arial"/>
                <w:kern w:val="0"/>
              </w:rPr>
            </w:pPr>
            <w:r>
              <w:rPr>
                <w:rFonts w:ascii="Georgia" w:hAnsi="Georgia" w:cs="Arial"/>
                <w:kern w:val="0"/>
              </w:rPr>
              <w:t>100%</w:t>
            </w:r>
          </w:p>
        </w:tc>
      </w:tr>
    </w:tbl>
    <w:p w14:paraId="75CFF437" w14:textId="77777777" w:rsidR="00CB2681" w:rsidRDefault="00CB2681" w:rsidP="00B26B5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b/>
          <w:bCs/>
          <w:kern w:val="0"/>
        </w:rPr>
      </w:pPr>
    </w:p>
    <w:p w14:paraId="2DB767D2" w14:textId="77777777" w:rsidR="00CB2681" w:rsidRPr="000562AD" w:rsidRDefault="00CB2681" w:rsidP="00B26B5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b/>
          <w:bCs/>
          <w:kern w:val="0"/>
        </w:rPr>
      </w:pPr>
    </w:p>
    <w:p w14:paraId="714E8AA6" w14:textId="056E8D0F" w:rsidR="00B26B55" w:rsidRPr="00CB2681" w:rsidRDefault="00B26B55" w:rsidP="00B26B5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b/>
          <w:bCs/>
          <w:kern w:val="0"/>
        </w:rPr>
      </w:pPr>
      <w:r w:rsidRPr="00CB2681">
        <w:rPr>
          <w:rFonts w:ascii="Georgia" w:hAnsi="Georgia" w:cs="Arial"/>
          <w:b/>
          <w:bCs/>
          <w:kern w:val="0"/>
        </w:rPr>
        <w:t>(iv) Funding Concentration based on significant instrument/product</w:t>
      </w:r>
    </w:p>
    <w:p w14:paraId="2228364C" w14:textId="77777777" w:rsidR="00B26B55" w:rsidRDefault="00B26B55" w:rsidP="00B26B5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kern w:val="0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20"/>
        <w:gridCol w:w="2577"/>
        <w:gridCol w:w="1411"/>
        <w:gridCol w:w="1323"/>
      </w:tblGrid>
      <w:tr w:rsidR="00CB2681" w:rsidRPr="00231264" w14:paraId="022879AD" w14:textId="77777777" w:rsidTr="00515DC7">
        <w:tc>
          <w:tcPr>
            <w:tcW w:w="820" w:type="dxa"/>
          </w:tcPr>
          <w:p w14:paraId="3ED908F1" w14:textId="77777777" w:rsidR="00CB2681" w:rsidRPr="00231264" w:rsidRDefault="00CB2681" w:rsidP="00375939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kern w:val="0"/>
              </w:rPr>
            </w:pPr>
            <w:r w:rsidRPr="00231264">
              <w:rPr>
                <w:rFonts w:ascii="Georgia" w:hAnsi="Georgia" w:cs="Arial"/>
                <w:kern w:val="0"/>
              </w:rPr>
              <w:t>Sr. No.</w:t>
            </w:r>
          </w:p>
        </w:tc>
        <w:tc>
          <w:tcPr>
            <w:tcW w:w="2577" w:type="dxa"/>
          </w:tcPr>
          <w:p w14:paraId="2738ECBB" w14:textId="77777777" w:rsidR="00CB2681" w:rsidRPr="00231264" w:rsidRDefault="00CB2681" w:rsidP="00375939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kern w:val="0"/>
              </w:rPr>
            </w:pPr>
            <w:r w:rsidRPr="00231264">
              <w:rPr>
                <w:rFonts w:ascii="Georgia" w:hAnsi="Georgia"/>
              </w:rPr>
              <w:t>Name of the instrument</w:t>
            </w:r>
            <w:r>
              <w:rPr>
                <w:rFonts w:ascii="Georgia" w:hAnsi="Georgia"/>
              </w:rPr>
              <w:t xml:space="preserve"> </w:t>
            </w:r>
            <w:r w:rsidRPr="00231264">
              <w:rPr>
                <w:rFonts w:ascii="Georgia" w:hAnsi="Georgia"/>
              </w:rPr>
              <w:t>/ product</w:t>
            </w:r>
          </w:p>
        </w:tc>
        <w:tc>
          <w:tcPr>
            <w:tcW w:w="1411" w:type="dxa"/>
          </w:tcPr>
          <w:p w14:paraId="4DDE79FB" w14:textId="77777777" w:rsidR="00CB2681" w:rsidRPr="00231264" w:rsidRDefault="00CB2681" w:rsidP="00375939">
            <w:pPr>
              <w:autoSpaceDE w:val="0"/>
              <w:autoSpaceDN w:val="0"/>
              <w:adjustRightInd w:val="0"/>
              <w:rPr>
                <w:rFonts w:ascii="Georgia" w:hAnsi="Georgia" w:cs="Arial"/>
                <w:kern w:val="0"/>
              </w:rPr>
            </w:pPr>
            <w:r w:rsidRPr="00231264">
              <w:rPr>
                <w:rFonts w:ascii="Georgia" w:hAnsi="Georgia" w:cs="Arial"/>
                <w:kern w:val="0"/>
              </w:rPr>
              <w:t>Amount</w:t>
            </w:r>
          </w:p>
          <w:p w14:paraId="6AFA66ED" w14:textId="37E05624" w:rsidR="00CB2681" w:rsidRPr="00231264" w:rsidRDefault="00125D7E" w:rsidP="00125D7E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kern w:val="0"/>
              </w:rPr>
            </w:pPr>
            <w:r>
              <w:rPr>
                <w:rFonts w:ascii="Georgia" w:hAnsi="Georgia" w:cs="Arial"/>
                <w:kern w:val="0"/>
              </w:rPr>
              <w:t>(₹ Lakh</w:t>
            </w:r>
            <w:r w:rsidR="00CB2681" w:rsidRPr="00231264">
              <w:rPr>
                <w:rFonts w:ascii="Georgia" w:hAnsi="Georgia" w:cs="Arial"/>
                <w:kern w:val="0"/>
              </w:rPr>
              <w:t>)</w:t>
            </w:r>
          </w:p>
        </w:tc>
        <w:tc>
          <w:tcPr>
            <w:tcW w:w="1323" w:type="dxa"/>
          </w:tcPr>
          <w:p w14:paraId="234B7CA6" w14:textId="77777777" w:rsidR="00CB2681" w:rsidRPr="00231264" w:rsidRDefault="00CB2681" w:rsidP="00375939">
            <w:pPr>
              <w:autoSpaceDE w:val="0"/>
              <w:autoSpaceDN w:val="0"/>
              <w:adjustRightInd w:val="0"/>
              <w:rPr>
                <w:rFonts w:ascii="Georgia" w:hAnsi="Georgia" w:cs="Arial"/>
                <w:kern w:val="0"/>
              </w:rPr>
            </w:pPr>
            <w:r w:rsidRPr="00231264">
              <w:rPr>
                <w:rFonts w:ascii="Georgia" w:hAnsi="Georgia" w:cs="Arial"/>
                <w:kern w:val="0"/>
              </w:rPr>
              <w:t>% of Total</w:t>
            </w:r>
          </w:p>
          <w:p w14:paraId="21F9AB2C" w14:textId="77777777" w:rsidR="00CB2681" w:rsidRPr="00231264" w:rsidRDefault="00CB2681" w:rsidP="00375939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kern w:val="0"/>
              </w:rPr>
            </w:pPr>
            <w:r w:rsidRPr="00231264">
              <w:rPr>
                <w:rFonts w:ascii="Georgia" w:hAnsi="Georgia" w:cs="Arial"/>
                <w:kern w:val="0"/>
              </w:rPr>
              <w:t>Liabilities</w:t>
            </w:r>
          </w:p>
        </w:tc>
      </w:tr>
      <w:tr w:rsidR="00515DC7" w:rsidRPr="00231264" w14:paraId="04B136B1" w14:textId="77777777" w:rsidTr="00515DC7">
        <w:tc>
          <w:tcPr>
            <w:tcW w:w="820" w:type="dxa"/>
          </w:tcPr>
          <w:p w14:paraId="65D08849" w14:textId="77777777" w:rsidR="00515DC7" w:rsidRPr="00231264" w:rsidRDefault="00515DC7" w:rsidP="00515DC7">
            <w:pPr>
              <w:autoSpaceDE w:val="0"/>
              <w:autoSpaceDN w:val="0"/>
              <w:adjustRightInd w:val="0"/>
              <w:jc w:val="center"/>
              <w:rPr>
                <w:rFonts w:ascii="Georgia" w:hAnsi="Georgia" w:cs="Arial"/>
                <w:kern w:val="0"/>
              </w:rPr>
            </w:pPr>
            <w:r w:rsidRPr="00231264">
              <w:rPr>
                <w:rFonts w:ascii="Georgia" w:hAnsi="Georgia" w:cs="Arial"/>
                <w:kern w:val="0"/>
              </w:rPr>
              <w:t>1</w:t>
            </w:r>
          </w:p>
        </w:tc>
        <w:tc>
          <w:tcPr>
            <w:tcW w:w="2577" w:type="dxa"/>
          </w:tcPr>
          <w:p w14:paraId="0C093955" w14:textId="77777777" w:rsidR="00515DC7" w:rsidRPr="00231264" w:rsidRDefault="00515DC7" w:rsidP="00515DC7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kern w:val="0"/>
              </w:rPr>
            </w:pPr>
            <w:r w:rsidRPr="007421E7">
              <w:rPr>
                <w:rFonts w:ascii="Georgia" w:hAnsi="Georgia" w:cs="Arial"/>
                <w:kern w:val="0"/>
              </w:rPr>
              <w:t>Unsecured Loans</w:t>
            </w:r>
          </w:p>
        </w:tc>
        <w:tc>
          <w:tcPr>
            <w:tcW w:w="1411" w:type="dxa"/>
            <w:vAlign w:val="bottom"/>
          </w:tcPr>
          <w:p w14:paraId="58E93011" w14:textId="1601723F" w:rsidR="00515DC7" w:rsidRPr="00231264" w:rsidRDefault="00515DC7" w:rsidP="00515DC7">
            <w:pPr>
              <w:autoSpaceDE w:val="0"/>
              <w:autoSpaceDN w:val="0"/>
              <w:adjustRightInd w:val="0"/>
              <w:jc w:val="right"/>
              <w:rPr>
                <w:rFonts w:ascii="Georgia" w:hAnsi="Georgia" w:cs="Arial"/>
                <w:kern w:val="0"/>
              </w:rPr>
            </w:pPr>
            <w:r w:rsidRPr="00665999">
              <w:rPr>
                <w:rFonts w:ascii="Georgia" w:hAnsi="Georgia" w:cs="Arial"/>
                <w:kern w:val="0"/>
              </w:rPr>
              <w:t>2,29,868.04</w:t>
            </w:r>
          </w:p>
        </w:tc>
        <w:tc>
          <w:tcPr>
            <w:tcW w:w="1323" w:type="dxa"/>
            <w:vAlign w:val="bottom"/>
          </w:tcPr>
          <w:p w14:paraId="04E5F33E" w14:textId="0134E305" w:rsidR="00515DC7" w:rsidRPr="00231264" w:rsidRDefault="00515DC7" w:rsidP="00515DC7">
            <w:pPr>
              <w:autoSpaceDE w:val="0"/>
              <w:autoSpaceDN w:val="0"/>
              <w:adjustRightInd w:val="0"/>
              <w:jc w:val="right"/>
              <w:rPr>
                <w:rFonts w:ascii="Georgia" w:hAnsi="Georgia" w:cs="Arial"/>
                <w:kern w:val="0"/>
              </w:rPr>
            </w:pPr>
            <w:r w:rsidRPr="00515DC7">
              <w:rPr>
                <w:rFonts w:ascii="Georgia" w:hAnsi="Georgia" w:cs="Arial"/>
                <w:kern w:val="0"/>
              </w:rPr>
              <w:t>37.46%</w:t>
            </w:r>
          </w:p>
        </w:tc>
      </w:tr>
      <w:tr w:rsidR="00515DC7" w:rsidRPr="00231264" w14:paraId="0CAE1DBB" w14:textId="77777777" w:rsidTr="00515DC7">
        <w:tc>
          <w:tcPr>
            <w:tcW w:w="820" w:type="dxa"/>
          </w:tcPr>
          <w:p w14:paraId="4970E100" w14:textId="38B9BC47" w:rsidR="00515DC7" w:rsidRPr="00231264" w:rsidRDefault="00515DC7" w:rsidP="00515DC7">
            <w:pPr>
              <w:autoSpaceDE w:val="0"/>
              <w:autoSpaceDN w:val="0"/>
              <w:adjustRightInd w:val="0"/>
              <w:jc w:val="center"/>
              <w:rPr>
                <w:rFonts w:ascii="Georgia" w:hAnsi="Georgia" w:cs="Arial"/>
                <w:kern w:val="0"/>
              </w:rPr>
            </w:pPr>
            <w:r>
              <w:rPr>
                <w:rFonts w:ascii="Georgia" w:hAnsi="Georgia" w:cs="Arial"/>
                <w:kern w:val="0"/>
              </w:rPr>
              <w:t>2</w:t>
            </w:r>
          </w:p>
        </w:tc>
        <w:tc>
          <w:tcPr>
            <w:tcW w:w="2577" w:type="dxa"/>
          </w:tcPr>
          <w:p w14:paraId="0A749FAF" w14:textId="479216B9" w:rsidR="00515DC7" w:rsidRPr="007421E7" w:rsidRDefault="00515DC7" w:rsidP="00515DC7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kern w:val="0"/>
              </w:rPr>
            </w:pPr>
            <w:r>
              <w:rPr>
                <w:rFonts w:ascii="Georgia" w:hAnsi="Georgia" w:cs="Arial"/>
                <w:kern w:val="0"/>
              </w:rPr>
              <w:t>Secured loans</w:t>
            </w:r>
          </w:p>
        </w:tc>
        <w:tc>
          <w:tcPr>
            <w:tcW w:w="1411" w:type="dxa"/>
            <w:vAlign w:val="bottom"/>
          </w:tcPr>
          <w:p w14:paraId="371EB885" w14:textId="253CCFC2" w:rsidR="00515DC7" w:rsidRDefault="00515DC7" w:rsidP="00515DC7">
            <w:pPr>
              <w:autoSpaceDE w:val="0"/>
              <w:autoSpaceDN w:val="0"/>
              <w:adjustRightInd w:val="0"/>
              <w:jc w:val="right"/>
              <w:rPr>
                <w:rFonts w:ascii="Georgia" w:hAnsi="Georgia" w:cs="Arial"/>
                <w:kern w:val="0"/>
              </w:rPr>
            </w:pPr>
            <w:r w:rsidRPr="00665999">
              <w:rPr>
                <w:rFonts w:ascii="Georgia" w:hAnsi="Georgia" w:cs="Arial"/>
                <w:kern w:val="0"/>
              </w:rPr>
              <w:t>3,33,846.96</w:t>
            </w:r>
          </w:p>
        </w:tc>
        <w:tc>
          <w:tcPr>
            <w:tcW w:w="1323" w:type="dxa"/>
            <w:vAlign w:val="bottom"/>
          </w:tcPr>
          <w:p w14:paraId="309985C8" w14:textId="4ABC7ED0" w:rsidR="00515DC7" w:rsidRDefault="00515DC7" w:rsidP="00515DC7">
            <w:pPr>
              <w:autoSpaceDE w:val="0"/>
              <w:autoSpaceDN w:val="0"/>
              <w:adjustRightInd w:val="0"/>
              <w:jc w:val="right"/>
              <w:rPr>
                <w:rFonts w:ascii="Georgia" w:hAnsi="Georgia" w:cs="Arial"/>
                <w:kern w:val="0"/>
              </w:rPr>
            </w:pPr>
            <w:r w:rsidRPr="00515DC7">
              <w:rPr>
                <w:rFonts w:ascii="Georgia" w:hAnsi="Georgia" w:cs="Arial"/>
                <w:kern w:val="0"/>
              </w:rPr>
              <w:t>54.40%</w:t>
            </w:r>
          </w:p>
        </w:tc>
      </w:tr>
      <w:tr w:rsidR="00515DC7" w:rsidRPr="00231264" w14:paraId="45B7D859" w14:textId="77777777" w:rsidTr="00515DC7">
        <w:tc>
          <w:tcPr>
            <w:tcW w:w="820" w:type="dxa"/>
          </w:tcPr>
          <w:p w14:paraId="0C33DE7D" w14:textId="59CA2004" w:rsidR="00515DC7" w:rsidRDefault="00515DC7" w:rsidP="00515DC7">
            <w:pPr>
              <w:autoSpaceDE w:val="0"/>
              <w:autoSpaceDN w:val="0"/>
              <w:adjustRightInd w:val="0"/>
              <w:jc w:val="center"/>
              <w:rPr>
                <w:rFonts w:ascii="Georgia" w:hAnsi="Georgia" w:cs="Arial"/>
                <w:kern w:val="0"/>
              </w:rPr>
            </w:pPr>
            <w:r>
              <w:rPr>
                <w:rFonts w:ascii="Georgia" w:hAnsi="Georgia" w:cs="Arial"/>
                <w:kern w:val="0"/>
              </w:rPr>
              <w:t>3</w:t>
            </w:r>
          </w:p>
        </w:tc>
        <w:tc>
          <w:tcPr>
            <w:tcW w:w="2577" w:type="dxa"/>
          </w:tcPr>
          <w:p w14:paraId="3CEB07B3" w14:textId="2B6480CA" w:rsidR="00515DC7" w:rsidRDefault="00515DC7" w:rsidP="00515DC7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kern w:val="0"/>
              </w:rPr>
            </w:pPr>
            <w:r>
              <w:rPr>
                <w:rFonts w:ascii="Georgia" w:hAnsi="Georgia" w:cs="Arial"/>
                <w:kern w:val="0"/>
              </w:rPr>
              <w:t>Tier II Bond (NCD)</w:t>
            </w:r>
          </w:p>
        </w:tc>
        <w:tc>
          <w:tcPr>
            <w:tcW w:w="1411" w:type="dxa"/>
            <w:vAlign w:val="bottom"/>
          </w:tcPr>
          <w:p w14:paraId="1F9330E6" w14:textId="3F3BD9AB" w:rsidR="00515DC7" w:rsidRDefault="00515DC7" w:rsidP="00515DC7">
            <w:pPr>
              <w:autoSpaceDE w:val="0"/>
              <w:autoSpaceDN w:val="0"/>
              <w:adjustRightInd w:val="0"/>
              <w:jc w:val="right"/>
              <w:rPr>
                <w:rFonts w:ascii="Georgia" w:hAnsi="Georgia" w:cs="Arial"/>
                <w:kern w:val="0"/>
              </w:rPr>
            </w:pPr>
            <w:r w:rsidRPr="00665999">
              <w:rPr>
                <w:rFonts w:ascii="Georgia" w:hAnsi="Georgia" w:cs="Arial"/>
                <w:kern w:val="0"/>
              </w:rPr>
              <w:t>50,000.00</w:t>
            </w:r>
          </w:p>
        </w:tc>
        <w:tc>
          <w:tcPr>
            <w:tcW w:w="1323" w:type="dxa"/>
            <w:vAlign w:val="bottom"/>
          </w:tcPr>
          <w:p w14:paraId="6CC7BD58" w14:textId="5D4A0FAA" w:rsidR="00515DC7" w:rsidRDefault="00515DC7" w:rsidP="00515DC7">
            <w:pPr>
              <w:autoSpaceDE w:val="0"/>
              <w:autoSpaceDN w:val="0"/>
              <w:adjustRightInd w:val="0"/>
              <w:jc w:val="right"/>
              <w:rPr>
                <w:rFonts w:ascii="Georgia" w:hAnsi="Georgia" w:cs="Arial"/>
                <w:kern w:val="0"/>
              </w:rPr>
            </w:pPr>
            <w:r w:rsidRPr="00515DC7">
              <w:rPr>
                <w:rFonts w:ascii="Georgia" w:hAnsi="Georgia" w:cs="Arial"/>
                <w:kern w:val="0"/>
              </w:rPr>
              <w:t>8.15%</w:t>
            </w:r>
          </w:p>
        </w:tc>
      </w:tr>
    </w:tbl>
    <w:p w14:paraId="4C540E59" w14:textId="77777777" w:rsidR="00CB2681" w:rsidRDefault="00CB2681" w:rsidP="00B26B5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kern w:val="0"/>
        </w:rPr>
      </w:pPr>
    </w:p>
    <w:p w14:paraId="46F1A1CD" w14:textId="77777777" w:rsidR="00CB2681" w:rsidRPr="00231264" w:rsidRDefault="00CB2681" w:rsidP="00B26B5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kern w:val="0"/>
        </w:rPr>
      </w:pPr>
    </w:p>
    <w:p w14:paraId="6D2A0880" w14:textId="0861DA7B" w:rsidR="00B26B55" w:rsidRPr="006B7155" w:rsidRDefault="00B26B55" w:rsidP="00B26B5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b/>
          <w:bCs/>
          <w:kern w:val="0"/>
        </w:rPr>
      </w:pPr>
      <w:r w:rsidRPr="006B7155">
        <w:rPr>
          <w:rFonts w:ascii="Georgia" w:hAnsi="Georgia" w:cs="Arial"/>
          <w:b/>
          <w:bCs/>
          <w:kern w:val="0"/>
        </w:rPr>
        <w:t xml:space="preserve">(v) Stock </w:t>
      </w:r>
      <w:r w:rsidR="00B21AB2" w:rsidRPr="006B7155">
        <w:rPr>
          <w:rFonts w:ascii="Georgia" w:hAnsi="Georgia" w:cs="Arial"/>
          <w:b/>
          <w:bCs/>
          <w:kern w:val="0"/>
        </w:rPr>
        <w:t>Ratios:</w:t>
      </w:r>
    </w:p>
    <w:p w14:paraId="1448D7B8" w14:textId="77777777" w:rsidR="00CB2681" w:rsidRPr="006B7155" w:rsidRDefault="00CB2681" w:rsidP="00B26B5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b/>
          <w:bCs/>
          <w:kern w:val="0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5670"/>
        <w:gridCol w:w="1275"/>
      </w:tblGrid>
      <w:tr w:rsidR="00CB2681" w:rsidRPr="00231264" w14:paraId="227CDC86" w14:textId="77777777" w:rsidTr="004C7CD3">
        <w:tc>
          <w:tcPr>
            <w:tcW w:w="5670" w:type="dxa"/>
          </w:tcPr>
          <w:p w14:paraId="362F5F40" w14:textId="0E7560C4" w:rsidR="00CB2681" w:rsidRPr="00231264" w:rsidRDefault="00CB2681" w:rsidP="00375939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kern w:val="0"/>
              </w:rPr>
            </w:pPr>
            <w:r w:rsidRPr="00231264">
              <w:rPr>
                <w:rFonts w:ascii="Georgia" w:hAnsi="Georgia" w:cs="Arial"/>
                <w:kern w:val="0"/>
              </w:rPr>
              <w:t>Commercial papers as a percent of total public funds, total liabilities and</w:t>
            </w:r>
            <w:r>
              <w:rPr>
                <w:rFonts w:ascii="Georgia" w:hAnsi="Georgia" w:cs="Arial"/>
                <w:kern w:val="0"/>
              </w:rPr>
              <w:t xml:space="preserve"> </w:t>
            </w:r>
            <w:r w:rsidRPr="00231264">
              <w:rPr>
                <w:rFonts w:ascii="Georgia" w:hAnsi="Georgia" w:cs="Arial"/>
                <w:kern w:val="0"/>
              </w:rPr>
              <w:t>total assets</w:t>
            </w:r>
          </w:p>
        </w:tc>
        <w:tc>
          <w:tcPr>
            <w:tcW w:w="1275" w:type="dxa"/>
          </w:tcPr>
          <w:p w14:paraId="2A693E04" w14:textId="39B22CCA" w:rsidR="00CB2681" w:rsidRPr="00231264" w:rsidRDefault="00CB2681" w:rsidP="00375939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kern w:val="0"/>
              </w:rPr>
            </w:pPr>
            <w:r>
              <w:rPr>
                <w:rFonts w:ascii="Georgia" w:hAnsi="Georgia" w:cs="Arial"/>
                <w:kern w:val="0"/>
              </w:rPr>
              <w:t>NA</w:t>
            </w:r>
          </w:p>
        </w:tc>
      </w:tr>
      <w:tr w:rsidR="00CB2681" w:rsidRPr="00231264" w14:paraId="2FB96434" w14:textId="77777777" w:rsidTr="004C7CD3">
        <w:tc>
          <w:tcPr>
            <w:tcW w:w="5670" w:type="dxa"/>
          </w:tcPr>
          <w:p w14:paraId="2B24B595" w14:textId="480E094F" w:rsidR="00CB2681" w:rsidRPr="00231264" w:rsidRDefault="00CB2681" w:rsidP="00375939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kern w:val="0"/>
              </w:rPr>
            </w:pPr>
            <w:r w:rsidRPr="00231264">
              <w:rPr>
                <w:rFonts w:ascii="Georgia" w:hAnsi="Georgia" w:cs="Arial"/>
                <w:kern w:val="0"/>
              </w:rPr>
              <w:t>Non-convertible debentures (original maturity of less than one year) as a</w:t>
            </w:r>
            <w:r>
              <w:rPr>
                <w:rFonts w:ascii="Georgia" w:hAnsi="Georgia" w:cs="Arial"/>
                <w:kern w:val="0"/>
              </w:rPr>
              <w:t xml:space="preserve"> </w:t>
            </w:r>
            <w:r w:rsidRPr="00231264">
              <w:rPr>
                <w:rFonts w:ascii="Georgia" w:hAnsi="Georgia" w:cs="Arial"/>
                <w:kern w:val="0"/>
              </w:rPr>
              <w:t>percent of total public funds, total liabilities and total assets</w:t>
            </w:r>
          </w:p>
        </w:tc>
        <w:tc>
          <w:tcPr>
            <w:tcW w:w="1275" w:type="dxa"/>
          </w:tcPr>
          <w:p w14:paraId="3A56D1BF" w14:textId="3D44AB88" w:rsidR="00CB2681" w:rsidRPr="00231264" w:rsidRDefault="00CB2681" w:rsidP="00375939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kern w:val="0"/>
              </w:rPr>
            </w:pPr>
            <w:r>
              <w:rPr>
                <w:rFonts w:ascii="Georgia" w:hAnsi="Georgia" w:cs="Arial"/>
                <w:kern w:val="0"/>
              </w:rPr>
              <w:t>NA</w:t>
            </w:r>
          </w:p>
        </w:tc>
      </w:tr>
      <w:tr w:rsidR="00CB2681" w:rsidRPr="00231264" w14:paraId="59DF362F" w14:textId="77777777" w:rsidTr="004C7CD3">
        <w:tc>
          <w:tcPr>
            <w:tcW w:w="5670" w:type="dxa"/>
          </w:tcPr>
          <w:p w14:paraId="6CE4E6CD" w14:textId="5FF39451" w:rsidR="008F02F8" w:rsidRDefault="00CB2681" w:rsidP="004C7CD3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kern w:val="0"/>
              </w:rPr>
            </w:pPr>
            <w:r w:rsidRPr="00231264">
              <w:rPr>
                <w:rFonts w:ascii="Georgia" w:hAnsi="Georgia" w:cs="Arial"/>
                <w:kern w:val="0"/>
              </w:rPr>
              <w:t>Other short-term liabilities as a percent of</w:t>
            </w:r>
            <w:r w:rsidR="00F45854">
              <w:rPr>
                <w:rFonts w:ascii="Georgia" w:hAnsi="Georgia" w:cs="Arial"/>
                <w:kern w:val="0"/>
              </w:rPr>
              <w:t>:</w:t>
            </w:r>
          </w:p>
          <w:p w14:paraId="4109D408" w14:textId="77777777" w:rsidR="008F02F8" w:rsidRDefault="00CB2681" w:rsidP="00F45854">
            <w:pPr>
              <w:autoSpaceDE w:val="0"/>
              <w:autoSpaceDN w:val="0"/>
              <w:adjustRightInd w:val="0"/>
              <w:ind w:left="720"/>
              <w:jc w:val="both"/>
              <w:rPr>
                <w:rFonts w:ascii="Georgia" w:hAnsi="Georgia" w:cs="Arial"/>
                <w:kern w:val="0"/>
              </w:rPr>
            </w:pPr>
            <w:r w:rsidRPr="00231264">
              <w:rPr>
                <w:rFonts w:ascii="Georgia" w:hAnsi="Georgia" w:cs="Arial"/>
                <w:kern w:val="0"/>
              </w:rPr>
              <w:t>total public funds</w:t>
            </w:r>
          </w:p>
          <w:p w14:paraId="39AB1843" w14:textId="77777777" w:rsidR="008F02F8" w:rsidRDefault="00CB2681" w:rsidP="00F45854">
            <w:pPr>
              <w:autoSpaceDE w:val="0"/>
              <w:autoSpaceDN w:val="0"/>
              <w:adjustRightInd w:val="0"/>
              <w:ind w:left="720"/>
              <w:jc w:val="both"/>
              <w:rPr>
                <w:rFonts w:ascii="Georgia" w:hAnsi="Georgia" w:cs="Arial"/>
                <w:kern w:val="0"/>
              </w:rPr>
            </w:pPr>
            <w:r w:rsidRPr="00231264">
              <w:rPr>
                <w:rFonts w:ascii="Georgia" w:hAnsi="Georgia" w:cs="Arial"/>
                <w:kern w:val="0"/>
              </w:rPr>
              <w:t>total</w:t>
            </w:r>
            <w:r w:rsidR="004C7CD3">
              <w:rPr>
                <w:rFonts w:ascii="Georgia" w:hAnsi="Georgia" w:cs="Arial"/>
                <w:kern w:val="0"/>
              </w:rPr>
              <w:t xml:space="preserve"> </w:t>
            </w:r>
            <w:r w:rsidRPr="00231264">
              <w:rPr>
                <w:rFonts w:ascii="Georgia" w:hAnsi="Georgia" w:cs="Arial"/>
                <w:kern w:val="0"/>
              </w:rPr>
              <w:t>liabilities</w:t>
            </w:r>
          </w:p>
          <w:p w14:paraId="5692EBFF" w14:textId="73CE84F3" w:rsidR="00CB2681" w:rsidRPr="00231264" w:rsidRDefault="00CB2681" w:rsidP="00F45854">
            <w:pPr>
              <w:autoSpaceDE w:val="0"/>
              <w:autoSpaceDN w:val="0"/>
              <w:adjustRightInd w:val="0"/>
              <w:ind w:left="720"/>
              <w:jc w:val="both"/>
              <w:rPr>
                <w:rFonts w:ascii="Georgia" w:hAnsi="Georgia" w:cs="Arial"/>
                <w:kern w:val="0"/>
              </w:rPr>
            </w:pPr>
            <w:r w:rsidRPr="00231264">
              <w:rPr>
                <w:rFonts w:ascii="Georgia" w:hAnsi="Georgia" w:cs="Arial"/>
                <w:kern w:val="0"/>
              </w:rPr>
              <w:t>total assets</w:t>
            </w:r>
          </w:p>
        </w:tc>
        <w:tc>
          <w:tcPr>
            <w:tcW w:w="1275" w:type="dxa"/>
          </w:tcPr>
          <w:p w14:paraId="4A9D2E2D" w14:textId="77777777" w:rsidR="0019116D" w:rsidRDefault="0019116D" w:rsidP="0019116D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</w:rPr>
            </w:pPr>
          </w:p>
          <w:p w14:paraId="0B014905" w14:textId="77777777" w:rsidR="0019116D" w:rsidRDefault="0019116D" w:rsidP="0019116D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</w:rPr>
            </w:pPr>
            <w:r w:rsidRPr="00956FFF">
              <w:rPr>
                <w:rFonts w:ascii="Georgia" w:hAnsi="Georgia" w:cs="Arial"/>
              </w:rPr>
              <w:t>NA</w:t>
            </w:r>
          </w:p>
          <w:p w14:paraId="4B5B0208" w14:textId="77777777" w:rsidR="0019116D" w:rsidRDefault="0019116D" w:rsidP="0019116D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41.85</w:t>
            </w:r>
          </w:p>
          <w:p w14:paraId="5D748355" w14:textId="7D69D61A" w:rsidR="002F1F73" w:rsidRDefault="0019116D" w:rsidP="0019116D">
            <w:pPr>
              <w:autoSpaceDE w:val="0"/>
              <w:autoSpaceDN w:val="0"/>
              <w:adjustRightInd w:val="0"/>
              <w:jc w:val="both"/>
              <w:rPr>
                <w:rFonts w:ascii="Georgia" w:hAnsi="Georgia" w:cs="Arial"/>
                <w:kern w:val="0"/>
              </w:rPr>
            </w:pPr>
            <w:r>
              <w:rPr>
                <w:rFonts w:ascii="Georgia" w:hAnsi="Georgia" w:cs="Arial"/>
              </w:rPr>
              <w:t>35.98</w:t>
            </w:r>
            <w:bookmarkStart w:id="0" w:name="_GoBack"/>
            <w:bookmarkEnd w:id="0"/>
          </w:p>
        </w:tc>
      </w:tr>
    </w:tbl>
    <w:p w14:paraId="1385705F" w14:textId="77777777" w:rsidR="00CB2681" w:rsidRDefault="00CB2681" w:rsidP="00B26B5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kern w:val="0"/>
        </w:rPr>
      </w:pPr>
    </w:p>
    <w:p w14:paraId="46BC06DE" w14:textId="77777777" w:rsidR="006B7155" w:rsidRDefault="006B7155" w:rsidP="00B26B5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kern w:val="0"/>
        </w:rPr>
      </w:pPr>
    </w:p>
    <w:p w14:paraId="292954A6" w14:textId="77777777" w:rsidR="006B7155" w:rsidRDefault="006B7155" w:rsidP="00B26B5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kern w:val="0"/>
        </w:rPr>
      </w:pPr>
    </w:p>
    <w:p w14:paraId="0C778BF3" w14:textId="31A13EBF" w:rsidR="00B26B55" w:rsidRPr="006B7155" w:rsidRDefault="00B26B55" w:rsidP="00B26B5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b/>
          <w:bCs/>
          <w:kern w:val="0"/>
        </w:rPr>
      </w:pPr>
      <w:proofErr w:type="gramStart"/>
      <w:r w:rsidRPr="006B7155">
        <w:rPr>
          <w:rFonts w:ascii="Georgia" w:hAnsi="Georgia" w:cs="Arial"/>
          <w:b/>
          <w:bCs/>
          <w:kern w:val="0"/>
        </w:rPr>
        <w:t>(vi) Institutional</w:t>
      </w:r>
      <w:proofErr w:type="gramEnd"/>
      <w:r w:rsidRPr="006B7155">
        <w:rPr>
          <w:rFonts w:ascii="Georgia" w:hAnsi="Georgia" w:cs="Arial"/>
          <w:b/>
          <w:bCs/>
          <w:kern w:val="0"/>
        </w:rPr>
        <w:t xml:space="preserve"> set-up for liquidity risk management</w:t>
      </w:r>
    </w:p>
    <w:p w14:paraId="6C91A72C" w14:textId="77777777" w:rsidR="0092067D" w:rsidRDefault="0092067D" w:rsidP="00B26B5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kern w:val="0"/>
        </w:rPr>
      </w:pPr>
    </w:p>
    <w:p w14:paraId="230F8C14" w14:textId="611DF80C" w:rsidR="00AA2C19" w:rsidRDefault="00AA2C19" w:rsidP="00AA2C1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kern w:val="0"/>
        </w:rPr>
      </w:pPr>
      <w:r w:rsidRPr="00AA2C19">
        <w:rPr>
          <w:rFonts w:ascii="Georgia" w:hAnsi="Georgia" w:cs="Arial"/>
          <w:kern w:val="0"/>
        </w:rPr>
        <w:t xml:space="preserve">The Company has an Asset Liability Management Committee (ALCO). The ALCO meetings are held at periodic intervals. </w:t>
      </w:r>
      <w:r w:rsidR="0043164A">
        <w:rPr>
          <w:rFonts w:ascii="Georgia" w:hAnsi="Georgia" w:cs="Arial"/>
          <w:kern w:val="0"/>
        </w:rPr>
        <w:t>Also</w:t>
      </w:r>
      <w:r w:rsidRPr="00AA2C19">
        <w:rPr>
          <w:rFonts w:ascii="Georgia" w:hAnsi="Georgia" w:cs="Arial"/>
          <w:kern w:val="0"/>
        </w:rPr>
        <w:t>, the Risk Management Committee (RMC), a sub-committee of the Board of Directors of the Company, oversees the</w:t>
      </w:r>
      <w:r w:rsidR="0043164A">
        <w:rPr>
          <w:rFonts w:ascii="Georgia" w:hAnsi="Georgia" w:cs="Arial"/>
          <w:kern w:val="0"/>
        </w:rPr>
        <w:t xml:space="preserve"> </w:t>
      </w:r>
      <w:r w:rsidRPr="00AA2C19">
        <w:rPr>
          <w:rFonts w:ascii="Georgia" w:hAnsi="Georgia" w:cs="Arial"/>
          <w:kern w:val="0"/>
        </w:rPr>
        <w:t>liquidity risk management. The RMC subsequently updates the Board of Directors on the same</w:t>
      </w:r>
      <w:r w:rsidR="006B7155">
        <w:rPr>
          <w:rFonts w:ascii="Georgia" w:hAnsi="Georgia" w:cs="Arial"/>
          <w:kern w:val="0"/>
        </w:rPr>
        <w:t>.</w:t>
      </w:r>
    </w:p>
    <w:p w14:paraId="091FA8DC" w14:textId="77777777" w:rsidR="006B7155" w:rsidRDefault="006B7155" w:rsidP="00AA2C1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kern w:val="0"/>
        </w:rPr>
      </w:pPr>
    </w:p>
    <w:p w14:paraId="24EF2B19" w14:textId="0BEE4374" w:rsidR="006B7155" w:rsidRPr="007B265C" w:rsidRDefault="007B265C" w:rsidP="007B265C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b/>
          <w:bCs/>
          <w:kern w:val="0"/>
        </w:rPr>
      </w:pPr>
      <w:r w:rsidRPr="007B265C">
        <w:rPr>
          <w:rFonts w:ascii="Georgia" w:hAnsi="Georgia" w:cs="Arial"/>
          <w:b/>
          <w:bCs/>
          <w:kern w:val="0"/>
        </w:rPr>
        <w:t>---------</w:t>
      </w:r>
    </w:p>
    <w:p w14:paraId="4557F404" w14:textId="77777777" w:rsidR="00A06BD4" w:rsidRDefault="00A06BD4" w:rsidP="00AA2C1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kern w:val="0"/>
        </w:rPr>
      </w:pPr>
    </w:p>
    <w:p w14:paraId="4F13A1DF" w14:textId="77777777" w:rsidR="00395B50" w:rsidRPr="006B7155" w:rsidRDefault="0092067D" w:rsidP="00B26B5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/>
          <w:bCs/>
        </w:rPr>
      </w:pPr>
      <w:r w:rsidRPr="006B7155">
        <w:rPr>
          <w:rFonts w:ascii="Georgia" w:hAnsi="Georgia"/>
          <w:b/>
          <w:bCs/>
        </w:rPr>
        <w:t>Note:</w:t>
      </w:r>
    </w:p>
    <w:p w14:paraId="690330AB" w14:textId="77777777" w:rsidR="00395B50" w:rsidRDefault="00395B50" w:rsidP="00B26B5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</w:rPr>
      </w:pPr>
    </w:p>
    <w:p w14:paraId="272B64EB" w14:textId="0E3D8425" w:rsidR="00703A66" w:rsidRPr="00231264" w:rsidRDefault="0092067D" w:rsidP="00B26B5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</w:rPr>
      </w:pPr>
      <w:r w:rsidRPr="00231264">
        <w:rPr>
          <w:rFonts w:ascii="Georgia" w:hAnsi="Georgia"/>
        </w:rPr>
        <w:t xml:space="preserve">1) </w:t>
      </w:r>
      <w:r w:rsidR="00703A66" w:rsidRPr="00231264">
        <w:rPr>
          <w:rFonts w:ascii="Georgia" w:hAnsi="Georgia"/>
        </w:rPr>
        <w:t>A “Significant counterparty” is defined as a single counterparty or group of connected or affiliated counterparties accounting in aggregate for more than 1% of the NBFC-NDSI's, NBFC-Ds total liabilities and 10% for other non-deposit taking NBFCs</w:t>
      </w:r>
    </w:p>
    <w:p w14:paraId="00EE7D36" w14:textId="77777777" w:rsidR="00703A66" w:rsidRPr="00231264" w:rsidRDefault="00703A66" w:rsidP="00B26B5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</w:rPr>
      </w:pPr>
    </w:p>
    <w:p w14:paraId="5BB4A943" w14:textId="62B2AC78" w:rsidR="00703A66" w:rsidRPr="00231264" w:rsidRDefault="00703A66" w:rsidP="00B26B5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</w:rPr>
      </w:pPr>
      <w:r w:rsidRPr="00231264">
        <w:rPr>
          <w:rFonts w:ascii="Georgia" w:hAnsi="Georgia" w:cs="Arial"/>
          <w:color w:val="000000"/>
        </w:rPr>
        <w:t>2) A "significant instrument/product" is defined as a single instrument/product of group of similar instruments/products which in aggregate amount to more than 1% of the NBFC-NDSI's, NBFC-Ds total liabilities and 10% for other non-deposit taking NBFCs</w:t>
      </w:r>
    </w:p>
    <w:p w14:paraId="5139171D" w14:textId="77777777" w:rsidR="00703A66" w:rsidRPr="00231264" w:rsidRDefault="00703A66" w:rsidP="00B26B5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</w:rPr>
      </w:pPr>
    </w:p>
    <w:p w14:paraId="6C8D8B78" w14:textId="1306AAB2" w:rsidR="00703A66" w:rsidRPr="00231264" w:rsidRDefault="0032590F" w:rsidP="00B26B5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3</w:t>
      </w:r>
      <w:r w:rsidR="0092067D" w:rsidRPr="00231264">
        <w:rPr>
          <w:rFonts w:ascii="Georgia" w:hAnsi="Georgia"/>
        </w:rPr>
        <w:t xml:space="preserve">) Total Liabilities has been computed as sum of all liabilities (Balance Sheet figure) less Equities and Reserves/Surplus. </w:t>
      </w:r>
    </w:p>
    <w:sectPr w:rsidR="00703A66" w:rsidRPr="0023126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464C1" w14:textId="77777777" w:rsidR="00A10D21" w:rsidRDefault="00A10D21" w:rsidP="00A247C9">
      <w:pPr>
        <w:spacing w:after="0" w:line="240" w:lineRule="auto"/>
      </w:pPr>
      <w:r>
        <w:separator/>
      </w:r>
    </w:p>
  </w:endnote>
  <w:endnote w:type="continuationSeparator" w:id="0">
    <w:p w14:paraId="53693C1D" w14:textId="77777777" w:rsidR="00A10D21" w:rsidRDefault="00A10D21" w:rsidP="00A24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1011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9EB93D" w14:textId="55EC7AD1" w:rsidR="004C2B2A" w:rsidRDefault="004C2B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11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CDF8A0" w14:textId="77777777" w:rsidR="004C2B2A" w:rsidRDefault="004C2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559B0" w14:textId="77777777" w:rsidR="00A10D21" w:rsidRDefault="00A10D21" w:rsidP="00A247C9">
      <w:pPr>
        <w:spacing w:after="0" w:line="240" w:lineRule="auto"/>
      </w:pPr>
      <w:r>
        <w:separator/>
      </w:r>
    </w:p>
  </w:footnote>
  <w:footnote w:type="continuationSeparator" w:id="0">
    <w:p w14:paraId="2C5F223A" w14:textId="77777777" w:rsidR="00A10D21" w:rsidRDefault="00A10D21" w:rsidP="00A24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C7B9E" w14:textId="46AF5BC3" w:rsidR="00A247C9" w:rsidRPr="00A247C9" w:rsidRDefault="00A247C9" w:rsidP="00A247C9">
    <w:pPr>
      <w:pStyle w:val="Header"/>
      <w:jc w:val="right"/>
      <w:rPr>
        <w:b/>
        <w:bCs/>
        <w:sz w:val="24"/>
        <w:szCs w:val="24"/>
        <w:lang w:val="en-US"/>
      </w:rPr>
    </w:pPr>
    <w:r w:rsidRPr="00A247C9">
      <w:rPr>
        <w:b/>
        <w:bCs/>
        <w:sz w:val="24"/>
        <w:szCs w:val="24"/>
        <w:lang w:val="en-US"/>
      </w:rPr>
      <w:t>NABKISAN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F3"/>
    <w:rsid w:val="000319AE"/>
    <w:rsid w:val="000562AD"/>
    <w:rsid w:val="000A3704"/>
    <w:rsid w:val="000A41F0"/>
    <w:rsid w:val="00124B84"/>
    <w:rsid w:val="00125D7E"/>
    <w:rsid w:val="001649CB"/>
    <w:rsid w:val="00171257"/>
    <w:rsid w:val="0019116D"/>
    <w:rsid w:val="001A3ACD"/>
    <w:rsid w:val="001D27B0"/>
    <w:rsid w:val="00205446"/>
    <w:rsid w:val="00231264"/>
    <w:rsid w:val="0025196D"/>
    <w:rsid w:val="00257CA4"/>
    <w:rsid w:val="002B4355"/>
    <w:rsid w:val="002B4C4F"/>
    <w:rsid w:val="002E14F2"/>
    <w:rsid w:val="002F0836"/>
    <w:rsid w:val="002F1F73"/>
    <w:rsid w:val="002F6408"/>
    <w:rsid w:val="003117C6"/>
    <w:rsid w:val="00323E87"/>
    <w:rsid w:val="0032590F"/>
    <w:rsid w:val="003336E4"/>
    <w:rsid w:val="003438E6"/>
    <w:rsid w:val="0039430A"/>
    <w:rsid w:val="00395B50"/>
    <w:rsid w:val="003B4875"/>
    <w:rsid w:val="00402D56"/>
    <w:rsid w:val="00405B8D"/>
    <w:rsid w:val="0043164A"/>
    <w:rsid w:val="004421C2"/>
    <w:rsid w:val="00461577"/>
    <w:rsid w:val="00466BBC"/>
    <w:rsid w:val="004678FF"/>
    <w:rsid w:val="004C2B2A"/>
    <w:rsid w:val="004C7CD3"/>
    <w:rsid w:val="005000AD"/>
    <w:rsid w:val="00515DC7"/>
    <w:rsid w:val="0053443E"/>
    <w:rsid w:val="00557275"/>
    <w:rsid w:val="005755B0"/>
    <w:rsid w:val="00586CE2"/>
    <w:rsid w:val="005D5EE2"/>
    <w:rsid w:val="005F22EE"/>
    <w:rsid w:val="005F7D48"/>
    <w:rsid w:val="00613CF5"/>
    <w:rsid w:val="00651D1A"/>
    <w:rsid w:val="00665999"/>
    <w:rsid w:val="006A6025"/>
    <w:rsid w:val="006B7155"/>
    <w:rsid w:val="006C110A"/>
    <w:rsid w:val="00703A66"/>
    <w:rsid w:val="007421E7"/>
    <w:rsid w:val="0075174F"/>
    <w:rsid w:val="00787E46"/>
    <w:rsid w:val="007B265C"/>
    <w:rsid w:val="007C5958"/>
    <w:rsid w:val="007E5F71"/>
    <w:rsid w:val="008126DD"/>
    <w:rsid w:val="00853E83"/>
    <w:rsid w:val="008749D1"/>
    <w:rsid w:val="008D11DB"/>
    <w:rsid w:val="008F02F8"/>
    <w:rsid w:val="00901C9C"/>
    <w:rsid w:val="0092067D"/>
    <w:rsid w:val="00920792"/>
    <w:rsid w:val="00935C62"/>
    <w:rsid w:val="0094632E"/>
    <w:rsid w:val="00956FFF"/>
    <w:rsid w:val="00981218"/>
    <w:rsid w:val="00991291"/>
    <w:rsid w:val="009A421A"/>
    <w:rsid w:val="009E6C35"/>
    <w:rsid w:val="00A06BD4"/>
    <w:rsid w:val="00A10D21"/>
    <w:rsid w:val="00A247C9"/>
    <w:rsid w:val="00A7290A"/>
    <w:rsid w:val="00AA2C19"/>
    <w:rsid w:val="00AF4976"/>
    <w:rsid w:val="00B075AA"/>
    <w:rsid w:val="00B21AB2"/>
    <w:rsid w:val="00B26B55"/>
    <w:rsid w:val="00B957F3"/>
    <w:rsid w:val="00BF125A"/>
    <w:rsid w:val="00C04E30"/>
    <w:rsid w:val="00CB2681"/>
    <w:rsid w:val="00D22056"/>
    <w:rsid w:val="00D43FB1"/>
    <w:rsid w:val="00D50A46"/>
    <w:rsid w:val="00D606BD"/>
    <w:rsid w:val="00D85963"/>
    <w:rsid w:val="00DD6903"/>
    <w:rsid w:val="00E1679F"/>
    <w:rsid w:val="00EA3C27"/>
    <w:rsid w:val="00EB1E09"/>
    <w:rsid w:val="00EC2229"/>
    <w:rsid w:val="00ED702D"/>
    <w:rsid w:val="00F11ED6"/>
    <w:rsid w:val="00F14C5F"/>
    <w:rsid w:val="00F22D89"/>
    <w:rsid w:val="00F3300A"/>
    <w:rsid w:val="00F33EEB"/>
    <w:rsid w:val="00F42139"/>
    <w:rsid w:val="00F444F7"/>
    <w:rsid w:val="00F4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CDA19"/>
  <w15:chartTrackingRefBased/>
  <w15:docId w15:val="{9C945333-9367-4D1C-AE2E-3F56C32D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4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4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7C9"/>
  </w:style>
  <w:style w:type="paragraph" w:styleId="Footer">
    <w:name w:val="footer"/>
    <w:basedOn w:val="Normal"/>
    <w:link w:val="FooterChar"/>
    <w:uiPriority w:val="99"/>
    <w:unhideWhenUsed/>
    <w:rsid w:val="00A24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S.Ramesh</dc:creator>
  <cp:keywords/>
  <dc:description/>
  <cp:lastModifiedBy>Sridhar K</cp:lastModifiedBy>
  <cp:revision>64</cp:revision>
  <cp:lastPrinted>2024-02-23T07:13:00Z</cp:lastPrinted>
  <dcterms:created xsi:type="dcterms:W3CDTF">2024-02-23T07:12:00Z</dcterms:created>
  <dcterms:modified xsi:type="dcterms:W3CDTF">2026-04-27T09:36:00Z</dcterms:modified>
</cp:coreProperties>
</file>