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240" w:after="80"/>
        <w:rPr/>
      </w:pPr>
      <w:r>
        <w:rPr/>
        <w:t>Accessibility Statement</w:t>
      </w:r>
    </w:p>
    <w:p>
      <w:pPr>
        <w:pStyle w:val="Normal"/>
        <w:spacing w:before="0" w:after="40"/>
        <w:rPr/>
      </w:pPr>
      <w:r>
        <w:rPr>
          <w:b/>
          <w:bCs/>
          <w:color w:val="0E7A3C"/>
          <w:sz w:val="26"/>
          <w:szCs w:val="26"/>
        </w:rPr>
        <w:t>NABKISAN Finance Limited</w:t>
      </w:r>
    </w:p>
    <w:p>
      <w:pPr>
        <w:pStyle w:val="Normal"/>
        <w:spacing w:before="0" w:after="40"/>
        <w:rPr/>
      </w:pPr>
      <w:r>
        <w:rPr/>
        <w:t xml:space="preserve">Website: </w:t>
      </w:r>
      <w:hyperlink r:id="rId2">
        <w:r>
          <w:rPr>
            <w:rStyle w:val="Hyperlink"/>
          </w:rPr>
          <w:t>www.nabkisan.org</w:t>
        </w:r>
      </w:hyperlink>
    </w:p>
    <w:p>
      <w:pPr>
        <w:pStyle w:val="Normal"/>
        <w:pBdr>
          <w:bottom w:val="single" w:sz="6" w:space="8" w:color="0E7A3C"/>
        </w:pBdr>
        <w:spacing w:before="0" w:after="240"/>
        <w:rPr>
          <w:highlight w:val="none"/>
          <w:shd w:fill="auto" w:val="clear"/>
        </w:rPr>
      </w:pPr>
      <w:r>
        <w:rPr>
          <w:shd w:fill="auto" w:val="clear"/>
        </w:rPr>
        <w:t xml:space="preserve">Last reviewed: </w:t>
      </w:r>
      <w:r>
        <w:rPr>
          <w:shd w:fill="auto" w:val="clear"/>
        </w:rPr>
        <w:t>19/10/2026</w:t>
      </w:r>
    </w:p>
    <w:p>
      <w:pPr>
        <w:pStyle w:val="Heading1"/>
        <w:rPr/>
      </w:pPr>
      <w:r>
        <w:rPr/>
        <w:t>1. Our commitment</w:t>
      </w:r>
    </w:p>
    <w:p>
      <w:pPr>
        <w:pStyle w:val="Normal"/>
        <w:spacing w:before="0" w:after="140"/>
        <w:jc w:val="both"/>
        <w:rPr/>
      </w:pPr>
      <w:r>
        <w:rPr/>
        <w:t>NABKISAN Finance Limited is committed to making its website accessible to everyone, including persons with disabilities, older users and people who use assistive technologies. We want every visitor to be able to find and understand information about our products, policies and services, whatever their ability, device or technology.</w:t>
      </w:r>
    </w:p>
    <w:p>
      <w:pPr>
        <w:pStyle w:val="Normal"/>
        <w:spacing w:before="0" w:after="140"/>
        <w:jc w:val="both"/>
        <w:rPr/>
      </w:pPr>
      <w:r>
        <w:rPr/>
        <w:t>This statement applies to all pages of www.nabkisan.org.</w:t>
      </w:r>
    </w:p>
    <w:p>
      <w:pPr>
        <w:pStyle w:val="Heading1"/>
        <w:rPr/>
      </w:pPr>
      <w:r>
        <w:rPr/>
        <w:t>2. Standards we follow</w:t>
      </w:r>
    </w:p>
    <w:p>
      <w:pPr>
        <w:pStyle w:val="Normal"/>
        <w:spacing w:before="0" w:after="140"/>
        <w:jc w:val="both"/>
        <w:rPr/>
      </w:pPr>
      <w:r>
        <w:rPr/>
        <w:t>The website is designed and maintained with reference to the following standards and guidelines:</w:t>
      </w:r>
    </w:p>
    <w:p>
      <w:pPr>
        <w:pStyle w:val="ListParagraph"/>
        <w:numPr>
          <w:ilvl w:val="0"/>
          <w:numId w:val="4"/>
        </w:numPr>
        <w:spacing w:before="0" w:after="80"/>
        <w:jc w:val="both"/>
        <w:rPr/>
      </w:pPr>
      <w:r>
        <w:rPr>
          <w:b/>
          <w:bCs/>
        </w:rPr>
        <w:t>Web Content Accessibility Guidelines (WCAG) 2.1, Level AA</w:t>
      </w:r>
      <w:r>
        <w:rPr/>
        <w:t>, published by the World Wide Web Consortium (W3C).</w:t>
      </w:r>
    </w:p>
    <w:p>
      <w:pPr>
        <w:pStyle w:val="ListParagraph"/>
        <w:numPr>
          <w:ilvl w:val="0"/>
          <w:numId w:val="1"/>
        </w:numPr>
        <w:spacing w:before="0" w:after="80"/>
        <w:jc w:val="both"/>
        <w:rPr/>
      </w:pPr>
      <w:r>
        <w:rPr>
          <w:b/>
          <w:bCs/>
        </w:rPr>
        <w:t>IS 17802: 2021, Accessibility for the ICT Products and Services</w:t>
      </w:r>
      <w:r>
        <w:rPr/>
        <w:t>, published by the Bureau of Indian Standards (Clause 9, Web content).</w:t>
      </w:r>
    </w:p>
    <w:p>
      <w:pPr>
        <w:pStyle w:val="ListParagraph"/>
        <w:numPr>
          <w:ilvl w:val="0"/>
          <w:numId w:val="1"/>
        </w:numPr>
        <w:spacing w:before="0" w:after="80"/>
        <w:jc w:val="both"/>
        <w:rPr/>
      </w:pPr>
      <w:r>
        <w:rPr>
          <w:b/>
          <w:bCs/>
        </w:rPr>
        <w:t>Website accessibility guidelines for banks and financial institutions</w:t>
      </w:r>
      <w:r>
        <w:rPr/>
        <w:t xml:space="preserve"> issued by the Department of Financial Services (DFS), Ministry of Finance, Government of India.</w:t>
      </w:r>
    </w:p>
    <w:p>
      <w:pPr>
        <w:pStyle w:val="ListParagraph"/>
        <w:numPr>
          <w:ilvl w:val="0"/>
          <w:numId w:val="1"/>
        </w:numPr>
        <w:spacing w:before="0" w:after="80"/>
        <w:jc w:val="both"/>
        <w:rPr/>
      </w:pPr>
      <w:r>
        <w:rPr/>
        <w:t xml:space="preserve">The </w:t>
      </w:r>
      <w:r>
        <w:rPr>
          <w:b/>
          <w:bCs/>
        </w:rPr>
        <w:t>Rights of Persons with Disabilities Act, 2016</w:t>
      </w:r>
      <w:r>
        <w:rPr/>
        <w:t xml:space="preserve"> and the rules made under it.</w:t>
      </w:r>
    </w:p>
    <w:p>
      <w:pPr>
        <w:pStyle w:val="Normal"/>
        <w:spacing w:before="0" w:after="140"/>
        <w:jc w:val="both"/>
        <w:rPr/>
      </w:pPr>
      <w:r>
        <w:rPr/>
        <w:t>These standards are built around four principles: content must be perceivable, operable, understandable and robust.</w:t>
      </w:r>
    </w:p>
    <w:p>
      <w:pPr>
        <w:pStyle w:val="Heading1"/>
        <w:rPr/>
      </w:pPr>
      <w:r>
        <w:rPr/>
        <w:t>3. Accessibility features on every page</w:t>
      </w:r>
    </w:p>
    <w:tbl>
      <w:tblPr>
        <w:tblW w:w="9026" w:type="dxa"/>
        <w:jc w:val="start"/>
        <w:tblInd w:w="0" w:type="dxa"/>
        <w:tblLayout w:type="fixed"/>
        <w:tblCellMar>
          <w:top w:w="90" w:type="dxa"/>
          <w:start w:w="120" w:type="dxa"/>
          <w:bottom w:w="90" w:type="dxa"/>
          <w:end w:w="120" w:type="dxa"/>
        </w:tblCellMar>
      </w:tblPr>
      <w:tblGrid>
        <w:gridCol w:w="2799"/>
        <w:gridCol w:w="6227"/>
      </w:tblGrid>
      <w:tr>
        <w:trPr>
          <w:tblHeader w:val="true"/>
        </w:trPr>
        <w:tc>
          <w:tcPr>
            <w:tcW w:w="2799" w:type="dxa"/>
            <w:tcBorders>
              <w:top w:val="single" w:sz="4" w:space="0" w:color="B7C9BB"/>
              <w:start w:val="single" w:sz="4" w:space="0" w:color="B7C9BB"/>
              <w:bottom w:val="single" w:sz="4" w:space="0" w:color="B7C9BB"/>
              <w:end w:val="single" w:sz="4" w:space="0" w:color="B7C9BB"/>
            </w:tcBorders>
            <w:shd w:color="auto" w:fill="EAF4EC" w:val="clear"/>
          </w:tcPr>
          <w:p>
            <w:pPr>
              <w:pStyle w:val="Normal"/>
              <w:rPr/>
            </w:pPr>
            <w:r>
              <w:rPr>
                <w:b/>
                <w:bCs/>
                <w:color w:val="0A4327"/>
              </w:rPr>
              <w:t>Feature</w:t>
            </w:r>
          </w:p>
        </w:tc>
        <w:tc>
          <w:tcPr>
            <w:tcW w:w="6227" w:type="dxa"/>
            <w:tcBorders>
              <w:top w:val="single" w:sz="4" w:space="0" w:color="B7C9BB"/>
              <w:start w:val="single" w:sz="4" w:space="0" w:color="B7C9BB"/>
              <w:bottom w:val="single" w:sz="4" w:space="0" w:color="B7C9BB"/>
              <w:end w:val="single" w:sz="4" w:space="0" w:color="B7C9BB"/>
            </w:tcBorders>
            <w:shd w:color="auto" w:fill="EAF4EC" w:val="clear"/>
          </w:tcPr>
          <w:p>
            <w:pPr>
              <w:pStyle w:val="Normal"/>
              <w:rPr/>
            </w:pPr>
            <w:r>
              <w:rPr>
                <w:b/>
                <w:bCs/>
                <w:color w:val="0A4327"/>
              </w:rPr>
              <w:t>What it does</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Accessibility menu</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 xml:space="preserve">An </w:t>
            </w:r>
            <w:r>
              <w:rPr>
                <w:b/>
                <w:bCs/>
              </w:rPr>
              <w:t>Accessibility</w:t>
            </w:r>
            <w:r>
              <w:rPr/>
              <w:t xml:space="preserve"> button is available at the bottom-right corner of every page. It opens the Accessibility Settings panel, which can be used with a mouse, touch or keyboard.</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Text size</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 xml:space="preserve">The </w:t>
            </w:r>
            <w:r>
              <w:rPr>
                <w:b/>
                <w:bCs/>
              </w:rPr>
              <w:t>A-</w:t>
            </w:r>
            <w:r>
              <w:rPr/>
              <w:t xml:space="preserve">, </w:t>
            </w:r>
            <w:r>
              <w:rPr>
                <w:b/>
                <w:bCs/>
              </w:rPr>
              <w:t>A</w:t>
            </w:r>
            <w:r>
              <w:rPr/>
              <w:t xml:space="preserve"> and </w:t>
            </w:r>
            <w:r>
              <w:rPr>
                <w:b/>
                <w:bCs/>
              </w:rPr>
              <w:t>A+</w:t>
            </w:r>
            <w:r>
              <w:rPr/>
              <w:t xml:space="preserve"> buttons decrease, reset or increase the size of the page text.</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Colour themes</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 xml:space="preserve">Choose </w:t>
            </w:r>
            <w:r>
              <w:rPr>
                <w:b/>
                <w:bCs/>
              </w:rPr>
              <w:t>Light</w:t>
            </w:r>
            <w:r>
              <w:rPr/>
              <w:t xml:space="preserve">, </w:t>
            </w:r>
            <w:r>
              <w:rPr>
                <w:b/>
                <w:bCs/>
              </w:rPr>
              <w:t>Dark</w:t>
            </w:r>
            <w:r>
              <w:rPr/>
              <w:t xml:space="preserve"> or </w:t>
            </w:r>
            <w:r>
              <w:rPr>
                <w:b/>
                <w:bCs/>
              </w:rPr>
              <w:t>High Contrast</w:t>
            </w:r>
            <w:r>
              <w:rPr/>
              <w:t>. Your text-size and theme choices are remembered on the same browser and applied on every page you visit.</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Skip to main content</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A "Skip to main content" link is the first item on every page, so keyboard and screen reader users can move past the menu straight to the page content.</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Keyboard access</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All links, buttons and menus can be used with the keyboard alone (Tab, Shift + Tab, Enter and Space). Press Esc to close the Accessibility Settings panel. There are no keyboard traps.</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Visible focus</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The item that has keyboard focus is shown with a clear outline in every colour theme.</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Page structure</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Each page has a descriptive title, one main heading and a logical order of headings, lists and tables, so content can be read in a meaningful sequence by assistive technologies.</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Text alternatives</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Informative images have text alternatives. Decorative images and icons are hidden from screen readers.</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Colour and contrast</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Text meets a contrast ratio of at least 4.5:1 against its background. Colour is never the only way information is shown; links are underlined and selected options are also marked with a tick.</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Zoom and reflow</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Pages can be zoomed up to 200% (and further) in the browser without loss of content or functionality, and adapt to mobile phones and tablets without horizontal scrolling.</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Consistent navigation</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The menu, footer, Accessibility button and page layout appear in the same place and work in the same way across the website.</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Language</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The language of every page is identified as English, so screen readers use the correct pronunciation.</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Tables</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Data tables have header cells so that screen readers announce the row and column for each value.</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Links and downloads</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Link text describes its destination. Where a document is offered for download, its file type and file size are shown in the link (for example, "Annual Report (PDF, 2.4 MB)").</w:t>
            </w:r>
          </w:p>
        </w:tc>
      </w:tr>
      <w:tr>
        <w:trPr>
          <w:cantSplit/>
        </w:trPr>
        <w:tc>
          <w:tcPr>
            <w:tcW w:w="2799" w:type="dxa"/>
            <w:tcBorders>
              <w:top w:val="single" w:sz="4" w:space="0" w:color="B7C9BB"/>
              <w:start w:val="single" w:sz="4" w:space="0" w:color="B7C9BB"/>
              <w:bottom w:val="single" w:sz="4" w:space="0" w:color="B7C9BB"/>
              <w:end w:val="single" w:sz="4" w:space="0" w:color="B7C9BB"/>
            </w:tcBorders>
          </w:tcPr>
          <w:p>
            <w:pPr>
              <w:pStyle w:val="Normal"/>
              <w:rPr/>
            </w:pPr>
            <w:r>
              <w:rPr>
                <w:b/>
                <w:bCs/>
                <w:color w:val="0A4327"/>
              </w:rPr>
              <w:t>Assistive technologies</w:t>
            </w:r>
          </w:p>
        </w:tc>
        <w:tc>
          <w:tcPr>
            <w:tcW w:w="6227" w:type="dxa"/>
            <w:tcBorders>
              <w:top w:val="single" w:sz="4" w:space="0" w:color="B7C9BB"/>
              <w:start w:val="single" w:sz="4" w:space="0" w:color="B7C9BB"/>
              <w:bottom w:val="single" w:sz="4" w:space="0" w:color="B7C9BB"/>
              <w:end w:val="single" w:sz="4" w:space="0" w:color="B7C9BB"/>
            </w:tcBorders>
          </w:tcPr>
          <w:p>
            <w:pPr>
              <w:pStyle w:val="Normal"/>
              <w:rPr/>
            </w:pPr>
            <w:r>
              <w:rPr/>
              <w:t>The website is built with standard HTML and WAI-ARIA so that it can be used with screen readers (such as NVDA, JAWS, VoiceOver and TalkBack), screen magnifiers and speech-recognition software.</w:t>
            </w:r>
          </w:p>
        </w:tc>
      </w:tr>
    </w:tbl>
    <w:p>
      <w:pPr>
        <w:pStyle w:val="Heading1"/>
        <w:rPr/>
      </w:pPr>
      <w:r>
        <w:rPr/>
        <w:t>4. How to use the accessibility features</w:t>
      </w:r>
    </w:p>
    <w:p>
      <w:pPr>
        <w:pStyle w:val="Heading2"/>
        <w:rPr/>
      </w:pPr>
      <w:r>
        <w:rPr/>
        <w:t>Accessibility Settings</w:t>
      </w:r>
    </w:p>
    <w:p>
      <w:pPr>
        <w:pStyle w:val="ListParagraph"/>
        <w:numPr>
          <w:ilvl w:val="0"/>
          <w:numId w:val="5"/>
        </w:numPr>
        <w:spacing w:before="0" w:after="80"/>
        <w:jc w:val="both"/>
        <w:rPr/>
      </w:pPr>
      <w:r>
        <w:rPr/>
        <w:t xml:space="preserve">Select the </w:t>
      </w:r>
      <w:r>
        <w:rPr>
          <w:b/>
          <w:bCs/>
        </w:rPr>
        <w:t>Accessibility</w:t>
      </w:r>
      <w:r>
        <w:rPr/>
        <w:t xml:space="preserve"> button at the bottom-right of any page (or move to it with the Tab key and press Enter).</w:t>
      </w:r>
    </w:p>
    <w:p>
      <w:pPr>
        <w:pStyle w:val="ListParagraph"/>
        <w:numPr>
          <w:ilvl w:val="0"/>
          <w:numId w:val="2"/>
        </w:numPr>
        <w:spacing w:before="0" w:after="80"/>
        <w:jc w:val="both"/>
        <w:rPr/>
      </w:pPr>
      <w:r>
        <w:rPr/>
        <w:t xml:space="preserve">Under </w:t>
      </w:r>
      <w:r>
        <w:rPr>
          <w:b/>
          <w:bCs/>
        </w:rPr>
        <w:t>Text Size</w:t>
      </w:r>
      <w:r>
        <w:rPr/>
        <w:t>, choose A-, A or A+.</w:t>
      </w:r>
    </w:p>
    <w:p>
      <w:pPr>
        <w:pStyle w:val="ListParagraph"/>
        <w:numPr>
          <w:ilvl w:val="0"/>
          <w:numId w:val="2"/>
        </w:numPr>
        <w:spacing w:before="0" w:after="80"/>
        <w:jc w:val="both"/>
        <w:rPr/>
      </w:pPr>
      <w:r>
        <w:rPr/>
        <w:t xml:space="preserve">Under </w:t>
      </w:r>
      <w:r>
        <w:rPr>
          <w:b/>
          <w:bCs/>
        </w:rPr>
        <w:t>Theme</w:t>
      </w:r>
      <w:r>
        <w:rPr/>
        <w:t>, choose Light, Dark or High Contrast.</w:t>
      </w:r>
    </w:p>
    <w:p>
      <w:pPr>
        <w:pStyle w:val="ListParagraph"/>
        <w:numPr>
          <w:ilvl w:val="0"/>
          <w:numId w:val="2"/>
        </w:numPr>
        <w:spacing w:before="0" w:after="80"/>
        <w:jc w:val="both"/>
        <w:rPr/>
      </w:pPr>
      <w:r>
        <w:rPr/>
        <w:t xml:space="preserve">Select </w:t>
      </w:r>
      <w:r>
        <w:rPr>
          <w:b/>
          <w:bCs/>
        </w:rPr>
        <w:t>Close</w:t>
      </w:r>
      <w:r>
        <w:rPr/>
        <w:t xml:space="preserve"> or press Esc to return to the page.</w:t>
      </w:r>
    </w:p>
    <w:p>
      <w:pPr>
        <w:pStyle w:val="Heading2"/>
        <w:rPr/>
      </w:pPr>
      <w:r>
        <w:rPr/>
        <w:t>Browser and device settings</w:t>
      </w:r>
    </w:p>
    <w:p>
      <w:pPr>
        <w:pStyle w:val="ListParagraph"/>
        <w:numPr>
          <w:ilvl w:val="0"/>
          <w:numId w:val="1"/>
        </w:numPr>
        <w:spacing w:before="0" w:after="80"/>
        <w:jc w:val="both"/>
        <w:rPr/>
      </w:pPr>
      <w:r>
        <w:rPr>
          <w:b/>
          <w:bCs/>
        </w:rPr>
        <w:t xml:space="preserve">Zoom: </w:t>
      </w:r>
      <w:r>
        <w:rPr/>
        <w:t>press Ctrl and + (Windows) or Command and + (Mac) to zoom in, and Ctrl/Command and 0 to reset.</w:t>
      </w:r>
    </w:p>
    <w:p>
      <w:pPr>
        <w:pStyle w:val="ListParagraph"/>
        <w:numPr>
          <w:ilvl w:val="0"/>
          <w:numId w:val="1"/>
        </w:numPr>
        <w:spacing w:before="0" w:after="80"/>
        <w:jc w:val="both"/>
        <w:rPr/>
      </w:pPr>
      <w:r>
        <w:rPr>
          <w:b/>
          <w:bCs/>
        </w:rPr>
        <w:t xml:space="preserve">Mobile: </w:t>
      </w:r>
      <w:r>
        <w:rPr/>
        <w:t>pinch to zoom, or use the text size, magnifier and screen reader options in your phone’s accessibility settings.</w:t>
      </w:r>
    </w:p>
    <w:p>
      <w:pPr>
        <w:pStyle w:val="ListParagraph"/>
        <w:numPr>
          <w:ilvl w:val="0"/>
          <w:numId w:val="1"/>
        </w:numPr>
        <w:spacing w:before="0" w:after="80"/>
        <w:jc w:val="both"/>
        <w:rPr/>
      </w:pPr>
      <w:r>
        <w:rPr>
          <w:b/>
          <w:bCs/>
        </w:rPr>
        <w:t xml:space="preserve">Operating system: </w:t>
      </w:r>
      <w:r>
        <w:rPr/>
        <w:t>high contrast modes such as Windows Contrast Themes are supported.</w:t>
      </w:r>
    </w:p>
    <w:p>
      <w:pPr>
        <w:pStyle w:val="Heading1"/>
        <w:rPr/>
      </w:pPr>
      <w:r>
        <w:rPr/>
        <w:t>5. Conformance status</w:t>
      </w:r>
    </w:p>
    <w:p>
      <w:pPr>
        <w:pStyle w:val="Normal"/>
        <w:spacing w:before="0" w:after="140"/>
        <w:jc w:val="both"/>
        <w:rPr/>
      </w:pPr>
      <w:r>
        <w:rPr/>
        <w:t xml:space="preserve">The website is </w:t>
      </w:r>
      <w:r>
        <w:rPr>
          <w:b/>
          <w:bCs/>
        </w:rPr>
        <w:t>partially conformant</w:t>
      </w:r>
      <w:r>
        <w:rPr/>
        <w:t xml:space="preserve"> with WCAG 2.1 Level AA. Partially conformant means that most content meets the standard, but some content listed in section 6 does not yet fully conform. We review and upgrade pages in phases. </w:t>
      </w:r>
    </w:p>
    <w:p>
      <w:pPr>
        <w:pStyle w:val="Heading1"/>
        <w:rPr/>
      </w:pPr>
      <w:r>
        <w:rPr/>
        <w:t>6. Known limitations</w:t>
      </w:r>
    </w:p>
    <w:p>
      <w:pPr>
        <w:pStyle w:val="Normal"/>
        <w:spacing w:before="0" w:after="140"/>
        <w:jc w:val="both"/>
        <w:rPr/>
      </w:pPr>
      <w:r>
        <w:rPr/>
        <w:t>Despite our efforts, some content may not yet be fully accessible:</w:t>
      </w:r>
    </w:p>
    <w:p>
      <w:pPr>
        <w:pStyle w:val="ListParagraph"/>
        <w:numPr>
          <w:ilvl w:val="0"/>
          <w:numId w:val="1"/>
        </w:numPr>
        <w:spacing w:before="0" w:after="80"/>
        <w:jc w:val="both"/>
        <w:rPr/>
      </w:pPr>
      <w:r>
        <w:rPr>
          <w:b/>
          <w:bCs/>
        </w:rPr>
        <w:t xml:space="preserve">Older documents: </w:t>
      </w:r>
      <w:r>
        <w:rPr/>
        <w:t>some older PDF documents (for example, past annual reports, policies and disclosures) may not be fully accessible to screen readers. Accessible versions are available on request (see section 8).</w:t>
      </w:r>
    </w:p>
    <w:p>
      <w:pPr>
        <w:pStyle w:val="ListParagraph"/>
        <w:numPr>
          <w:ilvl w:val="0"/>
          <w:numId w:val="1"/>
        </w:numPr>
        <w:spacing w:before="0" w:after="80"/>
        <w:jc w:val="both"/>
        <w:rPr/>
      </w:pPr>
      <w:r>
        <w:rPr>
          <w:b/>
          <w:bCs/>
        </w:rPr>
        <w:t xml:space="preserve">Third-party content: </w:t>
      </w:r>
      <w:r>
        <w:rPr/>
        <w:t>online application and grievance forms hosted on third-party platforms, and external websites such as the RBI Complaint Management System portal and social media, are not under our control and may not meet the same standards.</w:t>
      </w:r>
    </w:p>
    <w:p>
      <w:pPr>
        <w:pStyle w:val="ListParagraph"/>
        <w:numPr>
          <w:ilvl w:val="0"/>
          <w:numId w:val="1"/>
        </w:numPr>
        <w:spacing w:before="0" w:after="80"/>
        <w:jc w:val="both"/>
        <w:rPr/>
      </w:pPr>
      <w:r>
        <w:rPr>
          <w:b/>
          <w:bCs/>
        </w:rPr>
        <w:t xml:space="preserve">Colour themes: </w:t>
      </w:r>
      <w:r>
        <w:rPr/>
        <w:t>the Dark and High Contrast themes apply to the main page content; the site header and footer keep their standard colours.</w:t>
      </w:r>
    </w:p>
    <w:p>
      <w:pPr>
        <w:pStyle w:val="Heading1"/>
        <w:rPr/>
      </w:pPr>
      <w:r>
        <w:rPr/>
        <w:t>7. How we test</w:t>
      </w:r>
    </w:p>
    <w:p>
      <w:pPr>
        <w:pStyle w:val="Normal"/>
        <w:spacing w:before="0" w:after="140"/>
        <w:jc w:val="both"/>
        <w:rPr/>
      </w:pPr>
      <w:r>
        <w:rPr/>
        <w:t>We assess the website through self-evaluation, using automated checking tools (such as axe and the W3C Markup Validation Service) and manual checks of keyboard access, focus order, colour contrast, zoom and reflow, text spacing, and screen reader behaviour. Pages are checked when they are revamped and whenever significant changes are made.</w:t>
      </w:r>
    </w:p>
    <w:p>
      <w:pPr>
        <w:pStyle w:val="Normal"/>
        <w:spacing w:before="0" w:after="140"/>
        <w:jc w:val="both"/>
        <w:rPr/>
      </w:pPr>
      <w:r>
        <w:rPr/>
        <w:t>The website is designed to work with the latest versions of Google Chrome, Microsoft Edge, Mozilla Firefox and Apple Safari, on desktop and mobile. It relies on HTML, CSS, JavaScript and WAI-ARIA.</w:t>
      </w:r>
    </w:p>
    <w:p>
      <w:pPr>
        <w:pStyle w:val="Heading1"/>
        <w:rPr/>
      </w:pPr>
      <w:r>
        <w:rPr/>
        <w:t>8. Feedback, alternative formats and accessibility grievances</w:t>
      </w:r>
    </w:p>
    <w:p>
      <w:pPr>
        <w:pStyle w:val="Normal"/>
        <w:spacing w:before="0" w:after="140"/>
        <w:jc w:val="both"/>
        <w:rPr/>
      </w:pPr>
      <w:r>
        <w:rPr/>
        <w:t>If you have difficulty accessing any content or feature on our website, need information in an alternative format (such as an accessible PDF, Word document or large print), or wish to report an accessibility problem, please contact our Grievance Redressal Officer:</w:t>
      </w:r>
    </w:p>
    <w:p>
      <w:pPr>
        <w:pStyle w:val="Normal"/>
        <w:spacing w:before="0" w:after="0"/>
        <w:ind w:start="360"/>
        <w:rPr/>
      </w:pPr>
      <w:r>
        <w:rPr>
          <w:b/>
          <w:bCs/>
        </w:rPr>
        <w:t>AVP(HR) Nodal Officer, Grievance Redressal</w:t>
      </w:r>
    </w:p>
    <w:p>
      <w:pPr>
        <w:pStyle w:val="Normal"/>
        <w:spacing w:before="0" w:after="0"/>
        <w:ind w:start="360"/>
        <w:rPr/>
      </w:pPr>
      <w:r>
        <w:rPr/>
        <w:t>NABKISAN Finance Limited</w:t>
      </w:r>
    </w:p>
    <w:p>
      <w:pPr>
        <w:pStyle w:val="Normal"/>
        <w:spacing w:before="0" w:after="0"/>
        <w:ind w:start="360"/>
        <w:rPr/>
      </w:pPr>
      <w:r>
        <w:rPr/>
        <w:t>Corporate Office C/O, NABARD Head Office, Ground Floor, “D” Wing,</w:t>
      </w:r>
    </w:p>
    <w:p>
      <w:pPr>
        <w:pStyle w:val="Normal"/>
        <w:spacing w:before="0" w:after="0"/>
        <w:ind w:start="360"/>
        <w:rPr/>
      </w:pPr>
      <w:r>
        <w:rPr/>
        <w:t>Bandra Kurla Complex, Bandra (East), Mumbai – 400051</w:t>
      </w:r>
    </w:p>
    <w:p>
      <w:pPr>
        <w:pStyle w:val="Normal"/>
        <w:spacing w:before="0" w:after="0"/>
        <w:ind w:start="360"/>
        <w:rPr/>
      </w:pPr>
      <w:r>
        <w:rPr/>
        <w:t>Phone: 022 – 26539791 / 022-26539939</w:t>
      </w:r>
    </w:p>
    <w:p>
      <w:pPr>
        <w:pStyle w:val="Normal"/>
        <w:spacing w:before="0" w:after="160"/>
        <w:ind w:start="360"/>
        <w:rPr/>
      </w:pPr>
      <w:r>
        <w:rPr/>
        <w:t xml:space="preserve">Email: </w:t>
      </w:r>
      <w:hyperlink r:id="rId3">
        <w:r>
          <w:rPr>
            <w:rStyle w:val="Hyperlink"/>
          </w:rPr>
          <w:t>customercare@nabkisan.org</w:t>
        </w:r>
      </w:hyperlink>
    </w:p>
    <w:p>
      <w:pPr>
        <w:pStyle w:val="Normal"/>
        <w:spacing w:before="0" w:after="140"/>
        <w:jc w:val="both"/>
        <w:rPr/>
      </w:pPr>
      <w:r>
        <w:rPr/>
        <w:t>To help us respond quickly, please tell us the web address (URL) of the page, a short description of the problem, and the device, browser and any assistive technology you were using.</w:t>
      </w:r>
    </w:p>
    <w:p>
      <w:pPr>
        <w:pStyle w:val="Normal"/>
        <w:spacing w:before="0" w:after="140"/>
        <w:jc w:val="both"/>
        <w:rPr/>
      </w:pPr>
      <w:r>
        <w:rPr/>
        <w:t xml:space="preserve">We aim to acknowledge your message within </w:t>
      </w:r>
      <w:r>
        <w:rPr>
          <w:highlight w:val="yellow"/>
        </w:rPr>
        <w:t>[X]</w:t>
      </w:r>
      <w:r>
        <w:rPr/>
        <w:t xml:space="preserve"> working days and to respond within </w:t>
      </w:r>
      <w:r>
        <w:rPr>
          <w:highlight w:val="yellow"/>
        </w:rPr>
        <w:t>[Y]</w:t>
      </w:r>
      <w:r>
        <w:rPr/>
        <w:t xml:space="preserve"> working days. If you are not satisfied with our response, you can escalate your concern as described on our </w:t>
      </w:r>
      <w:hyperlink r:id="rId4">
        <w:r>
          <w:rPr>
            <w:rStyle w:val="Hyperlink"/>
          </w:rPr>
          <w:t>Grievance Redressal</w:t>
        </w:r>
      </w:hyperlink>
      <w:r>
        <w:rPr/>
        <w:t xml:space="preserve"> page.</w:t>
      </w:r>
    </w:p>
    <w:p>
      <w:pPr>
        <w:pStyle w:val="Heading1"/>
        <w:rPr/>
      </w:pPr>
      <w:r>
        <w:rPr/>
        <w:t>9. Review of this statement</w:t>
      </w:r>
    </w:p>
    <w:p>
      <w:pPr>
        <w:pStyle w:val="Normal"/>
        <w:spacing w:before="0" w:after="140"/>
        <w:jc w:val="both"/>
        <w:rPr/>
      </w:pPr>
      <w:r>
        <w:rPr>
          <w:shd w:fill="auto" w:val="clear"/>
        </w:rPr>
        <w:t xml:space="preserve">This statement was prepared on </w:t>
      </w:r>
      <w:r>
        <w:rPr>
          <w:shd w:fill="auto" w:val="clear"/>
        </w:rPr>
        <w:t>19/10/2026</w:t>
      </w:r>
      <w:r>
        <w:rPr>
          <w:shd w:fill="auto" w:val="clear"/>
        </w:rPr>
        <w:t>.</w:t>
      </w:r>
      <w:r>
        <w:rPr/>
        <w:t xml:space="preserve"> It will be reviewed at least once a year and whenever significant changes are made to the website.</w:t>
      </w:r>
    </w:p>
    <w:sectPr>
      <w:footerReference w:type="even" r:id="rId5"/>
      <w:footerReference w:type="default" r:id="rId6"/>
      <w:footerReference w:type="first" r:id="rId7"/>
      <w:type w:val="nextPage"/>
      <w:pgSz w:w="11906" w:h="16838"/>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rial">
    <w:charset w:val="00" w:characterSet="windows-1252"/>
    <w:family w:val="roman"/>
    <w:pitch w:val="variable"/>
  </w:font>
  <w:font w:name="Liberation Sans">
    <w:altName w:val="Arial"/>
    <w:charset w:val="00" w:characterSet="windows-1252"/>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46584D"/>
        <w:sz w:val="18"/>
        <w:szCs w:val="18"/>
      </w:rPr>
      <w:t xml:space="preserve">NABKISAN Finance Limited | Accessibility Statement | Page </w:t>
    </w:r>
    <w:r>
      <w:rPr/>
      <w:fldChar w:fldCharType="begin"/>
    </w:r>
    <w:r>
      <w:rPr/>
      <w:instrText xml:space="preserve"> PAGE </w:instrText>
    </w:r>
    <w:r>
      <w:rPr/>
      <w:fldChar w:fldCharType="separate"/>
    </w:r>
    <w:r>
      <w:rPr/>
      <w:t>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46584D"/>
        <w:sz w:val="18"/>
        <w:szCs w:val="18"/>
      </w:rPr>
      <w:t xml:space="preserve">NABKISAN Finance Limited | Accessibility Statement | Page </w:t>
    </w:r>
    <w:r>
      <w:rPr/>
      <w:fldChar w:fldCharType="begin"/>
    </w:r>
    <w:r>
      <w:rPr/>
      <w:instrText xml:space="preserve"> PAGE </w:instrText>
    </w:r>
    <w:r>
      <w:rPr/>
      <w:fldChar w:fldCharType="separate"/>
    </w:r>
    <w:r>
      <w:rPr/>
      <w:t>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decimal"/>
      <w:lvlText w:val="%1."/>
      <w:lvlJc w:val="start"/>
      <w:pPr>
        <w:tabs>
          <w:tab w:val="num" w:pos="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1"/>
    <w:lvlOverride w:ilvl="0">
      <w:startOverride w:val="1"/>
    </w:lvlOverride>
  </w:num>
  <w:num w:numId="5">
    <w:abstractNumId w:val="2"/>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color w:val="16241C"/>
        <w:sz w:val="22"/>
        <w:szCs w:val="22"/>
        <w:lang w:val="en-IN" w:eastAsia="zh-CN" w:bidi="hi-IN"/>
      </w:rPr>
    </w:rPrDefault>
    <w:pPrDefault>
      <w:pPr>
        <w:suppressAutoHyphens w:val="true"/>
      </w:pPr>
    </w:pPrDefault>
  </w:docDefaults>
  <w:style w:type="paragraph" w:styleId="Normal">
    <w:name w:val="Normal"/>
    <w:qFormat/>
    <w:pPr>
      <w:widowControl/>
      <w:bidi w:val="0"/>
      <w:spacing w:before="0" w:after="0"/>
      <w:jc w:val="start"/>
    </w:pPr>
    <w:rPr>
      <w:rFonts w:ascii="Arial" w:hAnsi="Arial" w:eastAsia="Arial" w:cs="Arial"/>
      <w:color w:val="16241C"/>
      <w:kern w:val="0"/>
      <w:sz w:val="22"/>
      <w:szCs w:val="22"/>
      <w:lang w:val="en-IN" w:eastAsia="zh-CN" w:bidi="hi-IN"/>
    </w:rPr>
  </w:style>
  <w:style w:type="paragraph" w:styleId="Heading1">
    <w:name w:val="heading 1"/>
    <w:basedOn w:val="Heading"/>
    <w:qFormat/>
    <w:pPr>
      <w:keepNext w:val="true"/>
      <w:spacing w:before="320" w:after="140"/>
      <w:outlineLvl w:val="0"/>
    </w:pPr>
    <w:rPr>
      <w:rFonts w:ascii="Arial" w:hAnsi="Arial" w:eastAsia="Arial" w:cs="Arial"/>
      <w:b/>
      <w:bCs/>
      <w:color w:val="0A4327"/>
      <w:sz w:val="28"/>
      <w:szCs w:val="28"/>
    </w:rPr>
  </w:style>
  <w:style w:type="paragraph" w:styleId="Heading2">
    <w:name w:val="heading 2"/>
    <w:basedOn w:val="Heading"/>
    <w:qFormat/>
    <w:pPr>
      <w:keepNext w:val="true"/>
      <w:spacing w:before="220" w:after="100"/>
      <w:outlineLvl w:val="1"/>
    </w:pPr>
    <w:rPr>
      <w:rFonts w:ascii="Arial" w:hAnsi="Arial" w:eastAsia="Arial" w:cs="Arial"/>
      <w:b/>
      <w:bCs/>
      <w:color w:val="0E7A3C"/>
      <w:sz w:val="24"/>
      <w:szCs w:val="24"/>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B57D0"/>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Heading"/>
    <w:qFormat/>
    <w:pPr>
      <w:spacing w:before="240" w:after="80"/>
    </w:pPr>
    <w:rPr>
      <w:rFonts w:ascii="Arial" w:hAnsi="Arial" w:eastAsia="Arial" w:cs="Arial"/>
      <w:b/>
      <w:bCs/>
      <w:color w:val="0A4327"/>
      <w:sz w:val="40"/>
      <w:szCs w:val="40"/>
    </w:rPr>
  </w:style>
  <w:style w:type="paragraph" w:styleId="StrongEmphasis">
    <w:name w:val="Strong Emphasis"/>
    <w:qFormat/>
    <w:pPr>
      <w:widowControl/>
      <w:bidi w:val="0"/>
      <w:spacing w:before="0" w:after="0"/>
      <w:jc w:val="start"/>
    </w:pPr>
    <w:rPr>
      <w:rFonts w:ascii="Arial" w:hAnsi="Arial" w:eastAsia="Arial" w:cs="Arial"/>
      <w:b/>
      <w:bCs/>
      <w:color w:val="16241C"/>
      <w:kern w:val="0"/>
      <w:sz w:val="22"/>
      <w:szCs w:val="22"/>
      <w:lang w:val="en-IN" w:eastAsia="zh-CN" w:bidi="hi-IN"/>
    </w:rPr>
  </w:style>
  <w:style w:type="paragraph" w:styleId="ListParagraph">
    <w:name w:val="List Paragraph"/>
    <w:qFormat/>
    <w:pPr>
      <w:widowControl/>
      <w:bidi w:val="0"/>
      <w:spacing w:before="0" w:after="0"/>
      <w:jc w:val="start"/>
    </w:pPr>
    <w:rPr>
      <w:rFonts w:ascii="Arial" w:hAnsi="Arial" w:eastAsia="Arial" w:cs="Arial"/>
      <w:color w:val="16241C"/>
      <w:kern w:val="0"/>
      <w:sz w:val="22"/>
      <w:szCs w:val="22"/>
      <w:lang w:val="en-IN"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nabkisan.org/" TargetMode="External"/><Relationship Id="rId3" Type="http://schemas.openxmlformats.org/officeDocument/2006/relationships/hyperlink" Target="mailto:customercare@nabkisan.org" TargetMode="External"/><Relationship Id="rId4" Type="http://schemas.openxmlformats.org/officeDocument/2006/relationships/hyperlink" Target="https://www.nabkisan.org/grievance-redressal"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LibreOffice/26.2.6.3$Windows_X86_64 LibreOffice_project/8221e31b3ac356a1623c672912a3d2b492f7e3d1</Application>
  <AppVersion>15.0000</AppVersion>
  <Pages>4</Pages>
  <Words>1128</Words>
  <Characters>5947</Characters>
  <CharactersWithSpaces>6984</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2026-10-19T05:39:51Z</dcterms:created>
  <dc:creator>NABKISAN Finance Limited</dc:creator>
  <dc:description>Accessibility Statement for the website of NABKISAN Finance Limited (www.nabkisan.org)</dc:description>
  <dc:language>en-IN</dc:language>
  <cp:lastModifiedBy/>
  <dcterms:modified xsi:type="dcterms:W3CDTF">2026-10-19T11:13:14Z</dcterms:modified>
  <cp:revision>2</cp:revision>
  <dc:subject/>
  <dc:title>Accessibility Statement - NABKISAN Finance Limited</dc:title>
</cp:coreProperties>
</file>