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6614" w14:textId="575E6880" w:rsidR="00DA0204" w:rsidRDefault="075601D5" w:rsidP="00F8552F">
      <w:pPr>
        <w:pStyle w:val="Heading1"/>
        <w:spacing w:after="240" w:line="276" w:lineRule="auto"/>
        <w:rPr>
          <w:rFonts w:ascii="Georgia" w:eastAsia="Georgia" w:hAnsi="Georgia" w:cs="Georgia"/>
        </w:rPr>
      </w:pPr>
      <w:r w:rsidRPr="243CA690">
        <w:rPr>
          <w:rFonts w:ascii="Georgia" w:eastAsia="Georgia" w:hAnsi="Georgia" w:cs="Georgia"/>
        </w:rPr>
        <w:t xml:space="preserve">Precorrection Checklist </w:t>
      </w:r>
    </w:p>
    <w:p w14:paraId="1F326382" w14:textId="03E2A42E" w:rsidR="00DA0204" w:rsidRDefault="00A65554" w:rsidP="00F8552F">
      <w:pPr>
        <w:spacing w:after="240" w:line="276" w:lineRule="auto"/>
        <w:rPr>
          <w:rFonts w:ascii="Arial" w:eastAsia="Arial" w:hAnsi="Arial" w:cs="Arial"/>
          <w:sz w:val="24"/>
          <w:lang w:val="en-US"/>
        </w:rPr>
      </w:pPr>
      <w:r>
        <w:rPr>
          <w:rFonts w:ascii="Georgia" w:eastAsia="Georgia" w:hAnsi="Georgia" w:cs="Georgia"/>
          <w:b/>
          <w:color w:val="0D2A5A"/>
          <w:sz w:val="24"/>
        </w:rPr>
        <w:t xml:space="preserve"> </w:t>
      </w:r>
      <w:r w:rsidR="075601D5" w:rsidRPr="243CA690">
        <w:rPr>
          <w:rStyle w:val="Heading2Char"/>
          <w:rFonts w:ascii="Arial" w:eastAsia="Arial" w:hAnsi="Arial" w:cs="Arial"/>
          <w:lang w:val="en-US"/>
        </w:rPr>
        <w:t xml:space="preserve">Directions: </w:t>
      </w:r>
      <w:r w:rsidR="075601D5" w:rsidRPr="243CA690">
        <w:rPr>
          <w:rStyle w:val="Heading2Char"/>
          <w:rFonts w:ascii="Arial" w:eastAsia="Arial" w:hAnsi="Arial" w:cs="Arial"/>
          <w:b w:val="0"/>
          <w:bCs w:val="0"/>
          <w:lang w:val="en-US"/>
        </w:rPr>
        <w:t>Use this tool to evaluate your use of precorrection. For each step of the strategy, circle “Y” if the step was completed or “N” if the step was not completed. For steps 1-3, use the space provided to describe actions taken.</w:t>
      </w:r>
      <w:r w:rsidR="075601D5" w:rsidRPr="243CA690">
        <w:rPr>
          <w:rFonts w:ascii="Arial" w:eastAsia="Arial" w:hAnsi="Arial" w:cs="Arial"/>
          <w:sz w:val="24"/>
          <w:lang w:val="en-US"/>
        </w:rPr>
        <w:t xml:space="preserve">  </w:t>
      </w:r>
    </w:p>
    <w:p w14:paraId="094F500B" w14:textId="6886F66E" w:rsidR="00DA0204" w:rsidRDefault="00A65554" w:rsidP="00F8552F">
      <w:pPr>
        <w:spacing w:after="240" w:line="276" w:lineRule="auto"/>
      </w:pPr>
      <w:r>
        <w:rPr>
          <w:rFonts w:ascii="Arial" w:eastAsia="Arial" w:hAnsi="Arial" w:cs="Arial"/>
          <w:sz w:val="24"/>
        </w:rPr>
        <w:t xml:space="preserve"> Rater: _________________________ </w:t>
      </w:r>
      <w:r>
        <w:rPr>
          <w:rFonts w:cs="Calibri"/>
          <w:sz w:val="24"/>
        </w:rPr>
        <w:t xml:space="preserve">  </w:t>
      </w:r>
      <w:r>
        <w:tab/>
      </w:r>
      <w:r>
        <w:rPr>
          <w:rFonts w:ascii="Arial" w:eastAsia="Arial" w:hAnsi="Arial" w:cs="Arial"/>
          <w:sz w:val="24"/>
        </w:rPr>
        <w:t xml:space="preserve">Date: _______________ </w:t>
      </w:r>
    </w:p>
    <w:p w14:paraId="31B69B57" w14:textId="627BE345" w:rsidR="0283B050" w:rsidRPr="00F8552F" w:rsidRDefault="075601D5" w:rsidP="00F8552F">
      <w:pPr>
        <w:pStyle w:val="Heading3"/>
        <w:spacing w:before="0"/>
      </w:pPr>
      <w:r w:rsidRPr="243CA690">
        <w:rPr>
          <w:sz w:val="24"/>
        </w:rPr>
        <w:t xml:space="preserve"> </w:t>
      </w:r>
      <w:r w:rsidR="0283B050" w:rsidRPr="00F8552F">
        <w:t>Checklist</w:t>
      </w:r>
    </w:p>
    <w:tbl>
      <w:tblPr>
        <w:tblStyle w:val="TableGrid1"/>
        <w:tblW w:w="9352" w:type="dxa"/>
        <w:tblInd w:w="6" w:type="dxa"/>
        <w:tblCellMar>
          <w:top w:w="161" w:type="dxa"/>
          <w:right w:w="38" w:type="dxa"/>
        </w:tblCellMar>
        <w:tblLook w:val="04A0" w:firstRow="1" w:lastRow="0" w:firstColumn="1" w:lastColumn="0" w:noHBand="0" w:noVBand="1"/>
        <w:tblCaption w:val="Checklist"/>
        <w:tblDescription w:val="Precorrection checklist"/>
      </w:tblPr>
      <w:tblGrid>
        <w:gridCol w:w="714"/>
        <w:gridCol w:w="7114"/>
        <w:gridCol w:w="1524"/>
      </w:tblGrid>
      <w:tr w:rsidR="00DA0204" w14:paraId="78FE8359" w14:textId="77777777" w:rsidTr="008A7862">
        <w:trPr>
          <w:trHeight w:val="523"/>
        </w:trPr>
        <w:tc>
          <w:tcPr>
            <w:tcW w:w="714" w:type="dxa"/>
            <w:tcBorders>
              <w:top w:val="single" w:sz="4" w:space="0" w:color="000000" w:themeColor="text1"/>
              <w:left w:val="single" w:sz="4" w:space="0" w:color="000000" w:themeColor="text1"/>
              <w:bottom w:val="single" w:sz="4" w:space="0" w:color="000000" w:themeColor="text1"/>
            </w:tcBorders>
            <w:shd w:val="clear" w:color="auto" w:fill="E7E6E6" w:themeFill="background2"/>
            <w:vAlign w:val="center"/>
          </w:tcPr>
          <w:p w14:paraId="3B2E8D98" w14:textId="24DF3DDC" w:rsidR="008971E5" w:rsidRDefault="008971E5">
            <w:pPr>
              <w:spacing w:after="0"/>
              <w:ind w:left="109"/>
              <w:rPr>
                <w:rFonts w:ascii="Arial" w:eastAsia="Arial" w:hAnsi="Arial" w:cs="Arial"/>
                <w:sz w:val="24"/>
              </w:rPr>
            </w:pPr>
          </w:p>
        </w:tc>
        <w:tc>
          <w:tcPr>
            <w:tcW w:w="7114"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vAlign w:val="center"/>
          </w:tcPr>
          <w:p w14:paraId="7B2F1EA7" w14:textId="0642EDDC" w:rsidR="00DA0204" w:rsidRDefault="00A65554" w:rsidP="005F057C">
            <w:pPr>
              <w:spacing w:after="0"/>
              <w:ind w:left="109"/>
              <w:jc w:val="both"/>
              <w:rPr>
                <w:rFonts w:ascii="Arial" w:eastAsia="Arial" w:hAnsi="Arial" w:cs="Arial"/>
                <w:sz w:val="24"/>
              </w:rPr>
            </w:pPr>
            <w:r>
              <w:rPr>
                <w:rFonts w:ascii="Arial" w:eastAsia="Arial" w:hAnsi="Arial" w:cs="Arial"/>
                <w:b/>
                <w:sz w:val="24"/>
              </w:rPr>
              <w:t>Precorrection Step</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63592F6" w14:textId="77777777" w:rsidR="00DA0204" w:rsidRDefault="00A65554">
            <w:pPr>
              <w:spacing w:after="0"/>
              <w:ind w:left="40"/>
              <w:jc w:val="center"/>
              <w:rPr>
                <w:rFonts w:ascii="Arial" w:eastAsia="Arial" w:hAnsi="Arial" w:cs="Arial"/>
                <w:b/>
                <w:sz w:val="24"/>
              </w:rPr>
            </w:pPr>
            <w:r>
              <w:rPr>
                <w:rFonts w:ascii="Arial" w:eastAsia="Arial" w:hAnsi="Arial" w:cs="Arial"/>
                <w:b/>
                <w:sz w:val="24"/>
              </w:rPr>
              <w:t xml:space="preserve">Rating </w:t>
            </w:r>
          </w:p>
        </w:tc>
      </w:tr>
      <w:tr w:rsidR="00DA0204" w14:paraId="051F73E8" w14:textId="77777777" w:rsidTr="00E87BAD">
        <w:trPr>
          <w:trHeight w:val="1597"/>
        </w:trPr>
        <w:tc>
          <w:tcPr>
            <w:tcW w:w="714" w:type="dxa"/>
            <w:tcBorders>
              <w:top w:val="single" w:sz="4" w:space="0" w:color="000000" w:themeColor="text1"/>
              <w:left w:val="single" w:sz="4" w:space="0" w:color="000000" w:themeColor="text1"/>
              <w:bottom w:val="single" w:sz="4" w:space="0" w:color="000000" w:themeColor="text1"/>
              <w:right w:val="nil"/>
            </w:tcBorders>
          </w:tcPr>
          <w:p w14:paraId="69BA4CEB" w14:textId="77777777" w:rsidR="00DA0204" w:rsidRDefault="00A65554">
            <w:pPr>
              <w:spacing w:after="0"/>
              <w:ind w:left="53"/>
              <w:jc w:val="center"/>
            </w:pPr>
            <w:r>
              <w:rPr>
                <w:rFonts w:ascii="Arial" w:eastAsia="Arial" w:hAnsi="Arial" w:cs="Arial"/>
                <w:b/>
                <w:sz w:val="24"/>
              </w:rPr>
              <w:t xml:space="preserve">1. </w:t>
            </w:r>
          </w:p>
        </w:tc>
        <w:tc>
          <w:tcPr>
            <w:tcW w:w="7114" w:type="dxa"/>
            <w:tcBorders>
              <w:top w:val="single" w:sz="4" w:space="0" w:color="000000" w:themeColor="text1"/>
              <w:left w:val="nil"/>
              <w:bottom w:val="single" w:sz="4" w:space="0" w:color="000000" w:themeColor="text1"/>
              <w:right w:val="single" w:sz="4" w:space="0" w:color="000000" w:themeColor="text1"/>
            </w:tcBorders>
            <w:vAlign w:val="center"/>
          </w:tcPr>
          <w:p w14:paraId="7BA182B3" w14:textId="77777777" w:rsidR="00DA0204" w:rsidRDefault="00A65554">
            <w:pPr>
              <w:spacing w:after="117" w:line="275" w:lineRule="auto"/>
            </w:pPr>
            <w:r w:rsidRPr="45D588CA">
              <w:rPr>
                <w:rFonts w:ascii="Arial" w:eastAsia="Arial" w:hAnsi="Arial" w:cs="Arial"/>
                <w:sz w:val="24"/>
                <w:lang w:val="en-US"/>
              </w:rPr>
              <w:t xml:space="preserve">I identified when and where challenging behaviors are likely to occur and what makes them likely.   </w:t>
            </w:r>
          </w:p>
          <w:p w14:paraId="4F4085B1" w14:textId="77777777" w:rsidR="00DA0204" w:rsidRDefault="00A65554">
            <w:pPr>
              <w:spacing w:after="136"/>
              <w:ind w:left="5"/>
            </w:pPr>
            <w:r>
              <w:rPr>
                <w:rFonts w:ascii="Arial" w:eastAsia="Arial" w:hAnsi="Arial" w:cs="Arial"/>
                <w:sz w:val="24"/>
              </w:rPr>
              <w:t xml:space="preserve">When:  </w:t>
            </w:r>
          </w:p>
          <w:p w14:paraId="782D2C74" w14:textId="77777777" w:rsidR="00DA0204" w:rsidRDefault="00A65554">
            <w:pPr>
              <w:spacing w:after="0"/>
              <w:ind w:left="5"/>
            </w:pPr>
            <w:r>
              <w:rPr>
                <w:rFonts w:ascii="Arial" w:eastAsia="Arial" w:hAnsi="Arial" w:cs="Arial"/>
                <w:sz w:val="24"/>
              </w:rPr>
              <w:t xml:space="preserve">Where: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ED6A5" w14:textId="77777777" w:rsidR="00DA0204" w:rsidRDefault="00A65554">
            <w:pPr>
              <w:spacing w:after="0"/>
              <w:ind w:left="38"/>
              <w:jc w:val="center"/>
            </w:pPr>
            <w:r>
              <w:rPr>
                <w:rFonts w:ascii="Arial" w:eastAsia="Arial" w:hAnsi="Arial" w:cs="Arial"/>
                <w:sz w:val="24"/>
              </w:rPr>
              <w:t xml:space="preserve">Y      N </w:t>
            </w:r>
          </w:p>
        </w:tc>
      </w:tr>
      <w:tr w:rsidR="00DA0204" w14:paraId="7CD7F9F5" w14:textId="77777777" w:rsidTr="00E87BAD">
        <w:trPr>
          <w:trHeight w:val="920"/>
        </w:trPr>
        <w:tc>
          <w:tcPr>
            <w:tcW w:w="714" w:type="dxa"/>
            <w:tcBorders>
              <w:top w:val="single" w:sz="4" w:space="0" w:color="000000" w:themeColor="text1"/>
              <w:left w:val="single" w:sz="4" w:space="0" w:color="000000" w:themeColor="text1"/>
              <w:bottom w:val="single" w:sz="4" w:space="0" w:color="000000" w:themeColor="text1"/>
              <w:right w:val="nil"/>
            </w:tcBorders>
          </w:tcPr>
          <w:p w14:paraId="39CDDD6A" w14:textId="77777777" w:rsidR="00DA0204" w:rsidRDefault="00A65554">
            <w:pPr>
              <w:spacing w:after="0"/>
              <w:ind w:left="63"/>
              <w:jc w:val="center"/>
            </w:pPr>
            <w:r>
              <w:rPr>
                <w:rFonts w:ascii="Arial" w:eastAsia="Arial" w:hAnsi="Arial" w:cs="Arial"/>
                <w:b/>
                <w:sz w:val="24"/>
              </w:rPr>
              <w:t xml:space="preserve">2. </w:t>
            </w:r>
          </w:p>
        </w:tc>
        <w:tc>
          <w:tcPr>
            <w:tcW w:w="7114" w:type="dxa"/>
            <w:tcBorders>
              <w:top w:val="single" w:sz="4" w:space="0" w:color="000000" w:themeColor="text1"/>
              <w:left w:val="nil"/>
              <w:bottom w:val="single" w:sz="4" w:space="0" w:color="000000" w:themeColor="text1"/>
              <w:right w:val="single" w:sz="4" w:space="0" w:color="000000" w:themeColor="text1"/>
            </w:tcBorders>
            <w:vAlign w:val="center"/>
          </w:tcPr>
          <w:p w14:paraId="279EEE9D" w14:textId="77777777" w:rsidR="00DA0204" w:rsidRDefault="00A65554">
            <w:pPr>
              <w:spacing w:after="138"/>
              <w:ind w:left="5"/>
            </w:pPr>
            <w:r w:rsidRPr="45D588CA">
              <w:rPr>
                <w:rFonts w:ascii="Arial" w:eastAsia="Arial" w:hAnsi="Arial" w:cs="Arial"/>
                <w:sz w:val="24"/>
                <w:lang w:val="en-US"/>
              </w:rPr>
              <w:t xml:space="preserve">I determined appropriate replacement behaviors.   </w:t>
            </w:r>
          </w:p>
          <w:p w14:paraId="5B0EF824" w14:textId="77777777" w:rsidR="00DA0204" w:rsidRDefault="00A65554">
            <w:pPr>
              <w:spacing w:after="0"/>
              <w:ind w:left="5"/>
            </w:pPr>
            <w:r>
              <w:rPr>
                <w:rFonts w:ascii="Arial" w:eastAsia="Arial" w:hAnsi="Arial" w:cs="Arial"/>
                <w:sz w:val="24"/>
              </w:rPr>
              <w:t xml:space="preserve">Replacement Behaviors: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F22F8" w14:textId="77777777" w:rsidR="00DA0204" w:rsidRDefault="00A65554">
            <w:pPr>
              <w:spacing w:after="0"/>
              <w:ind w:left="38"/>
              <w:jc w:val="center"/>
            </w:pPr>
            <w:r>
              <w:rPr>
                <w:rFonts w:ascii="Arial" w:eastAsia="Arial" w:hAnsi="Arial" w:cs="Arial"/>
                <w:sz w:val="24"/>
              </w:rPr>
              <w:t xml:space="preserve">Y      N </w:t>
            </w:r>
          </w:p>
        </w:tc>
      </w:tr>
      <w:tr w:rsidR="00DA0204" w14:paraId="3D9963FA" w14:textId="77777777" w:rsidTr="00E87BAD">
        <w:trPr>
          <w:trHeight w:val="920"/>
        </w:trPr>
        <w:tc>
          <w:tcPr>
            <w:tcW w:w="714" w:type="dxa"/>
            <w:tcBorders>
              <w:top w:val="single" w:sz="4" w:space="0" w:color="000000" w:themeColor="text1"/>
              <w:left w:val="single" w:sz="4" w:space="0" w:color="000000" w:themeColor="text1"/>
              <w:bottom w:val="single" w:sz="4" w:space="0" w:color="000000" w:themeColor="text1"/>
              <w:right w:val="nil"/>
            </w:tcBorders>
          </w:tcPr>
          <w:p w14:paraId="17664253" w14:textId="77777777" w:rsidR="00DA0204" w:rsidRDefault="00A65554">
            <w:pPr>
              <w:spacing w:after="0"/>
              <w:ind w:left="63"/>
              <w:jc w:val="center"/>
            </w:pPr>
            <w:r>
              <w:rPr>
                <w:rFonts w:ascii="Arial" w:eastAsia="Arial" w:hAnsi="Arial" w:cs="Arial"/>
                <w:b/>
                <w:sz w:val="24"/>
              </w:rPr>
              <w:t xml:space="preserve">3. </w:t>
            </w:r>
          </w:p>
        </w:tc>
        <w:tc>
          <w:tcPr>
            <w:tcW w:w="7114" w:type="dxa"/>
            <w:tcBorders>
              <w:top w:val="single" w:sz="4" w:space="0" w:color="000000" w:themeColor="text1"/>
              <w:left w:val="nil"/>
              <w:bottom w:val="single" w:sz="4" w:space="0" w:color="000000" w:themeColor="text1"/>
              <w:right w:val="single" w:sz="4" w:space="0" w:color="000000" w:themeColor="text1"/>
            </w:tcBorders>
            <w:vAlign w:val="center"/>
          </w:tcPr>
          <w:p w14:paraId="5F6856C8" w14:textId="77777777" w:rsidR="00DA0204" w:rsidRDefault="00A65554">
            <w:pPr>
              <w:spacing w:after="138"/>
              <w:ind w:left="5"/>
            </w:pPr>
            <w:r w:rsidRPr="45D588CA">
              <w:rPr>
                <w:rFonts w:ascii="Arial" w:eastAsia="Arial" w:hAnsi="Arial" w:cs="Arial"/>
                <w:sz w:val="24"/>
                <w:lang w:val="en-US"/>
              </w:rPr>
              <w:t xml:space="preserve">I modified the context to support the replacement behaviors.   </w:t>
            </w:r>
          </w:p>
          <w:p w14:paraId="200E3AF2" w14:textId="77777777" w:rsidR="00DA0204" w:rsidRDefault="00A65554">
            <w:pPr>
              <w:spacing w:after="0"/>
              <w:ind w:left="5"/>
            </w:pPr>
            <w:r>
              <w:rPr>
                <w:rFonts w:ascii="Arial" w:eastAsia="Arial" w:hAnsi="Arial" w:cs="Arial"/>
                <w:sz w:val="24"/>
              </w:rPr>
              <w:t xml:space="preserve">Modifications: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415D8" w14:textId="77777777" w:rsidR="00DA0204" w:rsidRDefault="00A65554">
            <w:pPr>
              <w:spacing w:after="0"/>
              <w:ind w:left="38"/>
              <w:jc w:val="center"/>
            </w:pPr>
            <w:r>
              <w:rPr>
                <w:rFonts w:ascii="Arial" w:eastAsia="Arial" w:hAnsi="Arial" w:cs="Arial"/>
                <w:sz w:val="24"/>
              </w:rPr>
              <w:t xml:space="preserve">Y      N </w:t>
            </w:r>
          </w:p>
        </w:tc>
      </w:tr>
      <w:tr w:rsidR="00DA0204" w14:paraId="6F8791DC" w14:textId="77777777" w:rsidTr="00E87BAD">
        <w:trPr>
          <w:trHeight w:val="805"/>
        </w:trPr>
        <w:tc>
          <w:tcPr>
            <w:tcW w:w="714" w:type="dxa"/>
            <w:tcBorders>
              <w:top w:val="single" w:sz="4" w:space="0" w:color="000000" w:themeColor="text1"/>
              <w:left w:val="single" w:sz="4" w:space="0" w:color="000000" w:themeColor="text1"/>
              <w:bottom w:val="single" w:sz="4" w:space="0" w:color="000000" w:themeColor="text1"/>
              <w:right w:val="nil"/>
            </w:tcBorders>
          </w:tcPr>
          <w:p w14:paraId="49C71973" w14:textId="77777777" w:rsidR="00DA0204" w:rsidRDefault="00A65554">
            <w:pPr>
              <w:spacing w:after="0"/>
              <w:ind w:right="5"/>
              <w:jc w:val="center"/>
            </w:pPr>
            <w:r>
              <w:rPr>
                <w:rFonts w:ascii="Arial" w:eastAsia="Arial" w:hAnsi="Arial" w:cs="Arial"/>
                <w:b/>
                <w:sz w:val="24"/>
              </w:rPr>
              <w:t xml:space="preserve">4 </w:t>
            </w:r>
          </w:p>
        </w:tc>
        <w:tc>
          <w:tcPr>
            <w:tcW w:w="7114" w:type="dxa"/>
            <w:tcBorders>
              <w:top w:val="single" w:sz="4" w:space="0" w:color="000000" w:themeColor="text1"/>
              <w:left w:val="nil"/>
              <w:bottom w:val="single" w:sz="4" w:space="0" w:color="000000" w:themeColor="text1"/>
              <w:right w:val="single" w:sz="4" w:space="0" w:color="000000" w:themeColor="text1"/>
            </w:tcBorders>
            <w:vAlign w:val="center"/>
          </w:tcPr>
          <w:p w14:paraId="24BD2821" w14:textId="77777777" w:rsidR="00DA0204" w:rsidRDefault="00A65554">
            <w:pPr>
              <w:spacing w:after="0"/>
              <w:ind w:left="5"/>
            </w:pPr>
            <w:r w:rsidRPr="45D588CA">
              <w:rPr>
                <w:rFonts w:ascii="Arial" w:eastAsia="Arial" w:hAnsi="Arial" w:cs="Arial"/>
                <w:sz w:val="24"/>
                <w:lang w:val="en-US"/>
              </w:rPr>
              <w:t xml:space="preserve">I taught the replacement behaviors and provided students opportunities to practice it in the natural context.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59780" w14:textId="77777777" w:rsidR="00DA0204" w:rsidRDefault="00A65554">
            <w:pPr>
              <w:spacing w:after="0"/>
              <w:ind w:left="38"/>
              <w:jc w:val="center"/>
            </w:pPr>
            <w:r>
              <w:rPr>
                <w:rFonts w:ascii="Arial" w:eastAsia="Arial" w:hAnsi="Arial" w:cs="Arial"/>
                <w:sz w:val="24"/>
              </w:rPr>
              <w:t xml:space="preserve">Y      N </w:t>
            </w:r>
          </w:p>
        </w:tc>
      </w:tr>
      <w:tr w:rsidR="00DA0204" w14:paraId="2758284A" w14:textId="77777777" w:rsidTr="00E87BAD">
        <w:trPr>
          <w:trHeight w:val="801"/>
        </w:trPr>
        <w:tc>
          <w:tcPr>
            <w:tcW w:w="714" w:type="dxa"/>
            <w:tcBorders>
              <w:top w:val="single" w:sz="4" w:space="0" w:color="000000" w:themeColor="text1"/>
              <w:left w:val="single" w:sz="4" w:space="0" w:color="000000" w:themeColor="text1"/>
              <w:bottom w:val="single" w:sz="4" w:space="0" w:color="000000" w:themeColor="text1"/>
              <w:right w:val="nil"/>
            </w:tcBorders>
          </w:tcPr>
          <w:p w14:paraId="561D307B" w14:textId="77777777" w:rsidR="00DA0204" w:rsidRDefault="00A65554">
            <w:pPr>
              <w:spacing w:after="0"/>
              <w:ind w:left="63"/>
              <w:jc w:val="center"/>
            </w:pPr>
            <w:r>
              <w:rPr>
                <w:rFonts w:ascii="Arial" w:eastAsia="Arial" w:hAnsi="Arial" w:cs="Arial"/>
                <w:b/>
                <w:sz w:val="24"/>
              </w:rPr>
              <w:t xml:space="preserve">5. </w:t>
            </w:r>
          </w:p>
        </w:tc>
        <w:tc>
          <w:tcPr>
            <w:tcW w:w="7114" w:type="dxa"/>
            <w:tcBorders>
              <w:top w:val="single" w:sz="4" w:space="0" w:color="000000" w:themeColor="text1"/>
              <w:left w:val="nil"/>
              <w:bottom w:val="single" w:sz="4" w:space="0" w:color="000000" w:themeColor="text1"/>
              <w:right w:val="single" w:sz="4" w:space="0" w:color="000000" w:themeColor="text1"/>
            </w:tcBorders>
            <w:vAlign w:val="center"/>
          </w:tcPr>
          <w:p w14:paraId="066DE858" w14:textId="77777777" w:rsidR="00DA0204" w:rsidRDefault="00A65554">
            <w:pPr>
              <w:spacing w:after="0"/>
              <w:ind w:left="5"/>
            </w:pPr>
            <w:r w:rsidRPr="469445E7">
              <w:rPr>
                <w:rFonts w:ascii="Arial" w:eastAsia="Arial" w:hAnsi="Arial" w:cs="Arial"/>
                <w:sz w:val="24"/>
                <w:lang w:val="en-US"/>
              </w:rPr>
              <w:t xml:space="preserve">I provided a reminder of the replacement behavior just before </w:t>
            </w:r>
            <w:proofErr w:type="gramStart"/>
            <w:r w:rsidRPr="469445E7">
              <w:rPr>
                <w:rFonts w:ascii="Arial" w:eastAsia="Arial" w:hAnsi="Arial" w:cs="Arial"/>
                <w:sz w:val="24"/>
                <w:lang w:val="en-US"/>
              </w:rPr>
              <w:t>the transitioning</w:t>
            </w:r>
            <w:proofErr w:type="gramEnd"/>
            <w:r w:rsidRPr="469445E7">
              <w:rPr>
                <w:rFonts w:ascii="Arial" w:eastAsia="Arial" w:hAnsi="Arial" w:cs="Arial"/>
                <w:sz w:val="24"/>
                <w:lang w:val="en-US"/>
              </w:rPr>
              <w:t xml:space="preserve"> to the challenging context.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F95DF" w14:textId="77777777" w:rsidR="00DA0204" w:rsidRDefault="00A65554">
            <w:pPr>
              <w:spacing w:after="0"/>
              <w:ind w:left="38"/>
              <w:jc w:val="center"/>
            </w:pPr>
            <w:r>
              <w:rPr>
                <w:rFonts w:ascii="Arial" w:eastAsia="Arial" w:hAnsi="Arial" w:cs="Arial"/>
                <w:sz w:val="24"/>
              </w:rPr>
              <w:t xml:space="preserve">Y      N </w:t>
            </w:r>
          </w:p>
        </w:tc>
      </w:tr>
      <w:tr w:rsidR="00DA0204" w14:paraId="2EE5977F" w14:textId="77777777" w:rsidTr="00E87BAD">
        <w:trPr>
          <w:trHeight w:val="800"/>
        </w:trPr>
        <w:tc>
          <w:tcPr>
            <w:tcW w:w="714" w:type="dxa"/>
            <w:tcBorders>
              <w:top w:val="single" w:sz="4" w:space="0" w:color="000000" w:themeColor="text1"/>
              <w:left w:val="single" w:sz="4" w:space="0" w:color="000000" w:themeColor="text1"/>
              <w:bottom w:val="single" w:sz="4" w:space="0" w:color="000000" w:themeColor="text1"/>
              <w:right w:val="nil"/>
            </w:tcBorders>
          </w:tcPr>
          <w:p w14:paraId="6D7F3110" w14:textId="77777777" w:rsidR="00DA0204" w:rsidRDefault="00A65554">
            <w:pPr>
              <w:spacing w:after="0"/>
              <w:ind w:left="63"/>
              <w:jc w:val="center"/>
            </w:pPr>
            <w:r>
              <w:rPr>
                <w:rFonts w:ascii="Arial" w:eastAsia="Arial" w:hAnsi="Arial" w:cs="Arial"/>
                <w:b/>
                <w:sz w:val="24"/>
              </w:rPr>
              <w:t xml:space="preserve">6. </w:t>
            </w:r>
          </w:p>
        </w:tc>
        <w:tc>
          <w:tcPr>
            <w:tcW w:w="7114" w:type="dxa"/>
            <w:tcBorders>
              <w:top w:val="single" w:sz="4" w:space="0" w:color="000000" w:themeColor="text1"/>
              <w:left w:val="nil"/>
              <w:bottom w:val="single" w:sz="4" w:space="0" w:color="000000" w:themeColor="text1"/>
              <w:right w:val="single" w:sz="4" w:space="0" w:color="000000" w:themeColor="text1"/>
            </w:tcBorders>
            <w:vAlign w:val="center"/>
          </w:tcPr>
          <w:p w14:paraId="3C7F5A86" w14:textId="77777777" w:rsidR="00DA0204" w:rsidRDefault="00A65554">
            <w:pPr>
              <w:spacing w:after="0"/>
              <w:ind w:left="5"/>
            </w:pPr>
            <w:r w:rsidRPr="469445E7">
              <w:rPr>
                <w:rFonts w:ascii="Arial" w:eastAsia="Arial" w:hAnsi="Arial" w:cs="Arial"/>
                <w:sz w:val="24"/>
                <w:lang w:val="en-US"/>
              </w:rPr>
              <w:t xml:space="preserve">I prompted the replacement behavior while in the challenging context.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D5C99" w14:textId="77777777" w:rsidR="00DA0204" w:rsidRDefault="00A65554">
            <w:pPr>
              <w:spacing w:after="0"/>
              <w:ind w:left="38"/>
              <w:jc w:val="center"/>
            </w:pPr>
            <w:r>
              <w:rPr>
                <w:rFonts w:ascii="Arial" w:eastAsia="Arial" w:hAnsi="Arial" w:cs="Arial"/>
                <w:sz w:val="24"/>
              </w:rPr>
              <w:t xml:space="preserve">Y      N </w:t>
            </w:r>
          </w:p>
        </w:tc>
      </w:tr>
      <w:tr w:rsidR="00DA0204" w14:paraId="206E0F82" w14:textId="77777777" w:rsidTr="00E87BAD">
        <w:trPr>
          <w:trHeight w:val="807"/>
        </w:trPr>
        <w:tc>
          <w:tcPr>
            <w:tcW w:w="714" w:type="dxa"/>
            <w:tcBorders>
              <w:top w:val="single" w:sz="4" w:space="0" w:color="000000" w:themeColor="text1"/>
              <w:left w:val="single" w:sz="4" w:space="0" w:color="000000" w:themeColor="text1"/>
              <w:bottom w:val="single" w:sz="4" w:space="0" w:color="000000" w:themeColor="text1"/>
              <w:right w:val="nil"/>
            </w:tcBorders>
          </w:tcPr>
          <w:p w14:paraId="1F9EC98D" w14:textId="77777777" w:rsidR="00DA0204" w:rsidRDefault="00A65554">
            <w:pPr>
              <w:spacing w:after="0"/>
              <w:ind w:left="63"/>
              <w:jc w:val="center"/>
            </w:pPr>
            <w:r>
              <w:rPr>
                <w:rFonts w:ascii="Arial" w:eastAsia="Arial" w:hAnsi="Arial" w:cs="Arial"/>
                <w:b/>
                <w:sz w:val="24"/>
              </w:rPr>
              <w:t xml:space="preserve">7. </w:t>
            </w:r>
          </w:p>
        </w:tc>
        <w:tc>
          <w:tcPr>
            <w:tcW w:w="7114" w:type="dxa"/>
            <w:tcBorders>
              <w:top w:val="single" w:sz="4" w:space="0" w:color="000000" w:themeColor="text1"/>
              <w:left w:val="nil"/>
              <w:bottom w:val="single" w:sz="4" w:space="0" w:color="000000" w:themeColor="text1"/>
              <w:right w:val="single" w:sz="4" w:space="0" w:color="000000" w:themeColor="text1"/>
            </w:tcBorders>
            <w:vAlign w:val="center"/>
          </w:tcPr>
          <w:p w14:paraId="18C6A0E0" w14:textId="77777777" w:rsidR="00DA0204" w:rsidRDefault="00A65554">
            <w:pPr>
              <w:spacing w:after="0"/>
              <w:ind w:left="5"/>
            </w:pPr>
            <w:r w:rsidRPr="45D588CA">
              <w:rPr>
                <w:rFonts w:ascii="Arial" w:eastAsia="Arial" w:hAnsi="Arial" w:cs="Arial"/>
                <w:sz w:val="24"/>
                <w:lang w:val="en-US"/>
              </w:rPr>
              <w:t xml:space="preserve">I provided reinforcement for demonstrating the replacement behavior in the challenging context.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9445C" w14:textId="77777777" w:rsidR="00DA0204" w:rsidRDefault="00A65554">
            <w:pPr>
              <w:spacing w:after="0"/>
              <w:ind w:left="38"/>
              <w:jc w:val="center"/>
            </w:pPr>
            <w:r>
              <w:rPr>
                <w:rFonts w:ascii="Arial" w:eastAsia="Arial" w:hAnsi="Arial" w:cs="Arial"/>
                <w:sz w:val="24"/>
              </w:rPr>
              <w:t xml:space="preserve">Y      N </w:t>
            </w:r>
          </w:p>
        </w:tc>
      </w:tr>
      <w:tr w:rsidR="00DA0204" w14:paraId="323A4E7D" w14:textId="77777777" w:rsidTr="00E87BAD">
        <w:trPr>
          <w:trHeight w:val="523"/>
        </w:trPr>
        <w:tc>
          <w:tcPr>
            <w:tcW w:w="714"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672A6659" w14:textId="77777777" w:rsidR="00DA0204" w:rsidRDefault="00DA0204"/>
        </w:tc>
        <w:tc>
          <w:tcPr>
            <w:tcW w:w="7114"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vAlign w:val="center"/>
          </w:tcPr>
          <w:p w14:paraId="40FF8A5D" w14:textId="77777777" w:rsidR="00DA0204" w:rsidRDefault="00A65554">
            <w:pPr>
              <w:spacing w:after="0"/>
              <w:ind w:right="67"/>
              <w:jc w:val="right"/>
            </w:pPr>
            <w:r>
              <w:rPr>
                <w:rFonts w:ascii="Arial" w:eastAsia="Arial" w:hAnsi="Arial" w:cs="Arial"/>
                <w:b/>
                <w:sz w:val="24"/>
              </w:rPr>
              <w:t>Steps Completed</w:t>
            </w:r>
            <w:r>
              <w:rPr>
                <w:rFonts w:ascii="Arial" w:eastAsia="Arial" w:hAnsi="Arial" w:cs="Arial"/>
                <w:sz w:val="24"/>
              </w:rPr>
              <w:t xml:space="preserve"> </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2B45F14" w14:textId="77777777" w:rsidR="00DA0204" w:rsidRDefault="00A65554">
            <w:pPr>
              <w:spacing w:after="0"/>
              <w:ind w:left="110"/>
              <w:jc w:val="both"/>
            </w:pPr>
            <w:r>
              <w:rPr>
                <w:rFonts w:ascii="Arial" w:eastAsia="Arial" w:hAnsi="Arial" w:cs="Arial"/>
                <w:sz w:val="24"/>
              </w:rPr>
              <w:t xml:space="preserve">__/ 7 = __% </w:t>
            </w:r>
          </w:p>
        </w:tc>
      </w:tr>
    </w:tbl>
    <w:p w14:paraId="06610C73" w14:textId="77777777" w:rsidR="00DA0204" w:rsidRDefault="00A65554" w:rsidP="005F057C">
      <w:pPr>
        <w:spacing w:before="240" w:after="4" w:line="276" w:lineRule="auto"/>
        <w:ind w:left="-5" w:hanging="10"/>
        <w:rPr>
          <w:rFonts w:ascii="Arial" w:eastAsia="Arial" w:hAnsi="Arial" w:cs="Arial"/>
          <w:sz w:val="24"/>
        </w:rPr>
      </w:pPr>
      <w:r w:rsidRPr="009949BD">
        <w:rPr>
          <w:rFonts w:ascii="Arial" w:eastAsia="Arial" w:hAnsi="Arial" w:cs="Arial"/>
          <w:sz w:val="24"/>
        </w:rPr>
        <w:t xml:space="preserve">This tool is based on precorrection steps described in: </w:t>
      </w:r>
    </w:p>
    <w:p w14:paraId="1AD2269B" w14:textId="384FA172" w:rsidR="00DA0204" w:rsidRDefault="00A65554" w:rsidP="005F057C">
      <w:pPr>
        <w:spacing w:before="240" w:after="0" w:line="276" w:lineRule="auto"/>
        <w:rPr>
          <w:rFonts w:ascii="Arial" w:eastAsia="Arial" w:hAnsi="Arial" w:cs="Arial"/>
          <w:sz w:val="24"/>
        </w:rPr>
      </w:pPr>
      <w:r w:rsidRPr="009949BD">
        <w:rPr>
          <w:rFonts w:ascii="Arial" w:eastAsia="Arial" w:hAnsi="Arial" w:cs="Arial"/>
          <w:sz w:val="24"/>
        </w:rPr>
        <w:lastRenderedPageBreak/>
        <w:t xml:space="preserve"> Colvin, G., Sugai, G., &amp; Patching, B. (1993). Precorrection: an instructional approach for managing predictable problem behaviors. </w:t>
      </w:r>
      <w:r w:rsidRPr="009949BD">
        <w:rPr>
          <w:rFonts w:ascii="Arial" w:eastAsia="Arial" w:hAnsi="Arial" w:cs="Arial"/>
          <w:i/>
          <w:iCs/>
          <w:sz w:val="24"/>
        </w:rPr>
        <w:t>Academic Therapy</w:t>
      </w:r>
      <w:r w:rsidRPr="009949BD">
        <w:rPr>
          <w:rFonts w:ascii="Arial" w:eastAsia="Arial" w:hAnsi="Arial" w:cs="Arial"/>
          <w:sz w:val="24"/>
        </w:rPr>
        <w:t xml:space="preserve">, </w:t>
      </w:r>
      <w:r w:rsidRPr="009949BD">
        <w:rPr>
          <w:rFonts w:ascii="Arial" w:eastAsia="Arial" w:hAnsi="Arial" w:cs="Arial"/>
          <w:i/>
          <w:iCs/>
          <w:sz w:val="24"/>
        </w:rPr>
        <w:t>28</w:t>
      </w:r>
      <w:r w:rsidRPr="009949BD">
        <w:rPr>
          <w:rFonts w:ascii="Arial" w:eastAsia="Arial" w:hAnsi="Arial" w:cs="Arial"/>
          <w:sz w:val="24"/>
        </w:rPr>
        <w:t xml:space="preserve">(3), 143–150. </w:t>
      </w:r>
    </w:p>
    <w:p w14:paraId="77018644" w14:textId="77777777" w:rsidR="00DA0204" w:rsidRDefault="00A65554" w:rsidP="005F057C">
      <w:pPr>
        <w:spacing w:before="240" w:after="0" w:line="276" w:lineRule="auto"/>
        <w:rPr>
          <w:sz w:val="24"/>
        </w:rPr>
      </w:pPr>
      <w:hyperlink r:id="rId9">
        <w:r w:rsidRPr="009949BD">
          <w:rPr>
            <w:rFonts w:ascii="Arial" w:eastAsia="Arial" w:hAnsi="Arial" w:cs="Arial"/>
            <w:color w:val="0563C1"/>
            <w:sz w:val="24"/>
            <w:u w:val="single"/>
          </w:rPr>
          <w:t>https://doi.org/10.1177/105345129302800304</w:t>
        </w:r>
      </w:hyperlink>
      <w:hyperlink r:id="rId10">
        <w:r w:rsidRPr="009949BD">
          <w:rPr>
            <w:rFonts w:ascii="Arial" w:eastAsia="Arial" w:hAnsi="Arial" w:cs="Arial"/>
            <w:sz w:val="24"/>
          </w:rPr>
          <w:t xml:space="preserve"> </w:t>
        </w:r>
      </w:hyperlink>
    </w:p>
    <w:p w14:paraId="33527F5E" w14:textId="1F3F7618" w:rsidR="00DA0204" w:rsidRDefault="00A65554" w:rsidP="005F057C">
      <w:pPr>
        <w:spacing w:before="240" w:after="0" w:line="276" w:lineRule="auto"/>
        <w:rPr>
          <w:sz w:val="24"/>
        </w:rPr>
      </w:pPr>
      <w:r w:rsidRPr="009949BD">
        <w:rPr>
          <w:rFonts w:ascii="Arial" w:eastAsia="Arial" w:hAnsi="Arial" w:cs="Arial"/>
          <w:sz w:val="24"/>
        </w:rPr>
        <w:t xml:space="preserve"> Evanovich, L. L., &amp; Kern, L. (2018). Precorrection: Preventing Predictable Problem Behaviors in School Settings</w:t>
      </w:r>
      <w:r w:rsidRPr="009949BD">
        <w:rPr>
          <w:rFonts w:ascii="Arial" w:eastAsia="Arial" w:hAnsi="Arial" w:cs="Arial"/>
          <w:i/>
          <w:iCs/>
          <w:sz w:val="24"/>
        </w:rPr>
        <w:t>. Beyond Behavior, 27</w:t>
      </w:r>
      <w:r w:rsidRPr="009949BD">
        <w:rPr>
          <w:rFonts w:ascii="Arial" w:eastAsia="Arial" w:hAnsi="Arial" w:cs="Arial"/>
          <w:sz w:val="24"/>
        </w:rPr>
        <w:t xml:space="preserve">(2), 90-98. </w:t>
      </w:r>
      <w:hyperlink r:id="rId11">
        <w:r w:rsidRPr="009949BD">
          <w:rPr>
            <w:rFonts w:ascii="Arial" w:eastAsia="Arial" w:hAnsi="Arial" w:cs="Arial"/>
            <w:color w:val="0563C1"/>
            <w:sz w:val="24"/>
            <w:u w:val="single"/>
          </w:rPr>
          <w:t>https://doi.org/10.1177/1074295618769892</w:t>
        </w:r>
      </w:hyperlink>
      <w:hyperlink r:id="rId12">
        <w:r w:rsidRPr="009949BD">
          <w:rPr>
            <w:rFonts w:ascii="Arial" w:eastAsia="Arial" w:hAnsi="Arial" w:cs="Arial"/>
            <w:sz w:val="24"/>
          </w:rPr>
          <w:t xml:space="preserve"> </w:t>
        </w:r>
      </w:hyperlink>
    </w:p>
    <w:p w14:paraId="7DF2235A" w14:textId="231EE9F1" w:rsidR="00DA0204" w:rsidRDefault="00A65554" w:rsidP="005F057C">
      <w:pPr>
        <w:spacing w:before="240" w:after="17" w:line="276" w:lineRule="auto"/>
        <w:rPr>
          <w:rFonts w:ascii="Arial" w:eastAsia="Arial" w:hAnsi="Arial" w:cs="Arial"/>
          <w:sz w:val="24"/>
        </w:rPr>
      </w:pPr>
      <w:r w:rsidRPr="009949BD">
        <w:rPr>
          <w:rFonts w:ascii="Arial" w:eastAsia="Arial" w:hAnsi="Arial" w:cs="Arial"/>
          <w:sz w:val="24"/>
        </w:rPr>
        <w:t xml:space="preserve"> Harlacher, J. E. (2015). Designing effective classroom management. Marzano Research. </w:t>
      </w:r>
    </w:p>
    <w:sectPr w:rsidR="00DA0204" w:rsidSect="006877C6">
      <w:footerReference w:type="default" r:id="rId13"/>
      <w:footerReference w:type="first" r:id="rId14"/>
      <w:pgSz w:w="12240" w:h="15840"/>
      <w:pgMar w:top="1440" w:right="1700" w:bottom="1440" w:left="144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3206" w14:textId="77777777" w:rsidR="007B72BB" w:rsidRDefault="007B72BB" w:rsidP="008046C5">
      <w:pPr>
        <w:spacing w:after="0" w:line="240" w:lineRule="auto"/>
      </w:pPr>
      <w:r>
        <w:separator/>
      </w:r>
    </w:p>
  </w:endnote>
  <w:endnote w:type="continuationSeparator" w:id="0">
    <w:p w14:paraId="10735216" w14:textId="77777777" w:rsidR="007B72BB" w:rsidRDefault="007B72BB" w:rsidP="0080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15491"/>
      <w:docPartObj>
        <w:docPartGallery w:val="Page Numbers (Bottom of Page)"/>
        <w:docPartUnique/>
      </w:docPartObj>
    </w:sdtPr>
    <w:sdtEndPr>
      <w:rPr>
        <w:noProof/>
      </w:rPr>
    </w:sdtEndPr>
    <w:sdtContent>
      <w:p w14:paraId="79100FA4" w14:textId="269224C0" w:rsidR="00326723" w:rsidRDefault="00326723">
        <w:pPr>
          <w:pStyle w:val="Footer"/>
          <w:jc w:val="right"/>
        </w:pPr>
        <w:r w:rsidRPr="00F8552F">
          <w:rPr>
            <w:rFonts w:ascii="Arial" w:hAnsi="Arial" w:cs="Arial"/>
            <w:noProof/>
            <w:sz w:val="24"/>
          </w:rPr>
          <w:drawing>
            <wp:anchor distT="0" distB="0" distL="114300" distR="114300" simplePos="0" relativeHeight="251658241" behindDoc="0" locked="0" layoutInCell="1" allowOverlap="1" wp14:anchorId="10194FE0" wp14:editId="673D9C5F">
              <wp:simplePos x="0" y="0"/>
              <wp:positionH relativeFrom="column">
                <wp:posOffset>-629285</wp:posOffset>
              </wp:positionH>
              <wp:positionV relativeFrom="paragraph">
                <wp:posOffset>-122555</wp:posOffset>
              </wp:positionV>
              <wp:extent cx="1238250" cy="742950"/>
              <wp:effectExtent l="0" t="0" r="0" b="0"/>
              <wp:wrapNone/>
              <wp:docPr id="1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742950"/>
                      </a:xfrm>
                      <a:prstGeom prst="rect">
                        <a:avLst/>
                      </a:prstGeom>
                      <a:noFill/>
                      <a:ln>
                        <a:noFill/>
                      </a:ln>
                    </pic:spPr>
                  </pic:pic>
                </a:graphicData>
              </a:graphic>
            </wp:anchor>
          </w:drawing>
        </w:r>
        <w:r w:rsidRPr="00F8552F">
          <w:rPr>
            <w:rFonts w:ascii="Arial" w:hAnsi="Arial" w:cs="Arial"/>
            <w:sz w:val="24"/>
          </w:rPr>
          <w:fldChar w:fldCharType="begin"/>
        </w:r>
        <w:r w:rsidRPr="00F8552F">
          <w:rPr>
            <w:rFonts w:ascii="Arial" w:hAnsi="Arial" w:cs="Arial"/>
            <w:sz w:val="24"/>
          </w:rPr>
          <w:instrText xml:space="preserve"> PAGE   \* MERGEFORMAT </w:instrText>
        </w:r>
        <w:r w:rsidRPr="00F8552F">
          <w:rPr>
            <w:rFonts w:ascii="Arial" w:hAnsi="Arial" w:cs="Arial"/>
            <w:sz w:val="24"/>
          </w:rPr>
          <w:fldChar w:fldCharType="separate"/>
        </w:r>
        <w:r w:rsidRPr="00F8552F">
          <w:rPr>
            <w:rFonts w:ascii="Arial" w:hAnsi="Arial" w:cs="Arial"/>
            <w:noProof/>
            <w:sz w:val="24"/>
          </w:rPr>
          <w:t>2</w:t>
        </w:r>
        <w:r w:rsidRPr="00F8552F">
          <w:rPr>
            <w:rFonts w:ascii="Arial" w:hAnsi="Arial" w:cs="Arial"/>
            <w:noProof/>
            <w:sz w:val="24"/>
          </w:rPr>
          <w:fldChar w:fldCharType="end"/>
        </w:r>
      </w:p>
    </w:sdtContent>
  </w:sdt>
  <w:p w14:paraId="5B853926" w14:textId="52C9E63A" w:rsidR="008046C5" w:rsidRDefault="00804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7F5D" w14:textId="4EE100EE" w:rsidR="006877C6" w:rsidRDefault="000135A3">
    <w:pPr>
      <w:pStyle w:val="Footer"/>
    </w:pPr>
    <w:r>
      <w:rPr>
        <w:noProof/>
      </w:rPr>
      <w:drawing>
        <wp:anchor distT="0" distB="0" distL="114300" distR="114300" simplePos="0" relativeHeight="251658240" behindDoc="0" locked="0" layoutInCell="1" allowOverlap="1" wp14:anchorId="30020861" wp14:editId="21DB7FB4">
          <wp:simplePos x="0" y="0"/>
          <wp:positionH relativeFrom="page">
            <wp:align>center</wp:align>
          </wp:positionH>
          <wp:positionV relativeFrom="paragraph">
            <wp:posOffset>-133350</wp:posOffset>
          </wp:positionV>
          <wp:extent cx="7633771" cy="692150"/>
          <wp:effectExtent l="0" t="0" r="5715" b="0"/>
          <wp:wrapNone/>
          <wp:docPr id="11" name="Picture 7" descr="Tennessee Technical Assistance Network (TN-TAN) and Tennessee Tiered Supports Center (Tennessee TSC) Logos. Tennessee TSC is a member of TN-TAN and funded under grant contract with the State of Tennessee to provide training and support to schools and distri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Tennessee Technical Assistance Network (TN-TAN) and Tennessee Tiered Supports Center (Tennessee TSC) Logos. Tennessee TSC is a member of TN-TAN and funded under grant contract with the State of Tennessee to provide training and support to schools and district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771"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7C6">
      <w:rPr>
        <w:rStyle w:val="wacimagecontainer"/>
        <w:rFonts w:ascii="Segoe UI" w:hAnsi="Segoe UI" w:cs="Segoe UI"/>
        <w:noProof/>
        <w:sz w:val="18"/>
        <w:szCs w:val="18"/>
        <w:shd w:val="clear" w:color="auto" w:fill="FFFFFF"/>
      </w:rPr>
      <w:drawing>
        <wp:inline distT="0" distB="0" distL="0" distR="0" wp14:anchorId="7C77B7BA" wp14:editId="6D230EED">
          <wp:extent cx="57150" cy="222250"/>
          <wp:effectExtent l="0" t="0" r="0" b="0"/>
          <wp:docPr id="10" name="Picture 5" descr="Rectangle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ctangle 1, Text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 cy="222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55F9" w14:textId="77777777" w:rsidR="007B72BB" w:rsidRDefault="007B72BB" w:rsidP="008046C5">
      <w:pPr>
        <w:spacing w:after="0" w:line="240" w:lineRule="auto"/>
      </w:pPr>
      <w:r>
        <w:separator/>
      </w:r>
    </w:p>
  </w:footnote>
  <w:footnote w:type="continuationSeparator" w:id="0">
    <w:p w14:paraId="5E004A02" w14:textId="77777777" w:rsidR="007B72BB" w:rsidRDefault="007B72BB" w:rsidP="008046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04"/>
    <w:rsid w:val="000135A3"/>
    <w:rsid w:val="00053F3C"/>
    <w:rsid w:val="000560A8"/>
    <w:rsid w:val="00060FAA"/>
    <w:rsid w:val="00092B4A"/>
    <w:rsid w:val="000B387D"/>
    <w:rsid w:val="000B43DA"/>
    <w:rsid w:val="00131933"/>
    <w:rsid w:val="001373B0"/>
    <w:rsid w:val="00147F23"/>
    <w:rsid w:val="00172FCD"/>
    <w:rsid w:val="001C5484"/>
    <w:rsid w:val="001C79DD"/>
    <w:rsid w:val="001F0804"/>
    <w:rsid w:val="002140A2"/>
    <w:rsid w:val="002C1063"/>
    <w:rsid w:val="002F650D"/>
    <w:rsid w:val="00315ACE"/>
    <w:rsid w:val="00324798"/>
    <w:rsid w:val="00326723"/>
    <w:rsid w:val="00330B06"/>
    <w:rsid w:val="00333AEB"/>
    <w:rsid w:val="0034049F"/>
    <w:rsid w:val="003C4470"/>
    <w:rsid w:val="00462BD9"/>
    <w:rsid w:val="004D3D42"/>
    <w:rsid w:val="004E22A7"/>
    <w:rsid w:val="00554111"/>
    <w:rsid w:val="00573C6C"/>
    <w:rsid w:val="0059611E"/>
    <w:rsid w:val="005A3AF8"/>
    <w:rsid w:val="005B686F"/>
    <w:rsid w:val="005C736F"/>
    <w:rsid w:val="005E58FB"/>
    <w:rsid w:val="005F057C"/>
    <w:rsid w:val="006018C3"/>
    <w:rsid w:val="00630491"/>
    <w:rsid w:val="006541DF"/>
    <w:rsid w:val="00657F06"/>
    <w:rsid w:val="0067205D"/>
    <w:rsid w:val="006817E3"/>
    <w:rsid w:val="0068221F"/>
    <w:rsid w:val="006877C6"/>
    <w:rsid w:val="006D4E96"/>
    <w:rsid w:val="006D7737"/>
    <w:rsid w:val="006F3EBE"/>
    <w:rsid w:val="00720AE3"/>
    <w:rsid w:val="0075009E"/>
    <w:rsid w:val="007710B9"/>
    <w:rsid w:val="007918D6"/>
    <w:rsid w:val="007A5B3C"/>
    <w:rsid w:val="007B72BB"/>
    <w:rsid w:val="008046C5"/>
    <w:rsid w:val="00850F0D"/>
    <w:rsid w:val="00863B75"/>
    <w:rsid w:val="00865A57"/>
    <w:rsid w:val="008969C1"/>
    <w:rsid w:val="008971E5"/>
    <w:rsid w:val="008A7862"/>
    <w:rsid w:val="008D4EBB"/>
    <w:rsid w:val="009340F3"/>
    <w:rsid w:val="00934BBF"/>
    <w:rsid w:val="00943C82"/>
    <w:rsid w:val="00951B97"/>
    <w:rsid w:val="009949BD"/>
    <w:rsid w:val="00A27836"/>
    <w:rsid w:val="00A504E9"/>
    <w:rsid w:val="00A52FF8"/>
    <w:rsid w:val="00A53D88"/>
    <w:rsid w:val="00A65554"/>
    <w:rsid w:val="00AE06B2"/>
    <w:rsid w:val="00AE2A8B"/>
    <w:rsid w:val="00B224DD"/>
    <w:rsid w:val="00B37221"/>
    <w:rsid w:val="00B80E77"/>
    <w:rsid w:val="00BE7A82"/>
    <w:rsid w:val="00C41C52"/>
    <w:rsid w:val="00C55B97"/>
    <w:rsid w:val="00C6512A"/>
    <w:rsid w:val="00CC21A4"/>
    <w:rsid w:val="00CD134D"/>
    <w:rsid w:val="00CD7290"/>
    <w:rsid w:val="00D2556A"/>
    <w:rsid w:val="00D30803"/>
    <w:rsid w:val="00D44FDA"/>
    <w:rsid w:val="00D64040"/>
    <w:rsid w:val="00DA0204"/>
    <w:rsid w:val="00DB19D4"/>
    <w:rsid w:val="00DC02DF"/>
    <w:rsid w:val="00E52C45"/>
    <w:rsid w:val="00E7003C"/>
    <w:rsid w:val="00E74CFD"/>
    <w:rsid w:val="00E87BAD"/>
    <w:rsid w:val="00EA2491"/>
    <w:rsid w:val="00ED210F"/>
    <w:rsid w:val="00F33ED4"/>
    <w:rsid w:val="00F43D79"/>
    <w:rsid w:val="00F8552F"/>
    <w:rsid w:val="00FA0E1A"/>
    <w:rsid w:val="00FB7ECB"/>
    <w:rsid w:val="00FC0159"/>
    <w:rsid w:val="00FD43C4"/>
    <w:rsid w:val="00FF3817"/>
    <w:rsid w:val="0283B050"/>
    <w:rsid w:val="02CD32C4"/>
    <w:rsid w:val="0376E167"/>
    <w:rsid w:val="03AAA5B6"/>
    <w:rsid w:val="075601D5"/>
    <w:rsid w:val="082C1C60"/>
    <w:rsid w:val="16131D7A"/>
    <w:rsid w:val="1FBB00FB"/>
    <w:rsid w:val="243CA690"/>
    <w:rsid w:val="28FA6E2C"/>
    <w:rsid w:val="36F38B12"/>
    <w:rsid w:val="37DC5024"/>
    <w:rsid w:val="3F1455EC"/>
    <w:rsid w:val="3F1FB297"/>
    <w:rsid w:val="3F9408C8"/>
    <w:rsid w:val="43A45050"/>
    <w:rsid w:val="45D588CA"/>
    <w:rsid w:val="469445E7"/>
    <w:rsid w:val="4879D806"/>
    <w:rsid w:val="4D1F8648"/>
    <w:rsid w:val="5B21F42E"/>
    <w:rsid w:val="606B3B27"/>
    <w:rsid w:val="63E479D0"/>
    <w:rsid w:val="70F32A71"/>
    <w:rsid w:val="71CF875D"/>
    <w:rsid w:val="76ABE4F6"/>
    <w:rsid w:val="791549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844A4"/>
  <w15:docId w15:val="{3ED01D89-A1A6-443B-9693-B00A9653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en" w:eastAsia="en"/>
    </w:rPr>
  </w:style>
  <w:style w:type="paragraph" w:styleId="Heading1">
    <w:name w:val="heading 1"/>
    <w:basedOn w:val="Normal"/>
    <w:next w:val="Normal"/>
    <w:uiPriority w:val="9"/>
    <w:qFormat/>
    <w:rsid w:val="243CA690"/>
    <w:pPr>
      <w:spacing w:after="0"/>
      <w:ind w:left="262"/>
      <w:jc w:val="center"/>
      <w:outlineLvl w:val="0"/>
    </w:pPr>
    <w:rPr>
      <w:rFonts w:asciiTheme="minorHAnsi" w:eastAsiaTheme="minorEastAsia" w:hAnsiTheme="minorHAnsi" w:cstheme="minorBidi"/>
      <w:b/>
      <w:bCs/>
      <w:color w:val="0D2A5A"/>
      <w:sz w:val="28"/>
      <w:szCs w:val="28"/>
    </w:rPr>
  </w:style>
  <w:style w:type="paragraph" w:styleId="Heading2">
    <w:name w:val="heading 2"/>
    <w:basedOn w:val="Normal"/>
    <w:next w:val="Normal"/>
    <w:link w:val="Heading2Char"/>
    <w:uiPriority w:val="9"/>
    <w:unhideWhenUsed/>
    <w:qFormat/>
    <w:rsid w:val="243CA690"/>
    <w:pPr>
      <w:spacing w:after="0"/>
      <w:outlineLvl w:val="1"/>
    </w:pPr>
    <w:rPr>
      <w:rFonts w:asciiTheme="minorHAnsi" w:eastAsiaTheme="minorEastAsia" w:hAnsiTheme="minorHAnsi" w:cstheme="minorBidi"/>
      <w:b/>
      <w:bCs/>
      <w:sz w:val="24"/>
    </w:rPr>
  </w:style>
  <w:style w:type="paragraph" w:styleId="Heading3">
    <w:name w:val="heading 3"/>
    <w:basedOn w:val="Normal"/>
    <w:next w:val="Normal"/>
    <w:uiPriority w:val="9"/>
    <w:unhideWhenUsed/>
    <w:qFormat/>
    <w:rsid w:val="00F8552F"/>
    <w:pPr>
      <w:spacing w:before="240" w:after="240" w:line="276" w:lineRule="auto"/>
      <w:outlineLvl w:val="2"/>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65554"/>
    <w:rPr>
      <w:sz w:val="16"/>
      <w:szCs w:val="16"/>
    </w:rPr>
  </w:style>
  <w:style w:type="paragraph" w:styleId="CommentText">
    <w:name w:val="annotation text"/>
    <w:basedOn w:val="Normal"/>
    <w:link w:val="CommentTextChar"/>
    <w:uiPriority w:val="99"/>
    <w:unhideWhenUsed/>
    <w:rsid w:val="00A65554"/>
    <w:pPr>
      <w:spacing w:line="240" w:lineRule="auto"/>
    </w:pPr>
    <w:rPr>
      <w:sz w:val="20"/>
      <w:szCs w:val="20"/>
    </w:rPr>
  </w:style>
  <w:style w:type="character" w:customStyle="1" w:styleId="CommentTextChar">
    <w:name w:val="Comment Text Char"/>
    <w:basedOn w:val="DefaultParagraphFont"/>
    <w:link w:val="CommentText"/>
    <w:uiPriority w:val="99"/>
    <w:rsid w:val="00A65554"/>
    <w:rPr>
      <w:rFonts w:ascii="Calibri" w:eastAsia="Calibri" w:hAnsi="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A65554"/>
    <w:rPr>
      <w:b/>
      <w:bCs/>
    </w:rPr>
  </w:style>
  <w:style w:type="character" w:customStyle="1" w:styleId="CommentSubjectChar">
    <w:name w:val="Comment Subject Char"/>
    <w:basedOn w:val="CommentTextChar"/>
    <w:link w:val="CommentSubject"/>
    <w:uiPriority w:val="99"/>
    <w:semiHidden/>
    <w:rsid w:val="00A65554"/>
    <w:rPr>
      <w:rFonts w:ascii="Calibri" w:eastAsia="Calibri" w:hAnsi="Calibri" w:cs="Times New Roman"/>
      <w:b/>
      <w:bCs/>
      <w:color w:val="000000"/>
      <w:sz w:val="20"/>
      <w:szCs w:val="20"/>
      <w:lang w:val="en" w:eastAsia="en"/>
    </w:rPr>
  </w:style>
  <w:style w:type="character" w:styleId="Mention">
    <w:name w:val="Mention"/>
    <w:basedOn w:val="DefaultParagraphFont"/>
    <w:uiPriority w:val="99"/>
    <w:unhideWhenUsed/>
    <w:rsid w:val="00A65554"/>
    <w:rPr>
      <w:color w:val="2B579A"/>
      <w:shd w:val="clear" w:color="auto" w:fill="E1DFDD"/>
    </w:rPr>
  </w:style>
  <w:style w:type="paragraph" w:styleId="Header">
    <w:name w:val="header"/>
    <w:basedOn w:val="Normal"/>
    <w:link w:val="HeaderChar"/>
    <w:uiPriority w:val="99"/>
    <w:unhideWhenUsed/>
    <w:rsid w:val="00804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C5"/>
    <w:rPr>
      <w:rFonts w:ascii="Calibri" w:eastAsia="Calibri" w:hAnsi="Calibri" w:cs="Times New Roman"/>
      <w:color w:val="000000"/>
      <w:sz w:val="22"/>
      <w:lang w:val="en" w:eastAsia="en"/>
    </w:rPr>
  </w:style>
  <w:style w:type="paragraph" w:styleId="Footer">
    <w:name w:val="footer"/>
    <w:basedOn w:val="Normal"/>
    <w:link w:val="FooterChar"/>
    <w:uiPriority w:val="99"/>
    <w:unhideWhenUsed/>
    <w:rsid w:val="0080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C5"/>
    <w:rPr>
      <w:rFonts w:ascii="Calibri" w:eastAsia="Calibri" w:hAnsi="Calibri" w:cs="Times New Roman"/>
      <w:color w:val="000000"/>
      <w:sz w:val="22"/>
      <w:lang w:val="en" w:eastAsia="en"/>
    </w:rPr>
  </w:style>
  <w:style w:type="character" w:customStyle="1" w:styleId="Heading2Char">
    <w:name w:val="Heading 2 Char"/>
    <w:link w:val="Heading2"/>
    <w:uiPriority w:val="9"/>
    <w:rsid w:val="243CA690"/>
    <w:rPr>
      <w:rFonts w:asciiTheme="minorHAnsi" w:eastAsiaTheme="minorEastAsia" w:hAnsiTheme="minorHAnsi" w:cstheme="minorBidi"/>
      <w:b/>
      <w:bCs/>
      <w:sz w:val="24"/>
      <w:szCs w:val="24"/>
    </w:rPr>
  </w:style>
  <w:style w:type="table" w:styleId="TableGrid">
    <w:name w:val="Table Grid"/>
    <w:basedOn w:val="TableNormal"/>
    <w:uiPriority w:val="59"/>
    <w:rsid w:val="007A5B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687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i.org/10.1177/1074295618769892"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10742956187698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177/105345129302800304" TargetMode="External"/><Relationship Id="rId4" Type="http://schemas.openxmlformats.org/officeDocument/2006/relationships/styles" Target="styles.xml"/><Relationship Id="rId9" Type="http://schemas.openxmlformats.org/officeDocument/2006/relationships/hyperlink" Target="https://doi.org/10.1177/105345129302800304"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E047D5D-4484-7A44-8CE8-A8BDF180A880}">
    <t:Anchor>
      <t:Comment id="705250287"/>
    </t:Anchor>
    <t:History>
      <t:Event id="{C4031A2F-BA81-DB4B-8851-E9262139196E}" time="2024-06-04T12:42:39.544Z">
        <t:Attribution userId="S::jennifer.jordan26@tnedu.gov::da7db54e-048e-4abc-b2cd-c4c845a4aacd" userProvider="AD" userName="Jennifer Jordan"/>
        <t:Anchor>
          <t:Comment id="705250287"/>
        </t:Anchor>
        <t:Create/>
      </t:Event>
      <t:Event id="{FFAEB10C-E5B5-E54E-8D62-E9D9BA381C74}" time="2024-06-04T12:42:39.544Z">
        <t:Attribution userId="S::jennifer.jordan26@tnedu.gov::da7db54e-048e-4abc-b2cd-c4c845a4aacd" userProvider="AD" userName="Jennifer Jordan"/>
        <t:Anchor>
          <t:Comment id="705250287"/>
        </t:Anchor>
        <t:Assign userId="S::michael.holman2437@tnedu.gov::888ef494-9e31-4f1b-aea8-652e5ae51fae" userProvider="AD" userName="Michael Holman"/>
      </t:Event>
      <t:Event id="{9E9BA4E3-8F0E-6A4C-9C87-3107C9846440}" time="2024-06-04T12:42:39.544Z">
        <t:Attribution userId="S::jennifer.jordan26@tnedu.gov::da7db54e-048e-4abc-b2cd-c4c845a4aacd" userProvider="AD" userName="Jennifer Jordan"/>
        <t:Anchor>
          <t:Comment id="705250287"/>
        </t:Anchor>
        <t:SetTitle title="@Michael can you move all the references down to second pag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27254-906B-4908-AED9-CB8FA70D05C5}">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59440475-5F78-436A-B5F9-A322E9C09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A7982-ACD7-49A7-9F0D-5918D9786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Precorrection Checklist Option A</vt:lpstr>
    </vt:vector>
  </TitlesOfParts>
  <Company/>
  <LinksUpToDate>false</LinksUpToDate>
  <CharactersWithSpaces>1941</CharactersWithSpaces>
  <SharedDoc>false</SharedDoc>
  <HLinks>
    <vt:vector size="24" baseType="variant">
      <vt:variant>
        <vt:i4>1769563</vt:i4>
      </vt:variant>
      <vt:variant>
        <vt:i4>9</vt:i4>
      </vt:variant>
      <vt:variant>
        <vt:i4>0</vt:i4>
      </vt:variant>
      <vt:variant>
        <vt:i4>5</vt:i4>
      </vt:variant>
      <vt:variant>
        <vt:lpwstr>https://doi.org/10.1177/1074295618769892</vt:lpwstr>
      </vt:variant>
      <vt:variant>
        <vt:lpwstr/>
      </vt:variant>
      <vt:variant>
        <vt:i4>1769563</vt:i4>
      </vt:variant>
      <vt:variant>
        <vt:i4>6</vt:i4>
      </vt:variant>
      <vt:variant>
        <vt:i4>0</vt:i4>
      </vt:variant>
      <vt:variant>
        <vt:i4>5</vt:i4>
      </vt:variant>
      <vt:variant>
        <vt:lpwstr>https://doi.org/10.1177/1074295618769892</vt:lpwstr>
      </vt:variant>
      <vt:variant>
        <vt:lpwstr/>
      </vt:variant>
      <vt:variant>
        <vt:i4>2490476</vt:i4>
      </vt:variant>
      <vt:variant>
        <vt:i4>3</vt:i4>
      </vt:variant>
      <vt:variant>
        <vt:i4>0</vt:i4>
      </vt:variant>
      <vt:variant>
        <vt:i4>5</vt:i4>
      </vt:variant>
      <vt:variant>
        <vt:lpwstr>https://doi.org/10.1177/105345129302800304</vt:lpwstr>
      </vt:variant>
      <vt:variant>
        <vt:lpwstr/>
      </vt:variant>
      <vt:variant>
        <vt:i4>2490476</vt:i4>
      </vt:variant>
      <vt:variant>
        <vt:i4>0</vt:i4>
      </vt:variant>
      <vt:variant>
        <vt:i4>0</vt:i4>
      </vt:variant>
      <vt:variant>
        <vt:i4>5</vt:i4>
      </vt:variant>
      <vt:variant>
        <vt:lpwstr>https://doi.org/10.1177/105345129302800304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Precorrection Checklist Option A</dc:title>
  <dc:subject/>
  <dc:creator>Tennessee TSC</dc:creator>
  <cp:keywords/>
  <cp:lastModifiedBy>Kurlick, Kyle</cp:lastModifiedBy>
  <cp:revision>3</cp:revision>
  <dcterms:created xsi:type="dcterms:W3CDTF">2026-03-25T19:47:00Z</dcterms:created>
  <dcterms:modified xsi:type="dcterms:W3CDTF">2026-03-31T14:14:00Z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y fmtid="{D5CDD505-2E9C-101B-9397-08002B2CF9AE}" pid="4" name="GrammarlyDocumentId">
    <vt:lpwstr>b9c031ef-ba95-44cb-b557-6688c6b10929</vt:lpwstr>
  </property>
</Properties>
</file>