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7525" w14:textId="766C563E" w:rsidR="0073752A" w:rsidRPr="00692DD2" w:rsidRDefault="37374843" w:rsidP="007F625E">
      <w:pPr>
        <w:pStyle w:val="Heading1"/>
      </w:pPr>
      <w:r>
        <w:t xml:space="preserve">Instructional Coherence Module </w:t>
      </w:r>
      <w:r w:rsidR="00694FF1">
        <w:t>References</w:t>
      </w:r>
    </w:p>
    <w:p w14:paraId="3BADB4B5" w14:textId="599BBA00" w:rsidR="00563345" w:rsidRDefault="00563345" w:rsidP="00BF31B1">
      <w:r w:rsidRPr="00563345">
        <w:t xml:space="preserve">Baker, S. K., Fien, H., &amp; Baker, D. L. (2010). Robust reading instruction in the early grades: Conceptual and practical issues in the integration and evaluation of tier 1 and tier 2 instructional supports. </w:t>
      </w:r>
      <w:r w:rsidRPr="00563345">
        <w:rPr>
          <w:i/>
          <w:iCs/>
        </w:rPr>
        <w:t>Focus on Exceptional Children</w:t>
      </w:r>
      <w:r w:rsidRPr="00563345">
        <w:t xml:space="preserve">, </w:t>
      </w:r>
      <w:r w:rsidRPr="00563345">
        <w:rPr>
          <w:i/>
          <w:iCs/>
        </w:rPr>
        <w:t>42</w:t>
      </w:r>
      <w:r w:rsidRPr="00563345">
        <w:t xml:space="preserve">, 1–20. </w:t>
      </w:r>
    </w:p>
    <w:p w14:paraId="7D776F02" w14:textId="5C0D8BED" w:rsidR="00292516" w:rsidRPr="00292516" w:rsidRDefault="00292516" w:rsidP="007F625E">
      <w:pPr>
        <w:rPr>
          <w:rFonts w:eastAsia="Arial"/>
          <w:color w:val="000000"/>
        </w:rPr>
      </w:pPr>
      <w:r>
        <w:t xml:space="preserve">Burt., J. L. </w:t>
      </w:r>
      <w:r w:rsidR="005D2B87">
        <w:t>&amp;</w:t>
      </w:r>
      <w:r>
        <w:t xml:space="preserve"> Whitney, T. (2018). From resource room to the real world. </w:t>
      </w:r>
      <w:r>
        <w:rPr>
          <w:i/>
          <w:iCs/>
        </w:rPr>
        <w:t>Teaching Exceptional Children, 50</w:t>
      </w:r>
      <w:r>
        <w:t>(6). 364-372.</w:t>
      </w:r>
    </w:p>
    <w:p w14:paraId="5310843B" w14:textId="35B86B51" w:rsidR="00563345" w:rsidRDefault="00563345" w:rsidP="007F625E">
      <w:r w:rsidRPr="00563345">
        <w:t xml:space="preserve">Bruhn, A., Freeman, J., Kern, L., &amp; Hirn, R. (2022). Using feedback to improve student outcomes. In J. McLeskey, L. Maheady, B. Billingsley, M. T. Brownell, &amp; T. J. Lewis (Eds.), </w:t>
      </w:r>
      <w:r w:rsidRPr="00563345">
        <w:rPr>
          <w:i/>
          <w:iCs/>
        </w:rPr>
        <w:t xml:space="preserve">High leverage practices for inclusive classrooms </w:t>
      </w:r>
      <w:r w:rsidRPr="00563345">
        <w:t>(pp. 330-342). Routledge. DOI: 10.4324/9781003148609-27</w:t>
      </w:r>
    </w:p>
    <w:p w14:paraId="6C7A7581" w14:textId="41919F16" w:rsidR="00292516" w:rsidRDefault="00292516" w:rsidP="007F625E">
      <w:pPr>
        <w:rPr>
          <w:color w:val="000000"/>
        </w:rPr>
      </w:pPr>
      <w:r w:rsidRPr="5ECB7261">
        <w:t xml:space="preserve">Epstein, M., Atkins, M., Cullinan, D., Kutash, K., and Weaver, R. (2008). Reducing Behavior Problems in the Elementary School Classroom: A Practice Guide (NCEE #2008-012). Washington, DC: National Center for Education Evaluation and Regional Assistance, Institute of Education Sciences, U.S. Department of Education. Retrieved from </w:t>
      </w:r>
      <w:hyperlink r:id="rId11">
        <w:r w:rsidR="007515BB" w:rsidRPr="5ECB7261">
          <w:rPr>
            <w:rStyle w:val="Hyperlink"/>
            <w:rFonts w:eastAsia="Arial" w:cs="Arial"/>
            <w:sz w:val="22"/>
            <w:szCs w:val="22"/>
          </w:rPr>
          <w:t>https://ies.ed.gov/ncee/WWC/PracticeGuide/4</w:t>
        </w:r>
      </w:hyperlink>
      <w:r w:rsidR="007515BB" w:rsidRPr="5ECB7261">
        <w:t xml:space="preserve"> </w:t>
      </w:r>
    </w:p>
    <w:p w14:paraId="36E4D9C2" w14:textId="55E25B11" w:rsidR="00292516" w:rsidRDefault="00292516" w:rsidP="007F625E">
      <w:pPr>
        <w:rPr>
          <w:color w:val="000000"/>
        </w:rPr>
      </w:pPr>
      <w:r w:rsidRPr="5ECB7261">
        <w:t xml:space="preserve">Fien, H. F., Smith, J. M., Smolkowski, K., Baker, S. K., Nelson, N. J., &amp; Chaparro, E. (2015). An examination of the efficacy of a multitiered intervention on early reading outcomes for first grade students at risk for reading difficulties. </w:t>
      </w:r>
      <w:r w:rsidRPr="5ECB7261">
        <w:rPr>
          <w:i/>
          <w:iCs/>
        </w:rPr>
        <w:t>Journal of Learning Disabilities, 48</w:t>
      </w:r>
      <w:r w:rsidRPr="5ECB7261">
        <w:t xml:space="preserve">(6), 602-621. </w:t>
      </w:r>
    </w:p>
    <w:p w14:paraId="29785083" w14:textId="010724CE" w:rsidR="00292516" w:rsidRPr="003446F0" w:rsidRDefault="00292516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 w:themeColor="text1"/>
        </w:rPr>
        <w:t xml:space="preserve">Foorman, B., Beyler, N., Borradaile, K., Coyne, M., Denton, C. A., Dimino, J., Furgeson, J., Hayes, L., Henke, J., Justice, L., Keating, B., Lewis, W., Sattar, S., Streke, A., Wagner, R., &amp; Wissel, S. (2016). Foundational skills to support reading for understanding in kindergarten through 3rd grade (NCEE 2016-4008). Washington, DC: National Center for Education Evaluation and Regional Assistance (NCEE), Institute of Education Sciences, U.S. Department of Education. Retrieved from </w:t>
      </w:r>
      <w:hyperlink r:id="rId12">
        <w:r w:rsidR="007515BB" w:rsidRPr="003446F0">
          <w:rPr>
            <w:rStyle w:val="Hyperlink"/>
            <w:rFonts w:eastAsia="Arial" w:cs="Arial"/>
          </w:rPr>
          <w:t>https://ies.ed.gov/ncee/WWC/PracticeGuide/21</w:t>
        </w:r>
      </w:hyperlink>
      <w:r w:rsidR="007515BB" w:rsidRPr="003446F0">
        <w:rPr>
          <w:rFonts w:eastAsia="Arial" w:cs="Arial"/>
          <w:color w:val="000000" w:themeColor="text1"/>
        </w:rPr>
        <w:t xml:space="preserve"> </w:t>
      </w:r>
    </w:p>
    <w:p w14:paraId="0D876DBC" w14:textId="37AD85F3" w:rsidR="00292516" w:rsidRPr="003446F0" w:rsidRDefault="00292516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/>
        </w:rPr>
        <w:t xml:space="preserve">Fuchs, L. S., Fuchs, D., &amp; Malone, A. S. (2017). The taxonomy of intervention intensity. </w:t>
      </w:r>
      <w:r w:rsidRPr="003446F0">
        <w:rPr>
          <w:rFonts w:eastAsia="Arial" w:cs="Arial"/>
          <w:i/>
          <w:iCs/>
          <w:color w:val="000000"/>
        </w:rPr>
        <w:t>Teaching Exceptional Children, 50</w:t>
      </w:r>
      <w:r w:rsidRPr="003446F0">
        <w:rPr>
          <w:rFonts w:eastAsia="Arial" w:cs="Arial"/>
          <w:color w:val="000000"/>
        </w:rPr>
        <w:t xml:space="preserve">(1). 35-43. </w:t>
      </w:r>
    </w:p>
    <w:p w14:paraId="4362D0E8" w14:textId="5EF60817" w:rsidR="00292516" w:rsidRPr="003446F0" w:rsidRDefault="00292516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/>
        </w:rPr>
        <w:t xml:space="preserve">Fuchs, L.S., Newman-Gonchar, R., Schumacher, R., Dougherty, B., Bucka, N., Karp, K.S., Woodward, J., Clarke, B., Jordan, N. C., Gersten, R., Jayanthi, M., Keating, B., and Morgan, S. (2021). Assisting Students Struggling with Mathematics: Intervention in the Elementary Grades (WWC 2021006). Washington, DC: National Center for Education Evaluation and Regional Assistance (NCEE), Institute of Education Sciences, U.S. Department of Education. Retrieved from </w:t>
      </w:r>
      <w:hyperlink r:id="rId13" w:history="1">
        <w:r w:rsidR="007515BB" w:rsidRPr="003446F0">
          <w:rPr>
            <w:rStyle w:val="Hyperlink"/>
            <w:rFonts w:cs="Arial"/>
          </w:rPr>
          <w:t>https://ies.ed.gov/ncee/WWC/PracticeGuide/26</w:t>
        </w:r>
      </w:hyperlink>
      <w:r w:rsidR="007515BB" w:rsidRPr="003446F0">
        <w:t xml:space="preserve"> </w:t>
      </w:r>
    </w:p>
    <w:p w14:paraId="23012D9D" w14:textId="0B2F17F6" w:rsidR="0073752A" w:rsidRPr="003446F0" w:rsidRDefault="0073752A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/>
        </w:rPr>
        <w:t xml:space="preserve">Mariage, T. V., Winn, J. Tucker, N., &amp; Elliott, R. (2022). Provide scaffolded supports. In J. McLeskey, L. Maheady, B. Billingsley, M. T. Brownell, &amp; T. J. Lewis (Eds.), </w:t>
      </w:r>
      <w:r w:rsidRPr="003446F0">
        <w:rPr>
          <w:rFonts w:eastAsia="Arial" w:cs="Arial"/>
          <w:i/>
          <w:iCs/>
          <w:color w:val="000000"/>
        </w:rPr>
        <w:t xml:space="preserve">High leverage practices for inclusive classrooms </w:t>
      </w:r>
      <w:r w:rsidRPr="003446F0">
        <w:rPr>
          <w:rFonts w:eastAsia="Arial" w:cs="Arial"/>
          <w:color w:val="000000"/>
        </w:rPr>
        <w:t>(pp. 330-342). Routledge. DOI: 10.4324/9781003148609-27</w:t>
      </w:r>
    </w:p>
    <w:p w14:paraId="1750891E" w14:textId="1EA65CAE" w:rsidR="00292516" w:rsidRPr="003446F0" w:rsidRDefault="008C5E4E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/>
        </w:rPr>
        <w:t xml:space="preserve">Markelz, A. M., Scheeler, M. C., &amp; Lee. D. L. (2022). Teach students to maintain and generalize new learning across time and settings. In J. McLeskey, L. Maheady, B. Billingsley, M. T. Brownell, &amp; T. J. Lewis (Eds.), </w:t>
      </w:r>
      <w:r w:rsidRPr="003446F0">
        <w:rPr>
          <w:rFonts w:eastAsia="Arial" w:cs="Arial"/>
          <w:i/>
          <w:iCs/>
          <w:color w:val="000000"/>
        </w:rPr>
        <w:t xml:space="preserve">High leverage practices for inclusive classrooms </w:t>
      </w:r>
      <w:r w:rsidRPr="003446F0">
        <w:rPr>
          <w:rFonts w:eastAsia="Arial" w:cs="Arial"/>
          <w:color w:val="000000"/>
        </w:rPr>
        <w:t>(pp. 330-342). Routledge. DOI: 10.4324/9781003148609-27</w:t>
      </w:r>
    </w:p>
    <w:p w14:paraId="7918510E" w14:textId="6F3E51C8" w:rsidR="00292516" w:rsidRPr="003446F0" w:rsidRDefault="00292516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 w:themeColor="text1"/>
        </w:rPr>
        <w:t xml:space="preserve">McIntosh, K. &amp; MacKay, L. D. (2008). Enhancing generalization of social skills: Making social skills curricula effective after the lesson. </w:t>
      </w:r>
      <w:r w:rsidRPr="003446F0">
        <w:rPr>
          <w:rFonts w:eastAsia="Arial" w:cs="Arial"/>
          <w:i/>
          <w:iCs/>
          <w:color w:val="000000" w:themeColor="text1"/>
        </w:rPr>
        <w:t>Beyond Behavior, 18</w:t>
      </w:r>
      <w:r w:rsidRPr="003446F0">
        <w:rPr>
          <w:rFonts w:eastAsia="Arial" w:cs="Arial"/>
          <w:color w:val="000000" w:themeColor="text1"/>
        </w:rPr>
        <w:t xml:space="preserve">(1). 18-25. </w:t>
      </w:r>
    </w:p>
    <w:p w14:paraId="79C69D0E" w14:textId="5CC39747" w:rsidR="00292516" w:rsidRPr="003446F0" w:rsidRDefault="00292516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/>
        </w:rPr>
        <w:t xml:space="preserve">Nelson, G., Pfannenstiel, K. H., &amp; Edmonds, R. Z. (2019). Examining the alignment of mathematics instructional practices and mathematics vocabulary between core and intervention materials. </w:t>
      </w:r>
      <w:r w:rsidRPr="003446F0">
        <w:rPr>
          <w:rFonts w:eastAsia="Arial" w:cs="Arial"/>
          <w:i/>
          <w:iCs/>
          <w:color w:val="000000"/>
        </w:rPr>
        <w:t>Learning Disabilities Research &amp; Practice, 35</w:t>
      </w:r>
      <w:r w:rsidRPr="003446F0">
        <w:rPr>
          <w:rFonts w:eastAsia="Arial" w:cs="Arial"/>
          <w:color w:val="000000"/>
        </w:rPr>
        <w:t xml:space="preserve">(1), 14-24. </w:t>
      </w:r>
    </w:p>
    <w:p w14:paraId="2F361EAB" w14:textId="5670F87C" w:rsidR="00563345" w:rsidRPr="003446F0" w:rsidRDefault="00563345" w:rsidP="007F625E">
      <w:pPr>
        <w:rPr>
          <w:rFonts w:eastAsia="Arial" w:cs="Arial"/>
          <w:color w:val="000000"/>
        </w:rPr>
      </w:pPr>
      <w:r w:rsidRPr="003446F0">
        <w:rPr>
          <w:rFonts w:cs="Arial"/>
        </w:rPr>
        <w:t>Newman</w:t>
      </w:r>
      <w:r w:rsidR="00292516" w:rsidRPr="003446F0">
        <w:rPr>
          <w:rFonts w:cs="Arial"/>
        </w:rPr>
        <w:t>n</w:t>
      </w:r>
      <w:r w:rsidRPr="003446F0">
        <w:rPr>
          <w:rFonts w:cs="Arial"/>
        </w:rPr>
        <w:t xml:space="preserve">, F.M., Smith, B., Allensworth, E., Bryk, A.S. (2001). Instructional program coherence: what it is and why it should guide school improvement policy. </w:t>
      </w:r>
      <w:r w:rsidRPr="003446F0">
        <w:rPr>
          <w:rFonts w:cs="Arial"/>
          <w:i/>
          <w:iCs/>
        </w:rPr>
        <w:t xml:space="preserve">Educational Evaluation and Policy Analysis, </w:t>
      </w:r>
      <w:r w:rsidRPr="003446F0">
        <w:rPr>
          <w:rFonts w:cs="Arial"/>
        </w:rPr>
        <w:t xml:space="preserve">23(4) 297-321. </w:t>
      </w:r>
    </w:p>
    <w:p w14:paraId="5451A2F5" w14:textId="365EAB8B" w:rsidR="00292516" w:rsidRPr="003446F0" w:rsidRDefault="00292516" w:rsidP="007F625E">
      <w:pPr>
        <w:rPr>
          <w:rFonts w:cs="Arial"/>
        </w:rPr>
      </w:pPr>
      <w:r w:rsidRPr="003446F0">
        <w:rPr>
          <w:rFonts w:cs="Arial"/>
        </w:rPr>
        <w:t xml:space="preserve">Pratt, J. L., Wickerd, G. D., &amp; Steege, M. W. (2019). Generalization and maintenance. In </w:t>
      </w:r>
      <w:r w:rsidR="005D2B87" w:rsidRPr="003446F0">
        <w:rPr>
          <w:rFonts w:cs="Arial"/>
        </w:rPr>
        <w:t xml:space="preserve">S. G. Little &amp; A. Akin-Little (Eds.), </w:t>
      </w:r>
      <w:r w:rsidR="005D2B87" w:rsidRPr="003446F0">
        <w:rPr>
          <w:rFonts w:cs="Arial"/>
          <w:i/>
          <w:iCs/>
        </w:rPr>
        <w:t xml:space="preserve">Behavioral interventions in schools: Evidence-based positive strategies </w:t>
      </w:r>
      <w:r w:rsidR="005D2B87" w:rsidRPr="003446F0">
        <w:rPr>
          <w:rFonts w:cs="Arial"/>
        </w:rPr>
        <w:t xml:space="preserve">(97-111). ProQuest Ebook Central, </w:t>
      </w:r>
      <w:hyperlink r:id="rId14" w:history="1">
        <w:r w:rsidR="005D2B87" w:rsidRPr="003446F0">
          <w:rPr>
            <w:rStyle w:val="Hyperlink"/>
            <w:rFonts w:cs="Arial"/>
          </w:rPr>
          <w:t>https://ebookcentral.proquest.com/lib/vand/detail.action?docID=5738685</w:t>
        </w:r>
      </w:hyperlink>
      <w:r w:rsidR="005D2B87" w:rsidRPr="003446F0">
        <w:rPr>
          <w:rFonts w:cs="Arial"/>
        </w:rPr>
        <w:t xml:space="preserve"> </w:t>
      </w:r>
    </w:p>
    <w:p w14:paraId="4654ADC9" w14:textId="0E133A87" w:rsidR="00292516" w:rsidRPr="003446F0" w:rsidRDefault="00292516" w:rsidP="007F625E">
      <w:pPr>
        <w:rPr>
          <w:rFonts w:eastAsia="Arial" w:cs="Arial"/>
          <w:color w:val="000000"/>
        </w:rPr>
      </w:pPr>
      <w:r w:rsidRPr="003446F0">
        <w:rPr>
          <w:rFonts w:eastAsia="Arial" w:cs="Arial"/>
          <w:color w:val="000000"/>
        </w:rPr>
        <w:t xml:space="preserve">St. Martin, K., Vaughn, S., Troia, G., Fien, H., Coyne, M. (2020). </w:t>
      </w:r>
      <w:r w:rsidRPr="003446F0">
        <w:rPr>
          <w:rFonts w:eastAsia="Arial" w:cs="Arial"/>
          <w:i/>
          <w:iCs/>
          <w:color w:val="000000"/>
        </w:rPr>
        <w:t xml:space="preserve">Intensifying literacy instruction: Essential practices. </w:t>
      </w:r>
      <w:r w:rsidRPr="003446F0">
        <w:rPr>
          <w:rFonts w:eastAsia="Arial" w:cs="Arial"/>
          <w:color w:val="000000"/>
        </w:rPr>
        <w:t xml:space="preserve">Lansing, MI: MiMTSS Technical Assistance Center, Michigan Department of Education. </w:t>
      </w:r>
    </w:p>
    <w:p w14:paraId="4C1F8DCA" w14:textId="30F3B4A5" w:rsidR="00292516" w:rsidRPr="003446F0" w:rsidRDefault="00E40193" w:rsidP="007F625E">
      <w:pPr>
        <w:rPr>
          <w:i/>
          <w:iCs/>
        </w:rPr>
      </w:pPr>
      <w:r w:rsidRPr="003446F0">
        <w:t xml:space="preserve">Tennessee Department of Education. (2023, August). </w:t>
      </w:r>
      <w:r w:rsidRPr="003446F0">
        <w:rPr>
          <w:i/>
          <w:iCs/>
        </w:rPr>
        <w:t>Response to instruction and intervention manual.</w:t>
      </w:r>
      <w:r w:rsidR="00CA7DB3" w:rsidRPr="003446F0">
        <w:rPr>
          <w:rFonts w:eastAsia="Arial" w:cs="Arial"/>
        </w:rPr>
        <w:t xml:space="preserve"> </w:t>
      </w:r>
      <w:hyperlink r:id="rId15" w:history="1">
        <w:r w:rsidR="00CA7DB3" w:rsidRPr="003446F0">
          <w:rPr>
            <w:rStyle w:val="Hyperlink"/>
            <w:rFonts w:eastAsia="Arial" w:cs="Arial"/>
          </w:rPr>
          <w:t>https://www.tn.gov/content/dam/tn/education/special-education/rti/Updated_RTI2_Manual.pdf?mc_cid=e1022bdb85&amp;mc_eid=f4fb14e0ba</w:t>
        </w:r>
      </w:hyperlink>
    </w:p>
    <w:p w14:paraId="54ED6291" w14:textId="44DD6E9F" w:rsidR="00292516" w:rsidRPr="003446F0" w:rsidRDefault="00292516" w:rsidP="007F625E">
      <w:pPr>
        <w:rPr>
          <w:rFonts w:eastAsia="Arial" w:cs="Arial"/>
          <w:i/>
          <w:iCs/>
          <w:color w:val="000000"/>
        </w:rPr>
      </w:pPr>
      <w:r w:rsidRPr="003446F0">
        <w:rPr>
          <w:rFonts w:eastAsia="Arial" w:cs="Arial"/>
          <w:color w:val="000000" w:themeColor="text1"/>
        </w:rPr>
        <w:t xml:space="preserve">The New Teacher Project. (2021, May). </w:t>
      </w:r>
      <w:r w:rsidRPr="003446F0">
        <w:rPr>
          <w:rFonts w:eastAsia="Arial" w:cs="Arial"/>
          <w:i/>
          <w:iCs/>
          <w:color w:val="000000" w:themeColor="text1"/>
        </w:rPr>
        <w:t xml:space="preserve">Accelerate, don’t remediate: New evidence from elementary math classrooms. </w:t>
      </w:r>
      <w:hyperlink r:id="rId16">
        <w:r w:rsidRPr="003446F0">
          <w:rPr>
            <w:rStyle w:val="Hyperlink"/>
            <w:rFonts w:eastAsia="Arial" w:cs="Arial"/>
          </w:rPr>
          <w:t>https://tntp.org/publication/accelerate-dont-remediate/</w:t>
        </w:r>
      </w:hyperlink>
      <w:r w:rsidRPr="003446F0">
        <w:rPr>
          <w:rFonts w:eastAsia="Arial" w:cs="Arial"/>
          <w:i/>
          <w:iCs/>
          <w:color w:val="000000" w:themeColor="text1"/>
        </w:rPr>
        <w:t xml:space="preserve"> </w:t>
      </w:r>
    </w:p>
    <w:p w14:paraId="5F4400ED" w14:textId="77777777" w:rsidR="00292516" w:rsidRPr="003446F0" w:rsidRDefault="00292516" w:rsidP="007F625E">
      <w:pPr>
        <w:rPr>
          <w:rFonts w:eastAsia="Arial" w:cs="Arial"/>
          <w:i/>
          <w:iCs/>
          <w:color w:val="000000"/>
        </w:rPr>
      </w:pPr>
      <w:r w:rsidRPr="003446F0">
        <w:rPr>
          <w:rFonts w:eastAsia="Arial" w:cs="Arial"/>
          <w:iCs/>
          <w:color w:val="000000"/>
        </w:rPr>
        <w:t xml:space="preserve">The New Teacher Project. (2022, June). </w:t>
      </w:r>
      <w:r w:rsidRPr="003446F0">
        <w:rPr>
          <w:rFonts w:eastAsia="Arial" w:cs="Arial"/>
          <w:i/>
          <w:iCs/>
          <w:color w:val="000000"/>
        </w:rPr>
        <w:t xml:space="preserve">Instructional Coherence: A key to high-quality learning acceleration for all students. </w:t>
      </w:r>
      <w:hyperlink r:id="rId17" w:history="1">
        <w:r w:rsidRPr="003446F0">
          <w:rPr>
            <w:rStyle w:val="Hyperlink"/>
            <w:rFonts w:eastAsia="Arial" w:cs="Arial"/>
            <w:iCs/>
          </w:rPr>
          <w:t>https://tntp.org/covid-19-school-response-toolkit/view/instructional-coherence-a-key-to-high-quality-learning-acceleration-for-all</w:t>
        </w:r>
      </w:hyperlink>
      <w:r w:rsidRPr="003446F0">
        <w:rPr>
          <w:rFonts w:eastAsia="Arial" w:cs="Arial"/>
          <w:i/>
          <w:iCs/>
          <w:color w:val="000000"/>
        </w:rPr>
        <w:t xml:space="preserve"> </w:t>
      </w:r>
    </w:p>
    <w:p w14:paraId="322AD9A8" w14:textId="005E425B" w:rsidR="00292516" w:rsidRPr="003446F0" w:rsidRDefault="00292516" w:rsidP="007F625E">
      <w:pPr>
        <w:rPr>
          <w:rFonts w:eastAsia="Arial" w:cs="Arial"/>
          <w:i/>
          <w:iCs/>
          <w:color w:val="000000"/>
        </w:rPr>
      </w:pPr>
      <w:r w:rsidRPr="003446F0">
        <w:rPr>
          <w:rFonts w:eastAsia="Arial" w:cs="Arial"/>
          <w:i/>
          <w:iCs/>
          <w:color w:val="000000"/>
        </w:rPr>
        <w:t>TN ALL Corps. (2023, August). Instructional coherence between core instruction and tutoring district reflection tool. Tennessee Department of Education. </w:t>
      </w:r>
      <w:hyperlink r:id="rId18" w:tgtFrame="_blank" w:history="1">
        <w:r w:rsidRPr="003446F0">
          <w:rPr>
            <w:rStyle w:val="Hyperlink"/>
            <w:rFonts w:eastAsia="Arial" w:cs="Arial"/>
            <w:i/>
            <w:iCs/>
          </w:rPr>
          <w:t>https://bestforall-cms.tnedu.gov/sites/default/files/documents/August%202023%20Convening%20Instructional%20Coherence%20District%20Reflection%20Tool.pdf</w:t>
        </w:r>
      </w:hyperlink>
      <w:r w:rsidRPr="003446F0">
        <w:rPr>
          <w:rFonts w:eastAsia="Arial" w:cs="Arial"/>
          <w:i/>
          <w:iCs/>
          <w:color w:val="000000"/>
        </w:rPr>
        <w:t> </w:t>
      </w:r>
    </w:p>
    <w:p w14:paraId="72E8C505" w14:textId="1D85E9EF" w:rsidR="009E485F" w:rsidRPr="003703B4" w:rsidRDefault="00292516" w:rsidP="007F625E">
      <w:pPr>
        <w:rPr>
          <w:rFonts w:eastAsia="Arial" w:cs="Arial"/>
          <w:iCs/>
          <w:color w:val="000000"/>
          <w:sz w:val="22"/>
          <w:szCs w:val="22"/>
        </w:rPr>
      </w:pPr>
      <w:r w:rsidRPr="003446F0">
        <w:rPr>
          <w:rFonts w:eastAsia="Arial" w:cs="Arial"/>
          <w:iCs/>
          <w:color w:val="000000"/>
        </w:rPr>
        <w:t xml:space="preserve">Torgesen, J. K., Alexander, A. W., Wagner, R. K., Rashotte, C. A., Voeller, K. K., &amp; Conway, T. (2001). Intensive remedial instruction for children with severe reading disabilities: Immediate and long-term outcomes from two instructional approaches. </w:t>
      </w:r>
      <w:r w:rsidRPr="003446F0">
        <w:rPr>
          <w:rFonts w:eastAsia="Arial" w:cs="Arial"/>
          <w:i/>
          <w:iCs/>
          <w:color w:val="000000"/>
        </w:rPr>
        <w:t>Journal of Learning Disa</w:t>
      </w:r>
      <w:r w:rsidRPr="00292516">
        <w:rPr>
          <w:rFonts w:eastAsia="Arial" w:cs="Arial"/>
          <w:i/>
          <w:iCs/>
          <w:color w:val="000000"/>
          <w:sz w:val="22"/>
          <w:szCs w:val="22"/>
        </w:rPr>
        <w:t>bilities, 34</w:t>
      </w:r>
      <w:r w:rsidRPr="00292516">
        <w:rPr>
          <w:rFonts w:eastAsia="Arial" w:cs="Arial"/>
          <w:iCs/>
          <w:color w:val="000000"/>
          <w:sz w:val="22"/>
          <w:szCs w:val="22"/>
        </w:rPr>
        <w:t xml:space="preserve">(1), 33-58, 78. </w:t>
      </w:r>
    </w:p>
    <w:sectPr w:rsidR="009E485F" w:rsidRPr="003703B4">
      <w:footerReference w:type="even" r:id="rId19"/>
      <w:footerReference w:type="default" r:id="rId20"/>
      <w:footerReference w:type="first" r:id="rId2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73DD" w14:textId="77777777" w:rsidR="00901C18" w:rsidRDefault="00901C18">
      <w:r>
        <w:separator/>
      </w:r>
    </w:p>
  </w:endnote>
  <w:endnote w:type="continuationSeparator" w:id="0">
    <w:p w14:paraId="6C943635" w14:textId="77777777" w:rsidR="00901C18" w:rsidRDefault="0090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CC5" w14:textId="77777777" w:rsidR="009E485F" w:rsidRDefault="00694F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18003D" w14:textId="77777777" w:rsidR="009E485F" w:rsidRDefault="009E4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A7E5" w14:textId="72F4C65F" w:rsidR="009E485F" w:rsidRPr="0001296A" w:rsidRDefault="00344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8"/>
        <w:szCs w:val="28"/>
      </w:rPr>
    </w:pPr>
    <w:r w:rsidRPr="0001296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60FB7DBC" wp14:editId="76CB54AA">
          <wp:simplePos x="0" y="0"/>
          <wp:positionH relativeFrom="column">
            <wp:posOffset>211</wp:posOffset>
          </wp:positionH>
          <wp:positionV relativeFrom="paragraph">
            <wp:posOffset>-184029</wp:posOffset>
          </wp:positionV>
          <wp:extent cx="1249427" cy="749656"/>
          <wp:effectExtent l="0" t="0" r="0" b="0"/>
          <wp:wrapNone/>
          <wp:docPr id="2" name="image2.png">
            <a:extLst xmlns:a="http://schemas.openxmlformats.org/drawingml/2006/main">
              <a:ext uri="{FF2B5EF4-FFF2-40B4-BE49-F238E27FC236}">
                <a16:creationId xmlns:a16="http://schemas.microsoft.com/office/drawing/2014/main" id="{A3FC0991-D9EC-4E20-9275-CE64B2287DFC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4FF1" w:rsidRPr="0001296A">
      <w:rPr>
        <w:rFonts w:eastAsia="Arial" w:cs="Arial"/>
        <w:color w:val="000000"/>
      </w:rPr>
      <w:fldChar w:fldCharType="begin"/>
    </w:r>
    <w:r w:rsidR="00694FF1" w:rsidRPr="0001296A">
      <w:rPr>
        <w:rFonts w:eastAsia="Arial" w:cs="Arial"/>
        <w:color w:val="000000"/>
      </w:rPr>
      <w:instrText>PAGE</w:instrText>
    </w:r>
    <w:r w:rsidR="00694FF1" w:rsidRPr="0001296A">
      <w:rPr>
        <w:rFonts w:eastAsia="Arial" w:cs="Arial"/>
        <w:color w:val="000000"/>
      </w:rPr>
      <w:fldChar w:fldCharType="separate"/>
    </w:r>
    <w:r w:rsidR="00D73B19" w:rsidRPr="0001296A">
      <w:rPr>
        <w:rFonts w:eastAsia="Arial" w:cs="Arial"/>
        <w:noProof/>
        <w:color w:val="000000"/>
      </w:rPr>
      <w:t>2</w:t>
    </w:r>
    <w:r w:rsidR="00694FF1" w:rsidRPr="0001296A">
      <w:rPr>
        <w:rFonts w:eastAsia="Arial" w:cs="Arial"/>
        <w:color w:val="000000"/>
      </w:rPr>
      <w:fldChar w:fldCharType="end"/>
    </w:r>
  </w:p>
  <w:p w14:paraId="2ADEE64B" w14:textId="39EA7770" w:rsidR="009E485F" w:rsidRDefault="009E4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436E" w14:textId="3F402640" w:rsidR="009E485F" w:rsidRDefault="009F18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27C2F38A" wp14:editId="079C56B6">
          <wp:simplePos x="0" y="0"/>
          <wp:positionH relativeFrom="column">
            <wp:posOffset>0</wp:posOffset>
          </wp:positionH>
          <wp:positionV relativeFrom="paragraph">
            <wp:posOffset>175098</wp:posOffset>
          </wp:positionV>
          <wp:extent cx="6986607" cy="615923"/>
          <wp:effectExtent l="0" t="0" r="0" b="0"/>
          <wp:wrapNone/>
          <wp:docPr id="1" name="image1.jpg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<a:extLst xmlns:a="http://schemas.openxmlformats.org/drawingml/2006/main">
              <a:ext uri="{FF2B5EF4-FFF2-40B4-BE49-F238E27FC236}">
                <a16:creationId xmlns:a16="http://schemas.microsoft.com/office/drawing/2014/main" id="{42D54BEB-9511-41EA-9692-1875D0DF5CE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ennessee Technical Assistance Network (TN-TAN) and Tennessee Tiered Supports Center (Tennessee TSC) Logos. Tennessee TSC is a member of TN-TAN and funded under grant contract with the State of Tennessee to provide training and support to schools and districts.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7A4E" w14:textId="77777777" w:rsidR="00901C18" w:rsidRDefault="00901C18">
      <w:r>
        <w:separator/>
      </w:r>
    </w:p>
  </w:footnote>
  <w:footnote w:type="continuationSeparator" w:id="0">
    <w:p w14:paraId="72EFABCC" w14:textId="77777777" w:rsidR="00901C18" w:rsidRDefault="0090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010"/>
    <w:multiLevelType w:val="hybridMultilevel"/>
    <w:tmpl w:val="BD308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735C02"/>
    <w:multiLevelType w:val="hybridMultilevel"/>
    <w:tmpl w:val="E1F6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0EB0"/>
    <w:multiLevelType w:val="hybridMultilevel"/>
    <w:tmpl w:val="6984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284806">
    <w:abstractNumId w:val="2"/>
  </w:num>
  <w:num w:numId="2" w16cid:durableId="182669055">
    <w:abstractNumId w:val="1"/>
  </w:num>
  <w:num w:numId="3" w16cid:durableId="5537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85F"/>
    <w:rsid w:val="0001296A"/>
    <w:rsid w:val="000220C7"/>
    <w:rsid w:val="00055568"/>
    <w:rsid w:val="00097244"/>
    <w:rsid w:val="000E453B"/>
    <w:rsid w:val="000F5E05"/>
    <w:rsid w:val="00104A73"/>
    <w:rsid w:val="00124A21"/>
    <w:rsid w:val="00127B6F"/>
    <w:rsid w:val="00133227"/>
    <w:rsid w:val="00140841"/>
    <w:rsid w:val="001421F7"/>
    <w:rsid w:val="00161D2B"/>
    <w:rsid w:val="00197FFB"/>
    <w:rsid w:val="001A07AA"/>
    <w:rsid w:val="001B0D4C"/>
    <w:rsid w:val="001B5905"/>
    <w:rsid w:val="001B70A1"/>
    <w:rsid w:val="001F368A"/>
    <w:rsid w:val="001F4FC0"/>
    <w:rsid w:val="00206052"/>
    <w:rsid w:val="00232908"/>
    <w:rsid w:val="00237DCA"/>
    <w:rsid w:val="00245491"/>
    <w:rsid w:val="002543FC"/>
    <w:rsid w:val="00292516"/>
    <w:rsid w:val="00311BBE"/>
    <w:rsid w:val="003266CA"/>
    <w:rsid w:val="0033509B"/>
    <w:rsid w:val="003446F0"/>
    <w:rsid w:val="003703B4"/>
    <w:rsid w:val="00394AC3"/>
    <w:rsid w:val="0039716F"/>
    <w:rsid w:val="00397179"/>
    <w:rsid w:val="003A0D69"/>
    <w:rsid w:val="003A5A24"/>
    <w:rsid w:val="003A5EF0"/>
    <w:rsid w:val="003C0F48"/>
    <w:rsid w:val="003C2176"/>
    <w:rsid w:val="003C4C21"/>
    <w:rsid w:val="003D05EA"/>
    <w:rsid w:val="00404609"/>
    <w:rsid w:val="00410227"/>
    <w:rsid w:val="00436E1A"/>
    <w:rsid w:val="004F74B5"/>
    <w:rsid w:val="00521616"/>
    <w:rsid w:val="0054098F"/>
    <w:rsid w:val="0055417E"/>
    <w:rsid w:val="00554984"/>
    <w:rsid w:val="00563345"/>
    <w:rsid w:val="0059266B"/>
    <w:rsid w:val="005968FB"/>
    <w:rsid w:val="00597527"/>
    <w:rsid w:val="005C0421"/>
    <w:rsid w:val="005C2094"/>
    <w:rsid w:val="005D2B87"/>
    <w:rsid w:val="005F5ACA"/>
    <w:rsid w:val="00622999"/>
    <w:rsid w:val="006232EE"/>
    <w:rsid w:val="00632593"/>
    <w:rsid w:val="00647835"/>
    <w:rsid w:val="00692DD2"/>
    <w:rsid w:val="00694FF1"/>
    <w:rsid w:val="006E6EFA"/>
    <w:rsid w:val="007121FA"/>
    <w:rsid w:val="0073752A"/>
    <w:rsid w:val="00741080"/>
    <w:rsid w:val="007515BB"/>
    <w:rsid w:val="00761EF9"/>
    <w:rsid w:val="007C3169"/>
    <w:rsid w:val="007F625E"/>
    <w:rsid w:val="00837C12"/>
    <w:rsid w:val="008575A9"/>
    <w:rsid w:val="008701E1"/>
    <w:rsid w:val="00890644"/>
    <w:rsid w:val="008C5E4E"/>
    <w:rsid w:val="00901C18"/>
    <w:rsid w:val="0092157E"/>
    <w:rsid w:val="0092175E"/>
    <w:rsid w:val="00931E80"/>
    <w:rsid w:val="00945100"/>
    <w:rsid w:val="00961C60"/>
    <w:rsid w:val="0096592A"/>
    <w:rsid w:val="00976108"/>
    <w:rsid w:val="009E411C"/>
    <w:rsid w:val="009E485F"/>
    <w:rsid w:val="009F1876"/>
    <w:rsid w:val="00A02584"/>
    <w:rsid w:val="00A063A4"/>
    <w:rsid w:val="00A4551E"/>
    <w:rsid w:val="00A565F9"/>
    <w:rsid w:val="00A84172"/>
    <w:rsid w:val="00A931D8"/>
    <w:rsid w:val="00AE363A"/>
    <w:rsid w:val="00B05B5C"/>
    <w:rsid w:val="00B166B1"/>
    <w:rsid w:val="00B303BF"/>
    <w:rsid w:val="00B308E8"/>
    <w:rsid w:val="00B33269"/>
    <w:rsid w:val="00B647BE"/>
    <w:rsid w:val="00B774A2"/>
    <w:rsid w:val="00B845C6"/>
    <w:rsid w:val="00B874FE"/>
    <w:rsid w:val="00BC4A70"/>
    <w:rsid w:val="00BD71E1"/>
    <w:rsid w:val="00BE17FD"/>
    <w:rsid w:val="00BF31B1"/>
    <w:rsid w:val="00C2000C"/>
    <w:rsid w:val="00C21D83"/>
    <w:rsid w:val="00C21F41"/>
    <w:rsid w:val="00C42888"/>
    <w:rsid w:val="00C92DEB"/>
    <w:rsid w:val="00CA618E"/>
    <w:rsid w:val="00CA7DB3"/>
    <w:rsid w:val="00D01CAF"/>
    <w:rsid w:val="00D73B19"/>
    <w:rsid w:val="00D83C33"/>
    <w:rsid w:val="00D9782A"/>
    <w:rsid w:val="00DB452B"/>
    <w:rsid w:val="00DD72D8"/>
    <w:rsid w:val="00E133EE"/>
    <w:rsid w:val="00E40193"/>
    <w:rsid w:val="00E75DFE"/>
    <w:rsid w:val="00E835FD"/>
    <w:rsid w:val="00EF16EE"/>
    <w:rsid w:val="00F12658"/>
    <w:rsid w:val="00F70DF1"/>
    <w:rsid w:val="00FC4ACD"/>
    <w:rsid w:val="00FD3988"/>
    <w:rsid w:val="00FF6CAC"/>
    <w:rsid w:val="01EE851D"/>
    <w:rsid w:val="0354EC80"/>
    <w:rsid w:val="04F9534D"/>
    <w:rsid w:val="06EB708E"/>
    <w:rsid w:val="10B0F26E"/>
    <w:rsid w:val="13C8EDC1"/>
    <w:rsid w:val="326FC46E"/>
    <w:rsid w:val="34A77363"/>
    <w:rsid w:val="351583DD"/>
    <w:rsid w:val="359D9ABA"/>
    <w:rsid w:val="37374843"/>
    <w:rsid w:val="3A062A40"/>
    <w:rsid w:val="47C0AF43"/>
    <w:rsid w:val="4966A645"/>
    <w:rsid w:val="496B8F9F"/>
    <w:rsid w:val="4E99B794"/>
    <w:rsid w:val="53F71695"/>
    <w:rsid w:val="56BAFC7E"/>
    <w:rsid w:val="5783D29E"/>
    <w:rsid w:val="5CB586C8"/>
    <w:rsid w:val="5E13C264"/>
    <w:rsid w:val="5ECB7261"/>
    <w:rsid w:val="60E9D0BD"/>
    <w:rsid w:val="7451E941"/>
    <w:rsid w:val="77F83ED1"/>
    <w:rsid w:val="7D2AD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B26FD"/>
  <w15:docId w15:val="{523991E1-5C63-4A8F-A707-E04D69EA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9"/>
    <w:pPr>
      <w:spacing w:after="240" w:line="276" w:lineRule="auto"/>
      <w:ind w:left="720" w:hanging="72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39716F"/>
    <w:pPr>
      <w:keepNext/>
      <w:keepLines/>
      <w:jc w:val="center"/>
      <w:outlineLvl w:val="0"/>
    </w:pPr>
    <w:rPr>
      <w:rFonts w:ascii="Georgia" w:hAnsi="Georgia"/>
      <w:b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3D05EA"/>
  </w:style>
  <w:style w:type="character" w:styleId="Hyperlink">
    <w:name w:val="Hyperlink"/>
    <w:basedOn w:val="DefaultParagraphFont"/>
    <w:uiPriority w:val="99"/>
    <w:unhideWhenUsed/>
    <w:rsid w:val="003D05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752A"/>
    <w:pPr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0605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9266B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D2B"/>
  </w:style>
  <w:style w:type="paragraph" w:styleId="Footer">
    <w:name w:val="footer"/>
    <w:basedOn w:val="Normal"/>
    <w:link w:val="FooterChar"/>
    <w:uiPriority w:val="99"/>
    <w:semiHidden/>
    <w:unhideWhenUsed/>
    <w:rsid w:val="00161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s.ed.gov/ncee/WWC/PracticeGuide/26" TargetMode="External"/><Relationship Id="rId18" Type="http://schemas.openxmlformats.org/officeDocument/2006/relationships/hyperlink" Target="https://bestforall-cms.tnedu.gov/sites/default/files/documents/August%202023%20Convening%20Instructional%20Coherence%20District%20Reflection%20Tool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es.ed.gov/ncee/WWC/PracticeGuide/21" TargetMode="External"/><Relationship Id="rId17" Type="http://schemas.openxmlformats.org/officeDocument/2006/relationships/hyperlink" Target="https://tntp.org/covid-19-school-response-toolkit/view/instructional-coherence-a-key-to-high-quality-learning-acceleration-for-a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ntp.org/publication/accelerate-dont-remediat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s.ed.gov/ncee/WWC/PracticeGuide/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n.gov/content/dam/tn/education/special-education/rti/Updated_RTI2_Manual.pdf?mc_cid=e1022bdb85&amp;mc_eid=f4fb14e0b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bookcentral.proquest.com/lib/vand/detail.action?docID=5738685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ebbMfxkI0f2V2EBZvqcWK0wGnw==">CgMxLjA4AHIhMVUxcGlsTEsyZVE0MHBrV0VDck5uRFBNOEFwYUJnU3Jo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D486DE-2372-4A12-94C6-2158CD2A00BD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7CDACA8E-E821-40FC-A36B-D27F3FF5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A862D-F352-4D25-978F-310C65D55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Coherence Module References</dc:title>
  <dc:subject/>
  <dc:creator>Tennessee TSC</dc:creator>
  <cp:keywords/>
  <dc:description/>
  <cp:lastModifiedBy>Mical, Malgorzada</cp:lastModifiedBy>
  <cp:revision>23</cp:revision>
  <cp:lastPrinted>2024-04-09T16:33:00Z</cp:lastPrinted>
  <dcterms:created xsi:type="dcterms:W3CDTF">2024-05-14T12:55:00Z</dcterms:created>
  <dcterms:modified xsi:type="dcterms:W3CDTF">2026-06-05T15:53:00Z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