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501C2" w14:textId="77777777" w:rsidR="002853C7" w:rsidRDefault="004928E7" w:rsidP="00EE3A2B">
      <w:pPr>
        <w:spacing w:after="0" w:line="200" w:lineRule="exact"/>
        <w:rPr>
          <w:sz w:val="20"/>
          <w:szCs w:val="20"/>
        </w:rPr>
      </w:pPr>
      <w:bookmarkStart w:id="0" w:name="_Hlk110531073"/>
      <w:bookmarkStart w:id="1" w:name="_Hlk161332424"/>
      <w:bookmarkEnd w:id="0"/>
      <w:r w:rsidRPr="00AD0FF8">
        <w:rPr>
          <w:noProof/>
          <w:sz w:val="20"/>
          <w:szCs w:val="20"/>
        </w:rPr>
        <w:drawing>
          <wp:inline distT="0" distB="0" distL="0" distR="0" wp14:anchorId="3671CD18" wp14:editId="46D5E929">
            <wp:extent cx="5595620" cy="22002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8"/>
                    <a:stretch>
                      <a:fillRect/>
                    </a:stretch>
                  </pic:blipFill>
                  <pic:spPr>
                    <a:xfrm>
                      <a:off x="0" y="0"/>
                      <a:ext cx="5595620" cy="2200275"/>
                    </a:xfrm>
                    <a:prstGeom prst="rect">
                      <a:avLst/>
                    </a:prstGeom>
                  </pic:spPr>
                </pic:pic>
              </a:graphicData>
            </a:graphic>
          </wp:inline>
        </w:drawing>
      </w:r>
    </w:p>
    <w:p w14:paraId="33D13FF3" w14:textId="77777777" w:rsidR="002853C7" w:rsidRDefault="002853C7">
      <w:pPr>
        <w:spacing w:after="0" w:line="200" w:lineRule="exact"/>
        <w:rPr>
          <w:sz w:val="20"/>
          <w:szCs w:val="20"/>
        </w:rPr>
      </w:pPr>
    </w:p>
    <w:p w14:paraId="7D8F2A43" w14:textId="77777777" w:rsidR="002853C7" w:rsidRDefault="002853C7">
      <w:pPr>
        <w:spacing w:after="0" w:line="200" w:lineRule="exact"/>
        <w:rPr>
          <w:sz w:val="20"/>
          <w:szCs w:val="20"/>
        </w:rPr>
      </w:pPr>
    </w:p>
    <w:p w14:paraId="78553623" w14:textId="77777777" w:rsidR="00583C2C" w:rsidRDefault="00583C2C" w:rsidP="00601DA3">
      <w:pPr>
        <w:spacing w:after="0" w:line="240" w:lineRule="auto"/>
        <w:ind w:left="1890" w:right="1901"/>
        <w:jc w:val="center"/>
        <w:outlineLvl w:val="0"/>
        <w:rPr>
          <w:rFonts w:ascii="Arial Black" w:eastAsia="Arial Black" w:hAnsi="Arial Black" w:cs="Arial Black"/>
          <w:b/>
          <w:bCs/>
          <w:position w:val="2"/>
          <w:sz w:val="60"/>
          <w:szCs w:val="60"/>
        </w:rPr>
      </w:pPr>
    </w:p>
    <w:p w14:paraId="780AC8D5" w14:textId="77777777" w:rsidR="00601DA3" w:rsidRPr="00B17679" w:rsidRDefault="00601DA3" w:rsidP="00601DA3">
      <w:pPr>
        <w:spacing w:after="0" w:line="240" w:lineRule="auto"/>
        <w:ind w:left="1890" w:right="1901"/>
        <w:jc w:val="center"/>
        <w:outlineLvl w:val="0"/>
        <w:rPr>
          <w:sz w:val="20"/>
          <w:szCs w:val="20"/>
        </w:rPr>
      </w:pPr>
    </w:p>
    <w:p w14:paraId="50C797C7" w14:textId="77777777" w:rsidR="002853C7" w:rsidRPr="00B17679" w:rsidRDefault="002853C7" w:rsidP="00755FC0">
      <w:pPr>
        <w:spacing w:before="8" w:after="0" w:line="180" w:lineRule="exact"/>
        <w:jc w:val="center"/>
        <w:rPr>
          <w:sz w:val="20"/>
          <w:szCs w:val="20"/>
        </w:rPr>
      </w:pPr>
    </w:p>
    <w:p w14:paraId="141685A3" w14:textId="77777777" w:rsidR="00755FC0" w:rsidRPr="00B17679" w:rsidRDefault="00755FC0" w:rsidP="00755FC0">
      <w:pPr>
        <w:spacing w:before="8" w:after="0" w:line="180" w:lineRule="exact"/>
        <w:jc w:val="center"/>
        <w:rPr>
          <w:sz w:val="18"/>
          <w:szCs w:val="18"/>
        </w:rPr>
      </w:pPr>
    </w:p>
    <w:p w14:paraId="3F11779C" w14:textId="77777777" w:rsidR="002853C7" w:rsidRPr="00B17679" w:rsidRDefault="002853C7">
      <w:pPr>
        <w:spacing w:after="0" w:line="200" w:lineRule="exact"/>
        <w:rPr>
          <w:sz w:val="20"/>
          <w:szCs w:val="20"/>
        </w:rPr>
      </w:pPr>
    </w:p>
    <w:p w14:paraId="1C267AC2" w14:textId="77777777" w:rsidR="00583C2C" w:rsidRPr="00B17679" w:rsidRDefault="00583C2C">
      <w:pPr>
        <w:spacing w:after="0" w:line="200" w:lineRule="exact"/>
        <w:rPr>
          <w:sz w:val="20"/>
          <w:szCs w:val="20"/>
        </w:rPr>
      </w:pPr>
    </w:p>
    <w:p w14:paraId="0B402B36" w14:textId="77777777" w:rsidR="00601DA3" w:rsidRDefault="004928E7" w:rsidP="0024140C">
      <w:pPr>
        <w:spacing w:after="0" w:line="240" w:lineRule="auto"/>
        <w:ind w:left="1710" w:right="2130"/>
        <w:jc w:val="center"/>
        <w:outlineLvl w:val="0"/>
        <w:rPr>
          <w:rFonts w:ascii="Arial Black" w:eastAsia="Arial Black" w:hAnsi="Arial Black" w:cs="Arial Black"/>
          <w:b/>
          <w:bCs/>
          <w:sz w:val="23"/>
          <w:szCs w:val="23"/>
        </w:rPr>
      </w:pPr>
      <w:r w:rsidRPr="00AD0FF8">
        <w:rPr>
          <w:rFonts w:ascii="Arial Black" w:eastAsia="Arial Black" w:hAnsi="Arial Black" w:cs="Arial Black"/>
          <w:b/>
          <w:bCs/>
          <w:noProof/>
          <w:position w:val="2"/>
          <w:sz w:val="60"/>
          <w:szCs w:val="60"/>
        </w:rPr>
        <w:drawing>
          <wp:inline distT="0" distB="0" distL="0" distR="0" wp14:anchorId="175EA2C3" wp14:editId="2496D6A7">
            <wp:extent cx="3524708" cy="1341565"/>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9"/>
                    <a:stretch>
                      <a:fillRect/>
                    </a:stretch>
                  </pic:blipFill>
                  <pic:spPr>
                    <a:xfrm>
                      <a:off x="0" y="0"/>
                      <a:ext cx="3591995" cy="1367175"/>
                    </a:xfrm>
                    <a:prstGeom prst="rect">
                      <a:avLst/>
                    </a:prstGeom>
                  </pic:spPr>
                </pic:pic>
              </a:graphicData>
            </a:graphic>
          </wp:inline>
        </w:drawing>
      </w:r>
    </w:p>
    <w:p w14:paraId="37C67C14" w14:textId="77777777" w:rsidR="00601DA3" w:rsidRDefault="00601DA3" w:rsidP="00396E46">
      <w:pPr>
        <w:spacing w:after="0" w:line="240" w:lineRule="auto"/>
        <w:ind w:left="2149" w:right="2130"/>
        <w:jc w:val="center"/>
        <w:outlineLvl w:val="0"/>
        <w:rPr>
          <w:rFonts w:ascii="Arial Black" w:eastAsia="Arial Black" w:hAnsi="Arial Black" w:cs="Arial Black"/>
          <w:b/>
          <w:bCs/>
          <w:sz w:val="23"/>
          <w:szCs w:val="23"/>
        </w:rPr>
      </w:pPr>
    </w:p>
    <w:p w14:paraId="5492CD5A" w14:textId="77777777" w:rsidR="00601DA3" w:rsidRDefault="00601DA3" w:rsidP="00396E46">
      <w:pPr>
        <w:spacing w:after="0" w:line="240" w:lineRule="auto"/>
        <w:ind w:left="2149" w:right="2130"/>
        <w:jc w:val="center"/>
        <w:outlineLvl w:val="0"/>
        <w:rPr>
          <w:rFonts w:ascii="Arial Black" w:eastAsia="Arial Black" w:hAnsi="Arial Black" w:cs="Arial Black"/>
          <w:b/>
          <w:bCs/>
          <w:sz w:val="23"/>
          <w:szCs w:val="23"/>
        </w:rPr>
      </w:pPr>
    </w:p>
    <w:p w14:paraId="1EDCD77B" w14:textId="77777777" w:rsidR="00601DA3" w:rsidRDefault="00601DA3" w:rsidP="00396E46">
      <w:pPr>
        <w:spacing w:after="0" w:line="240" w:lineRule="auto"/>
        <w:ind w:left="2149" w:right="2130"/>
        <w:jc w:val="center"/>
        <w:outlineLvl w:val="0"/>
        <w:rPr>
          <w:rFonts w:ascii="Arial Black" w:eastAsia="Arial Black" w:hAnsi="Arial Black" w:cs="Arial Black"/>
          <w:b/>
          <w:bCs/>
          <w:sz w:val="23"/>
          <w:szCs w:val="23"/>
        </w:rPr>
      </w:pPr>
    </w:p>
    <w:p w14:paraId="19433EBC" w14:textId="77777777" w:rsidR="00E52039" w:rsidRPr="00B17679" w:rsidRDefault="004928E7" w:rsidP="00396E46">
      <w:pPr>
        <w:spacing w:after="0" w:line="240" w:lineRule="auto"/>
        <w:ind w:left="2149" w:right="2130"/>
        <w:jc w:val="center"/>
        <w:outlineLvl w:val="0"/>
        <w:rPr>
          <w:rFonts w:ascii="Arial Black" w:eastAsia="Arial Black" w:hAnsi="Arial Black" w:cs="Arial Black"/>
          <w:b/>
          <w:bCs/>
          <w:sz w:val="23"/>
          <w:szCs w:val="23"/>
        </w:rPr>
      </w:pPr>
      <w:r w:rsidRPr="00B17679">
        <w:rPr>
          <w:rFonts w:ascii="Arial Black" w:eastAsia="Arial Black" w:hAnsi="Arial Black" w:cs="Arial Black"/>
          <w:b/>
          <w:bCs/>
          <w:sz w:val="23"/>
          <w:szCs w:val="23"/>
        </w:rPr>
        <w:t>Management’s Discussion</w:t>
      </w:r>
    </w:p>
    <w:p w14:paraId="43CA7CDA" w14:textId="77777777" w:rsidR="002853C7" w:rsidRPr="00B17679" w:rsidRDefault="004928E7" w:rsidP="00396E46">
      <w:pPr>
        <w:spacing w:after="0" w:line="240" w:lineRule="auto"/>
        <w:ind w:left="2149" w:right="2130"/>
        <w:jc w:val="center"/>
        <w:outlineLvl w:val="0"/>
        <w:rPr>
          <w:rFonts w:ascii="Arial Black" w:eastAsia="Arial Black" w:hAnsi="Arial Black" w:cs="Arial Black"/>
          <w:sz w:val="23"/>
          <w:szCs w:val="23"/>
        </w:rPr>
      </w:pPr>
      <w:r w:rsidRPr="00B17679">
        <w:rPr>
          <w:rFonts w:ascii="Arial Black" w:eastAsia="Arial Black" w:hAnsi="Arial Black" w:cs="Arial Black"/>
          <w:b/>
          <w:bCs/>
          <w:sz w:val="23"/>
          <w:szCs w:val="23"/>
        </w:rPr>
        <w:t>and Analysis</w:t>
      </w:r>
    </w:p>
    <w:p w14:paraId="4A2486C5" w14:textId="6EFCE84C" w:rsidR="00663BED" w:rsidRPr="00B17679" w:rsidRDefault="00520983" w:rsidP="00663BED">
      <w:pPr>
        <w:jc w:val="center"/>
        <w:outlineLvl w:val="0"/>
        <w:rPr>
          <w:rFonts w:ascii="Arial Black" w:eastAsia="Arial Black" w:hAnsi="Arial Black" w:cs="Arial Black"/>
          <w:b/>
          <w:bCs/>
          <w:sz w:val="23"/>
          <w:szCs w:val="23"/>
        </w:rPr>
      </w:pPr>
      <w:r>
        <w:rPr>
          <w:rFonts w:ascii="Arial Black" w:eastAsia="Arial Black" w:hAnsi="Arial Black" w:cs="Arial Black"/>
          <w:b/>
          <w:bCs/>
          <w:sz w:val="23"/>
          <w:szCs w:val="23"/>
        </w:rPr>
        <w:t xml:space="preserve">For the </w:t>
      </w:r>
      <w:r w:rsidR="000E08E0">
        <w:rPr>
          <w:rFonts w:ascii="Arial Black" w:eastAsia="Arial Black" w:hAnsi="Arial Black" w:cs="Arial Black"/>
          <w:b/>
          <w:bCs/>
          <w:sz w:val="23"/>
          <w:szCs w:val="23"/>
        </w:rPr>
        <w:t>Nine</w:t>
      </w:r>
      <w:r w:rsidR="00927FE2">
        <w:rPr>
          <w:rFonts w:ascii="Arial Black" w:eastAsia="Arial Black" w:hAnsi="Arial Black" w:cs="Arial Black"/>
          <w:b/>
          <w:bCs/>
          <w:sz w:val="23"/>
          <w:szCs w:val="23"/>
        </w:rPr>
        <w:t xml:space="preserve"> Months </w:t>
      </w:r>
      <w:r w:rsidR="001C1096">
        <w:rPr>
          <w:rFonts w:ascii="Arial Black" w:eastAsia="Arial Black" w:hAnsi="Arial Black" w:cs="Arial Black"/>
          <w:b/>
          <w:bCs/>
          <w:sz w:val="23"/>
          <w:szCs w:val="23"/>
        </w:rPr>
        <w:t xml:space="preserve">Ended </w:t>
      </w:r>
      <w:r w:rsidR="000E08E0">
        <w:rPr>
          <w:rFonts w:ascii="Arial Black" w:eastAsia="Arial Black" w:hAnsi="Arial Black" w:cs="Arial Black"/>
          <w:b/>
          <w:bCs/>
          <w:sz w:val="23"/>
          <w:szCs w:val="23"/>
        </w:rPr>
        <w:t>September 30, 2025</w:t>
      </w:r>
    </w:p>
    <w:p w14:paraId="765309A8" w14:textId="77777777" w:rsidR="00AE0C40" w:rsidRPr="00B17679" w:rsidRDefault="00AE0C40">
      <w:pPr>
        <w:rPr>
          <w:rFonts w:ascii="Arial Black" w:eastAsia="Arial Black" w:hAnsi="Arial Black" w:cs="Arial Black"/>
          <w:b/>
          <w:bCs/>
          <w:sz w:val="23"/>
          <w:szCs w:val="23"/>
        </w:rPr>
      </w:pPr>
    </w:p>
    <w:p w14:paraId="6AA666EB" w14:textId="77777777" w:rsidR="00AE0C40" w:rsidRPr="00B17679" w:rsidRDefault="00AE0C40">
      <w:pPr>
        <w:rPr>
          <w:rFonts w:ascii="Arial Black" w:eastAsia="Arial Black" w:hAnsi="Arial Black" w:cs="Arial Black"/>
          <w:b/>
          <w:bCs/>
          <w:sz w:val="23"/>
          <w:szCs w:val="23"/>
        </w:rPr>
      </w:pPr>
    </w:p>
    <w:p w14:paraId="0CC72D00" w14:textId="77777777" w:rsidR="00AE0C40" w:rsidRPr="00B17679" w:rsidRDefault="00AE0C40">
      <w:pPr>
        <w:rPr>
          <w:rFonts w:ascii="Arial Black" w:eastAsia="Arial Black" w:hAnsi="Arial Black" w:cs="Arial Black"/>
          <w:b/>
          <w:bCs/>
          <w:sz w:val="23"/>
          <w:szCs w:val="23"/>
        </w:rPr>
      </w:pPr>
    </w:p>
    <w:p w14:paraId="5016147E" w14:textId="77777777" w:rsidR="000F0A0B" w:rsidRPr="00B17679" w:rsidRDefault="000F0A0B" w:rsidP="000F0A0B">
      <w:pPr>
        <w:spacing w:before="240" w:after="0" w:line="240" w:lineRule="auto"/>
        <w:ind w:left="1714" w:right="1685"/>
        <w:jc w:val="center"/>
        <w:rPr>
          <w:rFonts w:ascii="Arial" w:hAnsi="Arial" w:cs="Arial"/>
          <w:lang w:val="en-CA"/>
        </w:rPr>
        <w:sectPr w:rsidR="000F0A0B" w:rsidRPr="00B17679" w:rsidSect="00DE33CA">
          <w:footerReference w:type="even" r:id="rId10"/>
          <w:footerReference w:type="default" r:id="rId11"/>
          <w:type w:val="continuous"/>
          <w:pgSz w:w="12240" w:h="15840"/>
          <w:pgMar w:top="994" w:right="1714" w:bottom="274" w:left="1714" w:header="720" w:footer="0" w:gutter="0"/>
          <w:cols w:space="720"/>
        </w:sectPr>
      </w:pPr>
    </w:p>
    <w:tbl>
      <w:tblPr>
        <w:tblW w:w="9198" w:type="dxa"/>
        <w:tblLayout w:type="fixed"/>
        <w:tblLook w:val="01E0" w:firstRow="1" w:lastRow="1" w:firstColumn="1" w:lastColumn="1" w:noHBand="0" w:noVBand="0"/>
      </w:tblPr>
      <w:tblGrid>
        <w:gridCol w:w="3348"/>
        <w:gridCol w:w="5850"/>
      </w:tblGrid>
      <w:tr w:rsidR="00A405B1" w:rsidRPr="00AF5E0B" w14:paraId="6398987B" w14:textId="77777777" w:rsidTr="00A973CE">
        <w:trPr>
          <w:trHeight w:val="1260"/>
        </w:trPr>
        <w:tc>
          <w:tcPr>
            <w:tcW w:w="3348" w:type="dxa"/>
          </w:tcPr>
          <w:p w14:paraId="7A1D0827" w14:textId="77777777" w:rsidR="000F0A0B" w:rsidRPr="00B17679" w:rsidRDefault="004928E7" w:rsidP="000F0A0B">
            <w:pPr>
              <w:widowControl/>
              <w:tabs>
                <w:tab w:val="center" w:pos="4680"/>
              </w:tabs>
              <w:spacing w:after="0" w:line="240" w:lineRule="auto"/>
              <w:rPr>
                <w:rFonts w:ascii="Times New Roman" w:eastAsia="Times New Roman" w:hAnsi="Times New Roman"/>
                <w:b/>
                <w:bCs/>
                <w:smallCaps/>
                <w:color w:val="000000"/>
                <w:sz w:val="21"/>
                <w:szCs w:val="24"/>
                <w:lang w:val="en-GB"/>
              </w:rPr>
            </w:pPr>
            <w:r w:rsidRPr="000C4C30">
              <w:rPr>
                <w:rFonts w:ascii="Times New Roman" w:eastAsia="Times New Roman" w:hAnsi="Times New Roman"/>
                <w:b/>
                <w:bCs/>
                <w:smallCaps/>
                <w:noProof/>
                <w:color w:val="000000"/>
                <w:sz w:val="21"/>
                <w:szCs w:val="24"/>
              </w:rPr>
              <w:lastRenderedPageBreak/>
              <w:drawing>
                <wp:inline distT="0" distB="0" distL="0" distR="0" wp14:anchorId="49B586E8" wp14:editId="54053BA3">
                  <wp:extent cx="2329384" cy="8502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29384" cy="850206"/>
                          </a:xfrm>
                          <a:prstGeom prst="rect">
                            <a:avLst/>
                          </a:prstGeom>
                        </pic:spPr>
                      </pic:pic>
                    </a:graphicData>
                  </a:graphic>
                </wp:inline>
              </w:drawing>
            </w:r>
          </w:p>
        </w:tc>
        <w:tc>
          <w:tcPr>
            <w:tcW w:w="5850" w:type="dxa"/>
          </w:tcPr>
          <w:p w14:paraId="46CEACF7" w14:textId="77777777" w:rsidR="000C4C30" w:rsidRDefault="000C4C30" w:rsidP="000F0A0B">
            <w:pPr>
              <w:widowControl/>
              <w:tabs>
                <w:tab w:val="center" w:pos="2412"/>
              </w:tabs>
              <w:spacing w:after="0" w:line="240" w:lineRule="auto"/>
              <w:jc w:val="center"/>
              <w:rPr>
                <w:rFonts w:ascii="Times New Roman" w:eastAsia="Times New Roman" w:hAnsi="Times New Roman"/>
                <w:b/>
                <w:bCs/>
                <w:color w:val="000000"/>
                <w:sz w:val="28"/>
                <w:szCs w:val="28"/>
              </w:rPr>
            </w:pPr>
          </w:p>
          <w:p w14:paraId="01CE4FAF" w14:textId="77777777" w:rsidR="000F0A0B" w:rsidRPr="00AD54C7" w:rsidRDefault="004928E7" w:rsidP="000F0A0B">
            <w:pPr>
              <w:widowControl/>
              <w:tabs>
                <w:tab w:val="center" w:pos="2412"/>
              </w:tabs>
              <w:spacing w:after="0" w:line="240" w:lineRule="auto"/>
              <w:jc w:val="center"/>
              <w:rPr>
                <w:rFonts w:ascii="Times New Roman" w:eastAsia="Times New Roman" w:hAnsi="Times New Roman"/>
                <w:b/>
                <w:bCs/>
                <w:color w:val="000000"/>
                <w:sz w:val="28"/>
                <w:szCs w:val="28"/>
                <w:lang w:val="fr-FR"/>
              </w:rPr>
            </w:pPr>
            <w:r w:rsidRPr="00AD54C7">
              <w:rPr>
                <w:rFonts w:ascii="Times New Roman" w:eastAsia="Times New Roman" w:hAnsi="Times New Roman"/>
                <w:b/>
                <w:bCs/>
                <w:color w:val="000000"/>
                <w:sz w:val="28"/>
                <w:szCs w:val="28"/>
                <w:lang w:val="fr-FR"/>
              </w:rPr>
              <w:t xml:space="preserve">POET Technologies Inc. </w:t>
            </w:r>
          </w:p>
          <w:p w14:paraId="62D398C8" w14:textId="77777777" w:rsidR="000F0A0B" w:rsidRPr="00AD54C7" w:rsidRDefault="004928E7" w:rsidP="000F0A0B">
            <w:pPr>
              <w:widowControl/>
              <w:tabs>
                <w:tab w:val="center" w:pos="4680"/>
              </w:tabs>
              <w:spacing w:after="0" w:line="240" w:lineRule="auto"/>
              <w:jc w:val="center"/>
              <w:rPr>
                <w:rFonts w:ascii="Times New Roman" w:eastAsia="Times New Roman" w:hAnsi="Times New Roman"/>
                <w:color w:val="000000"/>
                <w:sz w:val="21"/>
                <w:szCs w:val="24"/>
                <w:lang w:val="fr-FR"/>
              </w:rPr>
            </w:pPr>
            <w:r w:rsidRPr="00AD54C7">
              <w:rPr>
                <w:rFonts w:ascii="Times New Roman" w:eastAsia="Times New Roman" w:hAnsi="Times New Roman"/>
                <w:color w:val="000000"/>
                <w:sz w:val="21"/>
                <w:szCs w:val="24"/>
                <w:lang w:val="fr-FR"/>
              </w:rPr>
              <w:t xml:space="preserve">Suite </w:t>
            </w:r>
            <w:r w:rsidR="002E0078" w:rsidRPr="00AD54C7">
              <w:rPr>
                <w:rFonts w:ascii="Times New Roman" w:eastAsia="Times New Roman" w:hAnsi="Times New Roman"/>
                <w:color w:val="000000"/>
                <w:sz w:val="21"/>
                <w:szCs w:val="24"/>
                <w:lang w:val="fr-FR"/>
              </w:rPr>
              <w:t>1107</w:t>
            </w:r>
            <w:r w:rsidRPr="00AD54C7">
              <w:rPr>
                <w:rFonts w:ascii="Times New Roman" w:eastAsia="Times New Roman" w:hAnsi="Times New Roman"/>
                <w:color w:val="000000"/>
                <w:sz w:val="21"/>
                <w:szCs w:val="24"/>
                <w:lang w:val="fr-FR"/>
              </w:rPr>
              <w:t xml:space="preserve"> </w:t>
            </w:r>
            <w:r w:rsidR="002E0078" w:rsidRPr="00AD54C7">
              <w:rPr>
                <w:rFonts w:ascii="Times New Roman" w:eastAsia="Times New Roman" w:hAnsi="Times New Roman"/>
                <w:color w:val="000000"/>
                <w:sz w:val="21"/>
                <w:szCs w:val="24"/>
                <w:lang w:val="fr-FR"/>
              </w:rPr>
              <w:t>–</w:t>
            </w:r>
            <w:r w:rsidRPr="00AD54C7">
              <w:rPr>
                <w:rFonts w:ascii="Times New Roman" w:eastAsia="Times New Roman" w:hAnsi="Times New Roman"/>
                <w:color w:val="000000"/>
                <w:sz w:val="21"/>
                <w:szCs w:val="24"/>
                <w:lang w:val="fr-FR"/>
              </w:rPr>
              <w:t xml:space="preserve"> 12</w:t>
            </w:r>
            <w:r w:rsidR="002E0078" w:rsidRPr="00AD54C7">
              <w:rPr>
                <w:rFonts w:ascii="Times New Roman" w:eastAsia="Times New Roman" w:hAnsi="Times New Roman"/>
                <w:color w:val="000000"/>
                <w:sz w:val="21"/>
                <w:szCs w:val="24"/>
                <w:lang w:val="fr-FR"/>
              </w:rPr>
              <w:t xml:space="preserve">0 </w:t>
            </w:r>
            <w:proofErr w:type="spellStart"/>
            <w:r w:rsidR="002E0078" w:rsidRPr="00AD54C7">
              <w:rPr>
                <w:rFonts w:ascii="Times New Roman" w:eastAsia="Times New Roman" w:hAnsi="Times New Roman"/>
                <w:color w:val="000000"/>
                <w:sz w:val="21"/>
                <w:szCs w:val="24"/>
                <w:lang w:val="fr-FR"/>
              </w:rPr>
              <w:t>Eglinton</w:t>
            </w:r>
            <w:proofErr w:type="spellEnd"/>
            <w:r w:rsidR="002E0078" w:rsidRPr="00AD54C7">
              <w:rPr>
                <w:rFonts w:ascii="Times New Roman" w:eastAsia="Times New Roman" w:hAnsi="Times New Roman"/>
                <w:color w:val="000000"/>
                <w:sz w:val="21"/>
                <w:szCs w:val="24"/>
                <w:lang w:val="fr-FR"/>
              </w:rPr>
              <w:t xml:space="preserve"> Avenue East</w:t>
            </w:r>
          </w:p>
          <w:p w14:paraId="6A9910F0" w14:textId="77777777" w:rsidR="000F0A0B" w:rsidRPr="00AD54C7" w:rsidRDefault="004928E7" w:rsidP="000F0A0B">
            <w:pPr>
              <w:widowControl/>
              <w:tabs>
                <w:tab w:val="center" w:pos="4680"/>
              </w:tabs>
              <w:spacing w:after="0" w:line="240" w:lineRule="auto"/>
              <w:jc w:val="center"/>
              <w:rPr>
                <w:rFonts w:ascii="Times New Roman" w:eastAsia="Times New Roman" w:hAnsi="Times New Roman"/>
                <w:color w:val="000000"/>
                <w:sz w:val="21"/>
                <w:szCs w:val="24"/>
                <w:lang w:val="es-ES"/>
              </w:rPr>
            </w:pPr>
            <w:r w:rsidRPr="00AD54C7">
              <w:rPr>
                <w:rFonts w:ascii="Times New Roman" w:eastAsia="Times New Roman" w:hAnsi="Times New Roman"/>
                <w:color w:val="000000"/>
                <w:sz w:val="21"/>
                <w:szCs w:val="24"/>
                <w:lang w:val="es-ES"/>
              </w:rPr>
              <w:t xml:space="preserve">Toronto, Ontario, Canada   </w:t>
            </w:r>
            <w:r w:rsidR="003B6566" w:rsidRPr="00AD54C7">
              <w:rPr>
                <w:rFonts w:ascii="Times New Roman" w:eastAsia="Times New Roman" w:hAnsi="Times New Roman"/>
                <w:color w:val="000000"/>
                <w:sz w:val="21"/>
                <w:szCs w:val="24"/>
                <w:lang w:val="es-ES"/>
              </w:rPr>
              <w:t xml:space="preserve">M4P </w:t>
            </w:r>
            <w:r w:rsidR="002E0078" w:rsidRPr="00AD54C7">
              <w:rPr>
                <w:rFonts w:ascii="Times New Roman" w:eastAsia="Times New Roman" w:hAnsi="Times New Roman"/>
                <w:color w:val="000000"/>
                <w:sz w:val="21"/>
                <w:szCs w:val="24"/>
                <w:lang w:val="es-ES"/>
              </w:rPr>
              <w:t>1E2</w:t>
            </w:r>
          </w:p>
          <w:p w14:paraId="0D2BC7B1" w14:textId="77777777" w:rsidR="000F0A0B" w:rsidRPr="00B17679" w:rsidRDefault="004928E7" w:rsidP="002E0078">
            <w:pPr>
              <w:widowControl/>
              <w:tabs>
                <w:tab w:val="center" w:pos="4680"/>
              </w:tabs>
              <w:spacing w:after="0" w:line="240" w:lineRule="auto"/>
              <w:jc w:val="center"/>
              <w:rPr>
                <w:rFonts w:ascii="Times New Roman" w:eastAsia="Times New Roman" w:hAnsi="Times New Roman"/>
                <w:color w:val="000000"/>
                <w:sz w:val="21"/>
                <w:szCs w:val="24"/>
                <w:lang w:val="es-MX"/>
              </w:rPr>
            </w:pPr>
            <w:r w:rsidRPr="00B17679">
              <w:rPr>
                <w:rFonts w:ascii="Times New Roman" w:eastAsia="Times New Roman" w:hAnsi="Times New Roman"/>
                <w:color w:val="000000"/>
                <w:sz w:val="21"/>
                <w:szCs w:val="24"/>
                <w:lang w:val="es-MX"/>
              </w:rPr>
              <w:t xml:space="preserve">Tel: (416) 368-9411     Fax: (416) </w:t>
            </w:r>
            <w:r w:rsidR="002E0078" w:rsidRPr="00B17679">
              <w:rPr>
                <w:rFonts w:ascii="Times New Roman" w:eastAsia="Times New Roman" w:hAnsi="Times New Roman"/>
                <w:color w:val="000000"/>
                <w:sz w:val="21"/>
                <w:szCs w:val="24"/>
                <w:lang w:val="es-MX"/>
              </w:rPr>
              <w:t>322-5075</w:t>
            </w:r>
          </w:p>
        </w:tc>
      </w:tr>
    </w:tbl>
    <w:p w14:paraId="701E95F3" w14:textId="77777777" w:rsidR="00E34861" w:rsidRPr="00487B1F" w:rsidRDefault="004928E7" w:rsidP="000F0A0B">
      <w:pPr>
        <w:widowControl/>
        <w:tabs>
          <w:tab w:val="center" w:pos="4950"/>
        </w:tabs>
        <w:spacing w:before="80" w:after="0" w:line="240" w:lineRule="auto"/>
        <w:rPr>
          <w:rFonts w:ascii="Times New Roman" w:eastAsia="Times New Roman" w:hAnsi="Times New Roman"/>
          <w:b/>
          <w:bCs/>
          <w:smallCaps/>
          <w:color w:val="000000"/>
          <w:sz w:val="24"/>
          <w:szCs w:val="24"/>
          <w:lang w:val="es-ES"/>
        </w:rPr>
      </w:pPr>
      <w:r w:rsidRPr="00487B1F">
        <w:rPr>
          <w:rFonts w:ascii="Times New Roman" w:eastAsia="Times New Roman" w:hAnsi="Times New Roman"/>
          <w:b/>
          <w:bCs/>
          <w:smallCaps/>
          <w:color w:val="000000"/>
          <w:sz w:val="24"/>
          <w:szCs w:val="24"/>
          <w:lang w:val="es-ES"/>
        </w:rPr>
        <w:tab/>
      </w:r>
    </w:p>
    <w:p w14:paraId="0DAD5779" w14:textId="77777777" w:rsidR="00D04416" w:rsidRPr="00B17679" w:rsidRDefault="00D04416" w:rsidP="00D04416">
      <w:pPr>
        <w:widowControl/>
        <w:tabs>
          <w:tab w:val="center" w:pos="4950"/>
        </w:tabs>
        <w:spacing w:before="80" w:after="0" w:line="240" w:lineRule="auto"/>
        <w:jc w:val="center"/>
        <w:outlineLvl w:val="0"/>
        <w:rPr>
          <w:rFonts w:ascii="Times New Roman" w:eastAsia="Times New Roman" w:hAnsi="Times New Roman"/>
          <w:b/>
          <w:bCs/>
          <w:smallCaps/>
          <w:color w:val="000000"/>
          <w:sz w:val="24"/>
          <w:szCs w:val="24"/>
          <w:lang w:val="en-GB"/>
        </w:rPr>
      </w:pPr>
      <w:r w:rsidRPr="00B17679">
        <w:rPr>
          <w:rFonts w:ascii="Times New Roman" w:eastAsia="Times New Roman" w:hAnsi="Times New Roman"/>
          <w:b/>
          <w:bCs/>
          <w:smallCaps/>
          <w:color w:val="000000"/>
          <w:sz w:val="24"/>
          <w:szCs w:val="24"/>
          <w:lang w:val="en-GB"/>
        </w:rPr>
        <w:t>Management’s Discussion and Analysis</w:t>
      </w:r>
    </w:p>
    <w:p w14:paraId="3096C63D" w14:textId="025561C3" w:rsidR="00520983" w:rsidRDefault="00D04416" w:rsidP="00520983">
      <w:pPr>
        <w:widowControl/>
        <w:tabs>
          <w:tab w:val="center" w:pos="4950"/>
          <w:tab w:val="center" w:pos="9000"/>
        </w:tabs>
        <w:spacing w:after="60" w:line="240" w:lineRule="auto"/>
        <w:ind w:right="29"/>
        <w:outlineLvl w:val="0"/>
        <w:rPr>
          <w:rFonts w:ascii="Times New Roman" w:eastAsia="Times New Roman" w:hAnsi="Times New Roman"/>
          <w:b/>
          <w:bCs/>
          <w:smallCaps/>
          <w:color w:val="000000"/>
          <w:sz w:val="24"/>
          <w:szCs w:val="24"/>
          <w:lang w:val="en-GB"/>
        </w:rPr>
      </w:pPr>
      <w:r w:rsidRPr="00B17679">
        <w:rPr>
          <w:rFonts w:ascii="Times New Roman" w:eastAsia="Times New Roman" w:hAnsi="Times New Roman"/>
          <w:b/>
          <w:bCs/>
          <w:smallCaps/>
          <w:color w:val="000000"/>
          <w:sz w:val="24"/>
          <w:szCs w:val="24"/>
          <w:lang w:val="en-GB"/>
        </w:rPr>
        <w:tab/>
      </w:r>
      <w:r w:rsidR="00520983" w:rsidRPr="00B17679">
        <w:rPr>
          <w:rFonts w:ascii="Times New Roman" w:eastAsia="Times New Roman" w:hAnsi="Times New Roman"/>
          <w:b/>
          <w:bCs/>
          <w:smallCaps/>
          <w:color w:val="000000"/>
          <w:sz w:val="24"/>
          <w:szCs w:val="24"/>
          <w:lang w:val="en-GB"/>
        </w:rPr>
        <w:t xml:space="preserve">For </w:t>
      </w:r>
      <w:r w:rsidR="00520983">
        <w:rPr>
          <w:rFonts w:ascii="Times New Roman" w:eastAsia="Times New Roman" w:hAnsi="Times New Roman"/>
          <w:b/>
          <w:bCs/>
          <w:smallCaps/>
          <w:color w:val="000000"/>
          <w:sz w:val="24"/>
          <w:szCs w:val="24"/>
          <w:lang w:val="en-GB"/>
        </w:rPr>
        <w:t xml:space="preserve">the </w:t>
      </w:r>
      <w:r w:rsidR="000E08E0">
        <w:rPr>
          <w:rFonts w:ascii="Times New Roman" w:eastAsia="Times New Roman" w:hAnsi="Times New Roman"/>
          <w:b/>
          <w:bCs/>
          <w:smallCaps/>
          <w:color w:val="000000"/>
          <w:sz w:val="24"/>
          <w:szCs w:val="24"/>
          <w:lang w:val="en-GB"/>
        </w:rPr>
        <w:t>Nine Months Ended</w:t>
      </w:r>
      <w:r w:rsidR="00BE3EA0">
        <w:rPr>
          <w:rFonts w:ascii="Times New Roman" w:eastAsia="Times New Roman" w:hAnsi="Times New Roman"/>
          <w:b/>
          <w:bCs/>
          <w:smallCaps/>
          <w:color w:val="000000"/>
          <w:sz w:val="24"/>
          <w:szCs w:val="24"/>
          <w:lang w:val="en-GB"/>
        </w:rPr>
        <w:t xml:space="preserve"> </w:t>
      </w:r>
      <w:r w:rsidR="000E08E0">
        <w:rPr>
          <w:rFonts w:ascii="Times New Roman" w:eastAsia="Times New Roman" w:hAnsi="Times New Roman"/>
          <w:b/>
          <w:bCs/>
          <w:smallCaps/>
          <w:color w:val="000000"/>
          <w:sz w:val="24"/>
          <w:szCs w:val="24"/>
          <w:lang w:val="en-GB"/>
        </w:rPr>
        <w:t>September 30, 2025</w:t>
      </w:r>
    </w:p>
    <w:p w14:paraId="233FDC6B" w14:textId="77777777" w:rsidR="00520983" w:rsidRPr="00B17679" w:rsidRDefault="00520983" w:rsidP="00520983">
      <w:pPr>
        <w:widowControl/>
        <w:tabs>
          <w:tab w:val="center" w:pos="4950"/>
          <w:tab w:val="center" w:pos="9000"/>
        </w:tabs>
        <w:spacing w:after="60" w:line="240" w:lineRule="auto"/>
        <w:ind w:right="29"/>
        <w:outlineLvl w:val="0"/>
        <w:rPr>
          <w:rFonts w:ascii="Times New Roman" w:eastAsia="Times New Roman" w:hAnsi="Times New Roman"/>
          <w:b/>
          <w:bCs/>
          <w:smallCaps/>
          <w:color w:val="000000"/>
          <w:sz w:val="21"/>
          <w:szCs w:val="24"/>
          <w:lang w:val="en-GB"/>
        </w:rPr>
      </w:pPr>
      <w:r w:rsidRPr="00B17679">
        <w:rPr>
          <w:rFonts w:ascii="Times New Roman" w:eastAsia="Times New Roman" w:hAnsi="Times New Roman"/>
          <w:b/>
          <w:bCs/>
          <w:smallCaps/>
          <w:color w:val="000000"/>
          <w:sz w:val="24"/>
          <w:szCs w:val="24"/>
          <w:lang w:val="en-GB"/>
        </w:rPr>
        <w:tab/>
      </w:r>
    </w:p>
    <w:p w14:paraId="63F7A892" w14:textId="3A6884AA" w:rsidR="00520983" w:rsidRDefault="00520983" w:rsidP="00520983">
      <w:pPr>
        <w:widowControl/>
        <w:spacing w:after="30"/>
        <w:jc w:val="both"/>
        <w:outlineLvl w:val="0"/>
        <w:rPr>
          <w:rFonts w:ascii="Times New Roman" w:hAnsi="Times New Roman"/>
          <w:color w:val="000000" w:themeColor="text1"/>
        </w:rPr>
      </w:pPr>
      <w:r w:rsidRPr="00DB4856">
        <w:rPr>
          <w:rFonts w:ascii="Times New Roman" w:hAnsi="Times New Roman"/>
          <w:color w:val="000000" w:themeColor="text1"/>
        </w:rPr>
        <w:t>The following discussion and analysis of the operations, results, and financial position of POET Technologies Inc., (the “Company” or “POET”) for the</w:t>
      </w:r>
      <w:r>
        <w:rPr>
          <w:rFonts w:ascii="Times New Roman" w:hAnsi="Times New Roman"/>
          <w:color w:val="000000" w:themeColor="text1"/>
        </w:rPr>
        <w:t xml:space="preserve"> </w:t>
      </w:r>
      <w:r w:rsidR="000E08E0">
        <w:rPr>
          <w:rFonts w:ascii="Times New Roman" w:hAnsi="Times New Roman"/>
          <w:color w:val="000000" w:themeColor="text1"/>
        </w:rPr>
        <w:t>nine months ended</w:t>
      </w:r>
      <w:r w:rsidR="0089132A">
        <w:rPr>
          <w:rFonts w:ascii="Times New Roman" w:hAnsi="Times New Roman"/>
          <w:color w:val="000000" w:themeColor="text1"/>
        </w:rPr>
        <w:t xml:space="preserve"> </w:t>
      </w:r>
      <w:r w:rsidR="000E08E0">
        <w:rPr>
          <w:rFonts w:ascii="Times New Roman" w:hAnsi="Times New Roman"/>
          <w:color w:val="000000" w:themeColor="text1"/>
        </w:rPr>
        <w:t>September 30, 2025</w:t>
      </w:r>
      <w:r w:rsidRPr="00DB4856">
        <w:rPr>
          <w:rFonts w:ascii="Times New Roman" w:hAnsi="Times New Roman"/>
          <w:color w:val="000000" w:themeColor="text1"/>
        </w:rPr>
        <w:t xml:space="preserve"> (the “Period”) should be read in conjunction with the Company’s</w:t>
      </w:r>
      <w:r>
        <w:rPr>
          <w:rFonts w:ascii="Times New Roman" w:hAnsi="Times New Roman"/>
          <w:color w:val="000000" w:themeColor="text1"/>
        </w:rPr>
        <w:t xml:space="preserve"> audited consolidated financial statements for the </w:t>
      </w:r>
      <w:r w:rsidR="005D6AFA">
        <w:rPr>
          <w:rFonts w:ascii="Times New Roman" w:hAnsi="Times New Roman"/>
          <w:color w:val="000000" w:themeColor="text1"/>
        </w:rPr>
        <w:t xml:space="preserve">year </w:t>
      </w:r>
      <w:r>
        <w:rPr>
          <w:rFonts w:ascii="Times New Roman" w:hAnsi="Times New Roman"/>
          <w:color w:val="000000" w:themeColor="text1"/>
        </w:rPr>
        <w:t>ended December 31, 202</w:t>
      </w:r>
      <w:r w:rsidR="00BE3EA0">
        <w:rPr>
          <w:rFonts w:ascii="Times New Roman" w:hAnsi="Times New Roman"/>
          <w:color w:val="000000" w:themeColor="text1"/>
        </w:rPr>
        <w:t>4</w:t>
      </w:r>
      <w:r>
        <w:rPr>
          <w:rFonts w:ascii="Times New Roman" w:hAnsi="Times New Roman"/>
          <w:color w:val="000000" w:themeColor="text1"/>
        </w:rPr>
        <w:t xml:space="preserve"> </w:t>
      </w:r>
      <w:r w:rsidRPr="00DB4856">
        <w:rPr>
          <w:rFonts w:ascii="Times New Roman" w:hAnsi="Times New Roman"/>
          <w:color w:val="000000" w:themeColor="text1"/>
        </w:rPr>
        <w:t xml:space="preserve">and the related notes thereto, both of which were </w:t>
      </w:r>
      <w:r w:rsidRPr="00AF3BA7">
        <w:rPr>
          <w:rFonts w:ascii="Times New Roman" w:hAnsi="Times New Roman"/>
          <w:color w:val="000000" w:themeColor="text1"/>
        </w:rPr>
        <w:t xml:space="preserve">prepared in accordance with International Financial Reporting Standards (“IFRS”).  The effective date of this report is </w:t>
      </w:r>
      <w:r w:rsidR="000E08E0">
        <w:rPr>
          <w:rFonts w:ascii="Times New Roman" w:hAnsi="Times New Roman"/>
          <w:color w:val="000000" w:themeColor="text1"/>
        </w:rPr>
        <w:t>November 13</w:t>
      </w:r>
      <w:r w:rsidR="0089132A">
        <w:rPr>
          <w:rFonts w:ascii="Times New Roman" w:hAnsi="Times New Roman"/>
          <w:color w:val="000000" w:themeColor="text1"/>
        </w:rPr>
        <w:t>,</w:t>
      </w:r>
      <w:r w:rsidR="00BE3EA0">
        <w:rPr>
          <w:rFonts w:ascii="Times New Roman" w:hAnsi="Times New Roman"/>
          <w:color w:val="000000" w:themeColor="text1"/>
        </w:rPr>
        <w:t xml:space="preserve"> 2025</w:t>
      </w:r>
      <w:r w:rsidRPr="00433492">
        <w:rPr>
          <w:rFonts w:ascii="Times New Roman" w:hAnsi="Times New Roman"/>
          <w:color w:val="000000" w:themeColor="text1"/>
        </w:rPr>
        <w:t>.</w:t>
      </w:r>
      <w:r w:rsidRPr="00DB4856">
        <w:rPr>
          <w:rFonts w:ascii="Times New Roman" w:hAnsi="Times New Roman"/>
          <w:color w:val="000000" w:themeColor="text1"/>
        </w:rPr>
        <w:t xml:space="preserve">  All financial figures are in United States dollars (“USD”</w:t>
      </w:r>
      <w:r w:rsidR="006E3065">
        <w:rPr>
          <w:rFonts w:ascii="Times New Roman" w:hAnsi="Times New Roman"/>
          <w:color w:val="000000" w:themeColor="text1"/>
        </w:rPr>
        <w:t xml:space="preserve">, </w:t>
      </w:r>
      <w:r w:rsidR="006E3065" w:rsidRPr="00DB4856">
        <w:rPr>
          <w:rFonts w:ascii="Times New Roman" w:hAnsi="Times New Roman"/>
          <w:color w:val="000000" w:themeColor="text1"/>
        </w:rPr>
        <w:t>“</w:t>
      </w:r>
      <w:r w:rsidR="006E3065">
        <w:rPr>
          <w:rFonts w:ascii="Times New Roman" w:hAnsi="Times New Roman"/>
          <w:color w:val="000000" w:themeColor="text1"/>
        </w:rPr>
        <w:t>$</w:t>
      </w:r>
      <w:r w:rsidR="006E3065" w:rsidRPr="00DB4856">
        <w:rPr>
          <w:rFonts w:ascii="Times New Roman" w:hAnsi="Times New Roman"/>
          <w:color w:val="000000" w:themeColor="text1"/>
        </w:rPr>
        <w:t>”</w:t>
      </w:r>
      <w:r w:rsidR="006E3065">
        <w:rPr>
          <w:rFonts w:ascii="Times New Roman" w:hAnsi="Times New Roman"/>
          <w:color w:val="000000" w:themeColor="text1"/>
        </w:rPr>
        <w:t xml:space="preserve"> or </w:t>
      </w:r>
      <w:r w:rsidR="006E3065" w:rsidRPr="00DB4856">
        <w:rPr>
          <w:rFonts w:ascii="Times New Roman" w:hAnsi="Times New Roman"/>
          <w:color w:val="000000" w:themeColor="text1"/>
        </w:rPr>
        <w:t>“US</w:t>
      </w:r>
      <w:r w:rsidR="006E3065">
        <w:rPr>
          <w:rFonts w:ascii="Times New Roman" w:hAnsi="Times New Roman"/>
          <w:color w:val="000000" w:themeColor="text1"/>
        </w:rPr>
        <w:t>$</w:t>
      </w:r>
      <w:r w:rsidR="006E3065" w:rsidRPr="00DB4856">
        <w:rPr>
          <w:rFonts w:ascii="Times New Roman" w:hAnsi="Times New Roman"/>
          <w:color w:val="000000" w:themeColor="text1"/>
        </w:rPr>
        <w:t>”</w:t>
      </w:r>
      <w:r w:rsidRPr="00DB4856">
        <w:rPr>
          <w:rFonts w:ascii="Times New Roman" w:hAnsi="Times New Roman"/>
          <w:color w:val="000000" w:themeColor="text1"/>
        </w:rPr>
        <w:t>) unless otherwise indicated. The abbreviation “U.S.” used throughout refers to the United States of America.</w:t>
      </w:r>
      <w:r w:rsidR="006E3065">
        <w:rPr>
          <w:rFonts w:ascii="Times New Roman" w:hAnsi="Times New Roman"/>
          <w:color w:val="000000" w:themeColor="text1"/>
        </w:rPr>
        <w:t xml:space="preserve"> </w:t>
      </w:r>
    </w:p>
    <w:p w14:paraId="534E184D" w14:textId="2F0ACF9E" w:rsidR="00185738" w:rsidRPr="00DB4856" w:rsidRDefault="00185738" w:rsidP="00520983">
      <w:pPr>
        <w:widowControl/>
        <w:tabs>
          <w:tab w:val="center" w:pos="4950"/>
          <w:tab w:val="center" w:pos="9000"/>
        </w:tabs>
        <w:spacing w:after="60" w:line="240" w:lineRule="auto"/>
        <w:ind w:right="29"/>
        <w:outlineLvl w:val="0"/>
        <w:rPr>
          <w:rFonts w:ascii="Times New Roman" w:hAnsi="Times New Roman"/>
          <w:color w:val="000000" w:themeColor="text1"/>
        </w:rPr>
      </w:pPr>
    </w:p>
    <w:p w14:paraId="76072181" w14:textId="77777777" w:rsidR="00C66441" w:rsidRPr="00233B8E" w:rsidRDefault="004928E7" w:rsidP="00554F11">
      <w:pPr>
        <w:widowControl/>
        <w:spacing w:after="30"/>
        <w:outlineLvl w:val="0"/>
        <w:rPr>
          <w:rFonts w:ascii="Times New Roman" w:eastAsia="Times New Roman" w:hAnsi="Times New Roman"/>
          <w:b/>
          <w:i/>
          <w:color w:val="000000" w:themeColor="text1"/>
        </w:rPr>
      </w:pPr>
      <w:r w:rsidRPr="00233B8E">
        <w:rPr>
          <w:rFonts w:ascii="Times New Roman" w:eastAsia="Times New Roman" w:hAnsi="Times New Roman"/>
          <w:b/>
          <w:i/>
          <w:color w:val="000000" w:themeColor="text1"/>
        </w:rPr>
        <w:t>Forward-Looking Statements</w:t>
      </w:r>
    </w:p>
    <w:p w14:paraId="740AF2BB" w14:textId="7CD5B9E6" w:rsidR="004D1C78" w:rsidRPr="004576AC" w:rsidRDefault="004928E7" w:rsidP="004D1C78">
      <w:pPr>
        <w:pStyle w:val="BodyText"/>
        <w:spacing w:after="240"/>
        <w:jc w:val="both"/>
        <w:rPr>
          <w:rFonts w:ascii="Times New Roman" w:hAnsi="Times New Roman"/>
          <w:lang w:val="en-CA"/>
        </w:rPr>
      </w:pPr>
      <w:r w:rsidRPr="00233B8E">
        <w:rPr>
          <w:rFonts w:ascii="Times New Roman" w:hAnsi="Times New Roman"/>
          <w:color w:val="000000" w:themeColor="text1"/>
        </w:rPr>
        <w:t xml:space="preserve">This management discussion and analysis contains forward-looking statements that involve risks and </w:t>
      </w:r>
      <w:r w:rsidRPr="004D1C78">
        <w:rPr>
          <w:rFonts w:ascii="Times New Roman" w:hAnsi="Times New Roman"/>
          <w:color w:val="000000" w:themeColor="text1"/>
        </w:rPr>
        <w:t>uncertainties.  It uses words such as “may”, “would”, “could”, “will”, “likely”, “expect”, “anticipate”, “believe”, “intend”, “plan”, “forecast”, “project”, “estimate”, and other similar expressions to identify forward-looking statements. Forward-looking statements are subject to a variety of risks and uncertainties which could cause actual events or results to differ from those reflected in the forward-looking statements, including, without limitation, risks and uncertainties relating to the early stage of the Company’s development and the possibility that future development of the Company’s technology and business will not be consistent with management’s expectations</w:t>
      </w:r>
      <w:r w:rsidR="004D1C78" w:rsidRPr="004D1C78">
        <w:rPr>
          <w:rFonts w:ascii="Times New Roman" w:hAnsi="Times New Roman"/>
          <w:color w:val="000000" w:themeColor="text1"/>
        </w:rPr>
        <w:t>,</w:t>
      </w:r>
      <w:r w:rsidRPr="004D1C78">
        <w:rPr>
          <w:rFonts w:ascii="Times New Roman" w:hAnsi="Times New Roman"/>
          <w:color w:val="000000" w:themeColor="text1"/>
        </w:rPr>
        <w:t xml:space="preserve"> </w:t>
      </w:r>
      <w:r w:rsidR="004D1C78" w:rsidRPr="004D1C78">
        <w:rPr>
          <w:rFonts w:ascii="Times New Roman" w:hAnsi="Times New Roman"/>
          <w:color w:val="000000" w:themeColor="text1"/>
        </w:rPr>
        <w:t>the anticipated development and production for the Company</w:t>
      </w:r>
      <w:r w:rsidR="00F312A7">
        <w:rPr>
          <w:rFonts w:ascii="Times New Roman" w:hAnsi="Times New Roman"/>
          <w:color w:val="000000" w:themeColor="text1"/>
        </w:rPr>
        <w:t>’</w:t>
      </w:r>
      <w:r w:rsidR="004D1C78" w:rsidRPr="004D1C78">
        <w:rPr>
          <w:rFonts w:ascii="Times New Roman" w:hAnsi="Times New Roman"/>
          <w:color w:val="000000" w:themeColor="text1"/>
        </w:rPr>
        <w:t>s projects and products and the result of such research and development,</w:t>
      </w:r>
      <w:r w:rsidR="004D1C78" w:rsidRPr="004D1C78">
        <w:rPr>
          <w:rFonts w:ascii="Times New Roman" w:hAnsi="Times New Roman"/>
        </w:rPr>
        <w:t xml:space="preserve"> </w:t>
      </w:r>
      <w:r w:rsidR="004D1C78" w:rsidRPr="004D1C78">
        <w:rPr>
          <w:rFonts w:ascii="Times New Roman" w:hAnsi="Times New Roman"/>
          <w:color w:val="000000" w:themeColor="text1"/>
        </w:rPr>
        <w:t>the failure to meet the timelines the Company expects in respect of its product development and manufacturing objectives (if at all), the anticipated capital and operating costs associated to achieve the Company</w:t>
      </w:r>
      <w:r w:rsidR="00F312A7">
        <w:rPr>
          <w:rFonts w:ascii="Times New Roman" w:hAnsi="Times New Roman"/>
          <w:color w:val="000000" w:themeColor="text1"/>
        </w:rPr>
        <w:t>’</w:t>
      </w:r>
      <w:r w:rsidR="004D1C78" w:rsidRPr="004D1C78">
        <w:rPr>
          <w:rFonts w:ascii="Times New Roman" w:hAnsi="Times New Roman"/>
          <w:color w:val="000000" w:themeColor="text1"/>
        </w:rPr>
        <w:t xml:space="preserve">s objectives and milestones, the inherent uncertainty of cost estimates, the ability to control costs and risks relating to cost overruns and unexpected costs, the ability of the Company to successfully commercialize its products and </w:t>
      </w:r>
      <w:r w:rsidRPr="004D1C78">
        <w:rPr>
          <w:rFonts w:ascii="Times New Roman" w:hAnsi="Times New Roman"/>
          <w:color w:val="000000" w:themeColor="text1"/>
        </w:rPr>
        <w:t>difficulties in achieving commercial production or interruptions in such production if achieved,</w:t>
      </w:r>
      <w:r w:rsidR="009F4884" w:rsidRPr="004D1C78">
        <w:rPr>
          <w:rFonts w:ascii="Times New Roman" w:hAnsi="Times New Roman"/>
          <w:color w:val="000000" w:themeColor="text1"/>
        </w:rPr>
        <w:t xml:space="preserve"> </w:t>
      </w:r>
      <w:r w:rsidR="004D1C78" w:rsidRPr="004D1C78">
        <w:rPr>
          <w:rFonts w:ascii="Times New Roman" w:hAnsi="Times New Roman"/>
          <w:color w:val="000000" w:themeColor="text1"/>
        </w:rPr>
        <w:t xml:space="preserve">risks relating to capital markets and the ability of the Company to fund its operations on terms acceptable to it (if at all), the uncertainty of profitability and cessation of business (including for failure to obtain adequate or timely funding or due to other factors), </w:t>
      </w:r>
      <w:r w:rsidR="004D1C78" w:rsidRPr="004D1C78">
        <w:rPr>
          <w:rFonts w:ascii="Times New Roman" w:hAnsi="Times New Roman"/>
          <w:lang w:val="en-CA"/>
        </w:rPr>
        <w:t>actual results of engineering and product development being different than anticipated, competition from others, market factors, including future demand for and prices of the Company</w:t>
      </w:r>
      <w:r w:rsidR="00F312A7">
        <w:rPr>
          <w:rFonts w:ascii="Times New Roman" w:hAnsi="Times New Roman"/>
          <w:lang w:val="en-CA"/>
        </w:rPr>
        <w:t>’</w:t>
      </w:r>
      <w:r w:rsidR="004D1C78" w:rsidRPr="004D1C78">
        <w:rPr>
          <w:rFonts w:ascii="Times New Roman" w:hAnsi="Times New Roman"/>
          <w:lang w:val="en-CA"/>
        </w:rPr>
        <w:t xml:space="preserve">s products, </w:t>
      </w:r>
      <w:r w:rsidR="009F4884" w:rsidRPr="004D1C78">
        <w:rPr>
          <w:rFonts w:ascii="Times New Roman" w:hAnsi="Times New Roman"/>
          <w:color w:val="000000" w:themeColor="text1"/>
        </w:rPr>
        <w:t xml:space="preserve">inherent risks of </w:t>
      </w:r>
      <w:r w:rsidR="00FB7DDE" w:rsidRPr="004D1C78">
        <w:rPr>
          <w:rFonts w:ascii="Times New Roman" w:hAnsi="Times New Roman"/>
          <w:color w:val="000000" w:themeColor="text1"/>
        </w:rPr>
        <w:t>managing design and development operations in multiple countries, risks associated with supplier and sub-contractor delays and other operating uncertainties</w:t>
      </w:r>
      <w:r w:rsidR="00401C1D" w:rsidRPr="004D1C78">
        <w:rPr>
          <w:rFonts w:ascii="Times New Roman" w:hAnsi="Times New Roman"/>
          <w:color w:val="000000" w:themeColor="text1"/>
        </w:rPr>
        <w:t>,</w:t>
      </w:r>
      <w:r w:rsidRPr="004D1C78">
        <w:rPr>
          <w:rFonts w:ascii="Times New Roman" w:hAnsi="Times New Roman"/>
          <w:color w:val="000000" w:themeColor="text1"/>
        </w:rPr>
        <w:t xml:space="preserve"> </w:t>
      </w:r>
      <w:r w:rsidR="004D1C78" w:rsidRPr="004D1C78">
        <w:rPr>
          <w:rFonts w:ascii="Times New Roman" w:hAnsi="Times New Roman"/>
          <w:color w:val="000000" w:themeColor="text1"/>
        </w:rPr>
        <w:t xml:space="preserve">and the general risks of the semiconductor and photonics markets, </w:t>
      </w:r>
      <w:r w:rsidR="000230A3" w:rsidRPr="004D1C78">
        <w:rPr>
          <w:rFonts w:ascii="Times New Roman" w:hAnsi="Times New Roman"/>
          <w:color w:val="000000" w:themeColor="text1"/>
        </w:rPr>
        <w:t>among other factors</w:t>
      </w:r>
      <w:r w:rsidRPr="004D1C78">
        <w:rPr>
          <w:rFonts w:ascii="Times New Roman" w:hAnsi="Times New Roman"/>
          <w:color w:val="000000" w:themeColor="text1"/>
        </w:rPr>
        <w:t>.  The Company undertakes no obligation to update forward-looking statements if circumstances or Management’s estimates or opinions should change, except to the extent required by law.  The reader is cautioned not to place undue reliance on forward-looking statements.</w:t>
      </w:r>
      <w:r w:rsidR="004D1C78" w:rsidRPr="004D1C78">
        <w:rPr>
          <w:rFonts w:ascii="Times New Roman" w:hAnsi="Times New Roman"/>
          <w:color w:val="000000" w:themeColor="text1"/>
        </w:rPr>
        <w:t xml:space="preserve"> </w:t>
      </w:r>
      <w:r w:rsidR="004D1C78" w:rsidRPr="004D1C78">
        <w:rPr>
          <w:rFonts w:ascii="Times New Roman" w:hAnsi="Times New Roman"/>
          <w:lang w:val="en-CA"/>
        </w:rPr>
        <w:t>For more information on the Company and the risks and challenges of its business, investors should ‎review the Company</w:t>
      </w:r>
      <w:r w:rsidR="00F312A7">
        <w:rPr>
          <w:rFonts w:ascii="Times New Roman" w:hAnsi="Times New Roman"/>
          <w:lang w:val="en-CA"/>
        </w:rPr>
        <w:t>’</w:t>
      </w:r>
      <w:r w:rsidR="004D1C78" w:rsidRPr="004D1C78">
        <w:rPr>
          <w:rFonts w:ascii="Times New Roman" w:hAnsi="Times New Roman"/>
          <w:lang w:val="en-CA"/>
        </w:rPr>
        <w:t xml:space="preserve">s continuous disclosure documents that are available electronically on SEDAR+ at </w:t>
      </w:r>
      <w:hyperlink r:id="rId13" w:history="1">
        <w:r w:rsidR="004D1C78" w:rsidRPr="004D1C78">
          <w:rPr>
            <w:rStyle w:val="Hyperlink"/>
            <w:rFonts w:ascii="Times New Roman" w:hAnsi="Times New Roman"/>
            <w:lang w:val="en-CA"/>
          </w:rPr>
          <w:t>www.sedarplus.ca</w:t>
        </w:r>
      </w:hyperlink>
      <w:r w:rsidR="004D1C78" w:rsidRPr="004D1C78">
        <w:rPr>
          <w:rFonts w:ascii="Times New Roman" w:hAnsi="Times New Roman"/>
        </w:rPr>
        <w:t xml:space="preserve"> and EDGAR at </w:t>
      </w:r>
      <w:hyperlink r:id="rId14" w:history="1">
        <w:r w:rsidR="004D1C78" w:rsidRPr="004D1C78">
          <w:rPr>
            <w:rStyle w:val="Hyperlink"/>
            <w:rFonts w:ascii="Times New Roman" w:hAnsi="Times New Roman"/>
          </w:rPr>
          <w:t>www.sec.gov</w:t>
        </w:r>
      </w:hyperlink>
      <w:r w:rsidR="004D1C78" w:rsidRPr="004D1C78">
        <w:rPr>
          <w:rFonts w:ascii="Times New Roman" w:hAnsi="Times New Roman"/>
        </w:rPr>
        <w:t xml:space="preserve"> </w:t>
      </w:r>
      <w:r w:rsidR="004D1C78" w:rsidRPr="004D1C78">
        <w:rPr>
          <w:rFonts w:ascii="Times New Roman" w:hAnsi="Times New Roman"/>
          <w:lang w:val="en-CA"/>
        </w:rPr>
        <w:t>under the Company</w:t>
      </w:r>
      <w:r w:rsidR="00F312A7">
        <w:rPr>
          <w:rFonts w:ascii="Times New Roman" w:hAnsi="Times New Roman"/>
          <w:lang w:val="en-CA"/>
        </w:rPr>
        <w:t>’</w:t>
      </w:r>
      <w:r w:rsidR="004D1C78" w:rsidRPr="004D1C78">
        <w:rPr>
          <w:rFonts w:ascii="Times New Roman" w:hAnsi="Times New Roman"/>
          <w:lang w:val="en-CA"/>
        </w:rPr>
        <w:t>s profile.</w:t>
      </w:r>
      <w:r w:rsidR="004D1C78">
        <w:rPr>
          <w:rFonts w:ascii="Times New Roman" w:hAnsi="Times New Roman"/>
          <w:lang w:val="en-CA"/>
        </w:rPr>
        <w:t xml:space="preserve"> </w:t>
      </w:r>
    </w:p>
    <w:p w14:paraId="072FCFBC" w14:textId="77777777" w:rsidR="004A696F" w:rsidRDefault="004A696F" w:rsidP="004A696F">
      <w:pPr>
        <w:widowControl/>
        <w:spacing w:after="0"/>
        <w:rPr>
          <w:rFonts w:ascii="Times New Roman" w:hAnsi="Times New Roman"/>
          <w:b/>
          <w:u w:val="single"/>
        </w:rPr>
      </w:pPr>
    </w:p>
    <w:p w14:paraId="6644159B" w14:textId="4FF86461" w:rsidR="004A696F" w:rsidRPr="004A696F" w:rsidRDefault="004A696F" w:rsidP="004A696F">
      <w:pPr>
        <w:widowControl/>
        <w:spacing w:after="0"/>
        <w:rPr>
          <w:rFonts w:ascii="Times New Roman" w:hAnsi="Times New Roman"/>
          <w:b/>
          <w:u w:val="single"/>
        </w:rPr>
      </w:pPr>
      <w:r w:rsidRPr="004A696F">
        <w:rPr>
          <w:rFonts w:ascii="Times New Roman" w:hAnsi="Times New Roman"/>
          <w:b/>
          <w:u w:val="single"/>
        </w:rPr>
        <w:lastRenderedPageBreak/>
        <w:t xml:space="preserve">Overview </w:t>
      </w:r>
    </w:p>
    <w:p w14:paraId="14610C2C" w14:textId="77777777" w:rsidR="004A696F" w:rsidRDefault="004A696F" w:rsidP="004A696F">
      <w:pPr>
        <w:widowControl/>
        <w:spacing w:after="0"/>
        <w:rPr>
          <w:rFonts w:ascii="Times New Roman" w:hAnsi="Times New Roman"/>
          <w:b/>
        </w:rPr>
      </w:pPr>
    </w:p>
    <w:p w14:paraId="00DA5D8A" w14:textId="77777777" w:rsidR="00481128" w:rsidRPr="006F7015" w:rsidRDefault="00481128" w:rsidP="00481128">
      <w:pPr>
        <w:widowControl/>
        <w:spacing w:after="0"/>
        <w:jc w:val="both"/>
        <w:rPr>
          <w:rFonts w:ascii="Times New Roman" w:hAnsi="Times New Roman"/>
          <w:bCs/>
        </w:rPr>
      </w:pPr>
      <w:r w:rsidRPr="006F7015">
        <w:rPr>
          <w:rFonts w:ascii="Times New Roman" w:hAnsi="Times New Roman"/>
          <w:bCs/>
        </w:rPr>
        <w:t xml:space="preserve">The Company is incorporated under the laws of the Province of Ontario. The Company’s shares trade under the symbol “POET” on the Nasdaq in the U.S and under the symbol “PTK” on the TSX Venture Exchange in Canada. </w:t>
      </w:r>
    </w:p>
    <w:p w14:paraId="544319E6" w14:textId="77777777" w:rsidR="00481128" w:rsidRPr="006F7015" w:rsidRDefault="00481128" w:rsidP="00481128">
      <w:pPr>
        <w:widowControl/>
        <w:spacing w:after="0"/>
        <w:jc w:val="both"/>
        <w:rPr>
          <w:rFonts w:ascii="Times New Roman" w:hAnsi="Times New Roman"/>
          <w:bCs/>
        </w:rPr>
      </w:pPr>
      <w:r w:rsidRPr="006F7015">
        <w:rPr>
          <w:rFonts w:ascii="Times New Roman" w:hAnsi="Times New Roman"/>
          <w:bCs/>
        </w:rPr>
        <w:t>POET Technologies is a design and development company offering photonic integrated packaging solutions based on the POET Optical Interposer™, a novel platform that allows the seamless integration of electronic and photonic devices onto a single chip using advanced wafer-level semiconductor manufacturing techniques. The semiconductor industry has adopted the term “Wafer-Level Chip-Scale Packaging” (or “WLCSP”) to describe similar approaches within the semiconductor industry.  POET</w:t>
      </w:r>
      <w:r>
        <w:rPr>
          <w:rFonts w:ascii="Times New Roman" w:hAnsi="Times New Roman"/>
          <w:bCs/>
        </w:rPr>
        <w:t>’</w:t>
      </w:r>
      <w:r w:rsidRPr="006F7015">
        <w:rPr>
          <w:rFonts w:ascii="Times New Roman" w:hAnsi="Times New Roman"/>
          <w:bCs/>
        </w:rPr>
        <w:t xml:space="preserve">s Optical Interposer eliminates costly components and labor-intensive assembly, alignment, and testing methods employed in conventional photonics. We believe </w:t>
      </w:r>
      <w:r w:rsidRPr="004A696F">
        <w:rPr>
          <w:rFonts w:ascii="Times New Roman" w:hAnsi="Times New Roman"/>
          <w:bCs/>
        </w:rPr>
        <w:t>the cost-efficient integration scheme and scalability of the POET Optical Interposer brings value to devices</w:t>
      </w:r>
      <w:r w:rsidRPr="006F7015">
        <w:rPr>
          <w:rFonts w:ascii="Times New Roman" w:hAnsi="Times New Roman"/>
          <w:bCs/>
        </w:rPr>
        <w:t xml:space="preserve"> or systems that integrate electronics and photonics, including high-growth areas of communications and computing</w:t>
      </w:r>
      <w:r>
        <w:rPr>
          <w:rFonts w:ascii="Times New Roman" w:hAnsi="Times New Roman"/>
          <w:bCs/>
        </w:rPr>
        <w:t>.</w:t>
      </w:r>
      <w:r w:rsidRPr="006F7015">
        <w:rPr>
          <w:rFonts w:ascii="Times New Roman" w:hAnsi="Times New Roman"/>
          <w:bCs/>
        </w:rPr>
        <w:t xml:space="preserve"> </w:t>
      </w:r>
      <w:r>
        <w:rPr>
          <w:rFonts w:ascii="Times New Roman" w:hAnsi="Times New Roman"/>
          <w:bCs/>
        </w:rPr>
        <w:t xml:space="preserve">The emergence of Artificial Intelligence (AI) systems over the past year has placed extraordinary demands on </w:t>
      </w:r>
      <w:r w:rsidRPr="006F7015">
        <w:rPr>
          <w:rFonts w:ascii="Times New Roman" w:hAnsi="Times New Roman"/>
          <w:bCs/>
        </w:rPr>
        <w:t>cloud</w:t>
      </w:r>
      <w:r>
        <w:rPr>
          <w:rFonts w:ascii="Times New Roman" w:hAnsi="Times New Roman"/>
          <w:bCs/>
        </w:rPr>
        <w:t>-based AI</w:t>
      </w:r>
      <w:r w:rsidRPr="006F7015">
        <w:rPr>
          <w:rFonts w:ascii="Times New Roman" w:hAnsi="Times New Roman"/>
          <w:bCs/>
        </w:rPr>
        <w:t xml:space="preserve"> service providers and </w:t>
      </w:r>
      <w:r>
        <w:rPr>
          <w:rFonts w:ascii="Times New Roman" w:hAnsi="Times New Roman"/>
          <w:bCs/>
        </w:rPr>
        <w:t xml:space="preserve">hyperscale </w:t>
      </w:r>
      <w:r w:rsidRPr="006F7015">
        <w:rPr>
          <w:rFonts w:ascii="Times New Roman" w:hAnsi="Times New Roman"/>
          <w:bCs/>
        </w:rPr>
        <w:t>data centers</w:t>
      </w:r>
      <w:r>
        <w:rPr>
          <w:rFonts w:ascii="Times New Roman" w:hAnsi="Times New Roman"/>
          <w:bCs/>
        </w:rPr>
        <w:t xml:space="preserve"> for increases in network speeds and bandwidth and decreases in latency.  We believe that chip-scale integration is essential to developing hardware that can meet such demands and that POET is on the forefront of providing scalable solutions for current and future AI systems.  </w:t>
      </w:r>
    </w:p>
    <w:p w14:paraId="2D457130" w14:textId="77777777" w:rsidR="00481128" w:rsidRDefault="00481128" w:rsidP="00481128">
      <w:pPr>
        <w:widowControl/>
        <w:spacing w:after="0"/>
        <w:jc w:val="both"/>
        <w:rPr>
          <w:rFonts w:ascii="Times New Roman" w:hAnsi="Times New Roman"/>
          <w:bCs/>
          <w:lang w:val="en-CA"/>
        </w:rPr>
      </w:pPr>
    </w:p>
    <w:p w14:paraId="5C13FB34" w14:textId="77777777" w:rsidR="00481128" w:rsidRPr="006F7015" w:rsidRDefault="00481128" w:rsidP="00481128">
      <w:pPr>
        <w:widowControl/>
        <w:spacing w:after="0"/>
        <w:jc w:val="both"/>
        <w:rPr>
          <w:rFonts w:ascii="Times New Roman" w:hAnsi="Times New Roman"/>
          <w:bCs/>
          <w:lang w:val="en-CA"/>
        </w:rPr>
      </w:pPr>
      <w:r w:rsidRPr="006F7015">
        <w:rPr>
          <w:rFonts w:ascii="Times New Roman" w:hAnsi="Times New Roman"/>
          <w:bCs/>
          <w:lang w:val="en-CA"/>
        </w:rPr>
        <w:t>POET targeted as the first application of the Optical Interposer the development of optical engines for optical transceivers used in internet</w:t>
      </w:r>
      <w:r>
        <w:rPr>
          <w:rFonts w:ascii="Times New Roman" w:hAnsi="Times New Roman"/>
          <w:bCs/>
          <w:lang w:val="en-CA"/>
        </w:rPr>
        <w:t xml:space="preserve"> </w:t>
      </w:r>
      <w:r w:rsidRPr="006F7015">
        <w:rPr>
          <w:rFonts w:ascii="Times New Roman" w:hAnsi="Times New Roman"/>
          <w:bCs/>
          <w:lang w:val="en-CA"/>
        </w:rPr>
        <w:t xml:space="preserve">data centers. Optical Engines include all the passive and active components related to the production, manipulation, and detection of light within an Optical Transceiver.  Optical Transceivers </w:t>
      </w:r>
      <w:r w:rsidRPr="006F7015">
        <w:rPr>
          <w:rFonts w:ascii="Times New Roman" w:hAnsi="Times New Roman"/>
          <w:bCs/>
        </w:rPr>
        <w:t xml:space="preserve">plug into switches and servers within the data center and allow these network devices to send and receive data over fiber-optic cables. We chose this market because it is </w:t>
      </w:r>
      <w:proofErr w:type="gramStart"/>
      <w:r w:rsidRPr="006F7015">
        <w:rPr>
          <w:rFonts w:ascii="Times New Roman" w:hAnsi="Times New Roman"/>
          <w:bCs/>
        </w:rPr>
        <w:t>large in size</w:t>
      </w:r>
      <w:proofErr w:type="gramEnd"/>
      <w:r w:rsidRPr="006F7015">
        <w:rPr>
          <w:rFonts w:ascii="Times New Roman" w:hAnsi="Times New Roman"/>
          <w:bCs/>
        </w:rPr>
        <w:t xml:space="preserve">, has established standards for device performance, and the unit volumes of devices shipped annually are exceptionally high.  It is a market in which our advantages of cost, power consumption and ability to scale rapidly allow us to be competitive with other suppliers. </w:t>
      </w:r>
    </w:p>
    <w:p w14:paraId="0598DFA6" w14:textId="77777777" w:rsidR="00481128" w:rsidRDefault="00481128" w:rsidP="00481128">
      <w:pPr>
        <w:widowControl/>
        <w:spacing w:after="0"/>
        <w:jc w:val="both"/>
        <w:rPr>
          <w:rFonts w:ascii="Times New Roman" w:hAnsi="Times New Roman"/>
          <w:bCs/>
          <w:lang w:val="en-CA"/>
        </w:rPr>
      </w:pPr>
    </w:p>
    <w:p w14:paraId="54C88A0B" w14:textId="15FE2E40" w:rsidR="00481128" w:rsidRPr="006F7015" w:rsidRDefault="00481128" w:rsidP="00481128">
      <w:pPr>
        <w:widowControl/>
        <w:spacing w:after="0"/>
        <w:jc w:val="both"/>
        <w:rPr>
          <w:rFonts w:ascii="Times New Roman" w:hAnsi="Times New Roman"/>
          <w:bCs/>
          <w:lang w:val="en-CA"/>
        </w:rPr>
      </w:pPr>
      <w:r>
        <w:rPr>
          <w:rFonts w:ascii="Times New Roman" w:hAnsi="Times New Roman"/>
          <w:bCs/>
          <w:lang w:val="en-CA"/>
        </w:rPr>
        <w:t>The rapid growth of AI software systems represents a profound opportunity for POET.  We believe that the rapid growth of software services can only be sustained with hardware that meets the challenges of increasing speed and bandwidth, lower latency, lower power consumption, lower cost, and the ability to scale to the volumes that will be required by data centers globally.  POET meets the challenge</w:t>
      </w:r>
      <w:r w:rsidR="00F0581D">
        <w:rPr>
          <w:rFonts w:ascii="Times New Roman" w:hAnsi="Times New Roman"/>
          <w:bCs/>
          <w:lang w:val="en-CA"/>
        </w:rPr>
        <w:t xml:space="preserve"> of AI connectivity</w:t>
      </w:r>
      <w:r>
        <w:rPr>
          <w:rFonts w:ascii="Times New Roman" w:hAnsi="Times New Roman"/>
          <w:bCs/>
          <w:lang w:val="en-CA"/>
        </w:rPr>
        <w:t xml:space="preserve"> in two ways: first, by providing to the market integrated, chip-scale Optical Engines at speeds of 800Gbs (gigabits per second)</w:t>
      </w:r>
      <w:r w:rsidR="00F0581D">
        <w:rPr>
          <w:rFonts w:ascii="Times New Roman" w:hAnsi="Times New Roman"/>
          <w:bCs/>
          <w:lang w:val="en-CA"/>
        </w:rPr>
        <w:t xml:space="preserve">, </w:t>
      </w:r>
      <w:r>
        <w:rPr>
          <w:rFonts w:ascii="Times New Roman" w:hAnsi="Times New Roman"/>
          <w:bCs/>
          <w:lang w:val="en-CA"/>
        </w:rPr>
        <w:t xml:space="preserve">1.6Tbs (terabits per second) and 3.2Tbs in industry-standard pluggable form factors.  </w:t>
      </w:r>
      <w:r w:rsidR="00F0581D">
        <w:rPr>
          <w:rFonts w:ascii="Times New Roman" w:hAnsi="Times New Roman"/>
          <w:bCs/>
          <w:lang w:val="en-CA"/>
        </w:rPr>
        <w:t>Second</w:t>
      </w:r>
      <w:r>
        <w:rPr>
          <w:rFonts w:ascii="Times New Roman" w:hAnsi="Times New Roman"/>
          <w:bCs/>
          <w:lang w:val="en-CA"/>
        </w:rPr>
        <w:t xml:space="preserve">, we have used our Optical Interposer technology to develop Light Source products that address newly emerging architectures in data centers </w:t>
      </w:r>
      <w:r w:rsidR="0064579A">
        <w:rPr>
          <w:rFonts w:ascii="Times New Roman" w:hAnsi="Times New Roman"/>
          <w:bCs/>
          <w:lang w:val="en-CA"/>
        </w:rPr>
        <w:t xml:space="preserve">(including so-called “Co-Packaged Optics”) </w:t>
      </w:r>
      <w:r>
        <w:rPr>
          <w:rFonts w:ascii="Times New Roman" w:hAnsi="Times New Roman"/>
          <w:bCs/>
          <w:lang w:val="en-CA"/>
        </w:rPr>
        <w:t xml:space="preserve">that are based on chip-to-chip data transfer using light, rather than electrons, which resolves speed, bandwidth, latency, heat-generation and cost issues at a fundamental level.  The combination of POET’s focus on leading-edge Optical Transceivers and Light Source products for next generation data center architectures essentially places POET </w:t>
      </w:r>
      <w:r w:rsidR="0064579A">
        <w:rPr>
          <w:rFonts w:ascii="Times New Roman" w:hAnsi="Times New Roman"/>
          <w:bCs/>
          <w:lang w:val="en-CA"/>
        </w:rPr>
        <w:t>in a leading position</w:t>
      </w:r>
      <w:r>
        <w:rPr>
          <w:rFonts w:ascii="Times New Roman" w:hAnsi="Times New Roman"/>
          <w:bCs/>
          <w:lang w:val="en-CA"/>
        </w:rPr>
        <w:t xml:space="preserve"> </w:t>
      </w:r>
      <w:r w:rsidR="0064579A">
        <w:rPr>
          <w:rFonts w:ascii="Times New Roman" w:hAnsi="Times New Roman"/>
          <w:bCs/>
          <w:lang w:val="en-CA"/>
        </w:rPr>
        <w:t xml:space="preserve">focused </w:t>
      </w:r>
      <w:r w:rsidR="002E2C54">
        <w:rPr>
          <w:rFonts w:ascii="Times New Roman" w:hAnsi="Times New Roman"/>
          <w:bCs/>
          <w:lang w:val="en-CA"/>
        </w:rPr>
        <w:t xml:space="preserve">exclusively </w:t>
      </w:r>
      <w:r w:rsidR="0064579A">
        <w:rPr>
          <w:rFonts w:ascii="Times New Roman" w:hAnsi="Times New Roman"/>
          <w:bCs/>
          <w:lang w:val="en-CA"/>
        </w:rPr>
        <w:t>on AI Connectivity</w:t>
      </w:r>
      <w:r>
        <w:rPr>
          <w:rFonts w:ascii="Times New Roman" w:hAnsi="Times New Roman"/>
          <w:bCs/>
          <w:lang w:val="en-CA"/>
        </w:rPr>
        <w:t>.</w:t>
      </w:r>
      <w:r w:rsidRPr="006F7015">
        <w:rPr>
          <w:rFonts w:ascii="Times New Roman" w:hAnsi="Times New Roman"/>
          <w:bCs/>
          <w:lang w:val="en-CA"/>
        </w:rPr>
        <w:t xml:space="preserve"> </w:t>
      </w:r>
    </w:p>
    <w:p w14:paraId="232FDA72" w14:textId="77777777" w:rsidR="004A696F" w:rsidRPr="004A696F" w:rsidRDefault="004A696F" w:rsidP="004A696F">
      <w:pPr>
        <w:widowControl/>
        <w:spacing w:after="0"/>
        <w:rPr>
          <w:rFonts w:ascii="Times New Roman" w:hAnsi="Times New Roman"/>
          <w:b/>
          <w:u w:val="single"/>
          <w:lang w:val="en-CA"/>
        </w:rPr>
      </w:pPr>
    </w:p>
    <w:p w14:paraId="7DDC13EA" w14:textId="77777777" w:rsidR="004A696F" w:rsidRPr="00AA6F76" w:rsidRDefault="004A696F" w:rsidP="004A696F">
      <w:pPr>
        <w:widowControl/>
        <w:spacing w:after="0"/>
        <w:rPr>
          <w:rFonts w:ascii="Times New Roman" w:hAnsi="Times New Roman"/>
          <w:b/>
          <w:u w:val="single"/>
          <w:lang w:val="en-CA"/>
        </w:rPr>
      </w:pPr>
      <w:r w:rsidRPr="00AA6F76">
        <w:rPr>
          <w:rFonts w:ascii="Times New Roman" w:hAnsi="Times New Roman"/>
          <w:b/>
          <w:u w:val="single"/>
          <w:lang w:val="en-CA"/>
        </w:rPr>
        <w:t>Research &amp; Development</w:t>
      </w:r>
    </w:p>
    <w:p w14:paraId="65C64BB9" w14:textId="77777777" w:rsidR="00AA6F76" w:rsidRDefault="00AA6F76" w:rsidP="004A696F">
      <w:pPr>
        <w:widowControl/>
        <w:spacing w:after="0"/>
        <w:rPr>
          <w:rFonts w:ascii="Times New Roman" w:hAnsi="Times New Roman"/>
          <w:bCs/>
          <w:lang w:val="en-CA"/>
        </w:rPr>
      </w:pPr>
    </w:p>
    <w:p w14:paraId="7EF4E34D" w14:textId="1C7FA5F3" w:rsidR="004A696F" w:rsidRPr="006F7015" w:rsidRDefault="004A696F" w:rsidP="006F7015">
      <w:pPr>
        <w:widowControl/>
        <w:spacing w:after="0"/>
        <w:jc w:val="both"/>
        <w:rPr>
          <w:rFonts w:ascii="Times New Roman" w:hAnsi="Times New Roman"/>
          <w:bCs/>
          <w:lang w:val="en-CA"/>
        </w:rPr>
      </w:pPr>
      <w:bookmarkStart w:id="2" w:name="_Hlk193413051"/>
      <w:r w:rsidRPr="006F7015">
        <w:rPr>
          <w:rFonts w:ascii="Times New Roman" w:hAnsi="Times New Roman"/>
          <w:bCs/>
          <w:lang w:val="en-CA"/>
        </w:rPr>
        <w:t xml:space="preserve">Beginning in 2017, POET began designing lasers for data communications applications and directed </w:t>
      </w:r>
      <w:proofErr w:type="spellStart"/>
      <w:r w:rsidRPr="006F7015">
        <w:rPr>
          <w:rFonts w:ascii="Times New Roman" w:hAnsi="Times New Roman"/>
          <w:bCs/>
          <w:lang w:val="en-CA"/>
        </w:rPr>
        <w:t>DenseLight</w:t>
      </w:r>
      <w:proofErr w:type="spellEnd"/>
      <w:r w:rsidRPr="006F7015">
        <w:rPr>
          <w:rFonts w:ascii="Times New Roman" w:hAnsi="Times New Roman"/>
          <w:bCs/>
          <w:lang w:val="en-CA"/>
        </w:rPr>
        <w:t xml:space="preserve"> Semiconductors, Pte. Ltd., a former subsidiary of the Company, to build such lasers to be compatible with the Optical Interposer platform. In 2019, the Company decided to adopt a </w:t>
      </w:r>
      <w:r w:rsidR="006E3065">
        <w:rPr>
          <w:rFonts w:ascii="Times New Roman" w:hAnsi="Times New Roman"/>
          <w:bCs/>
          <w:lang w:val="en-CA"/>
        </w:rPr>
        <w:t>“</w:t>
      </w:r>
      <w:r w:rsidRPr="006F7015">
        <w:rPr>
          <w:rFonts w:ascii="Times New Roman" w:hAnsi="Times New Roman"/>
          <w:bCs/>
          <w:lang w:val="en-CA"/>
        </w:rPr>
        <w:t>fab light</w:t>
      </w:r>
      <w:r w:rsidR="006E3065">
        <w:rPr>
          <w:rFonts w:ascii="Times New Roman" w:hAnsi="Times New Roman"/>
          <w:bCs/>
          <w:lang w:val="en-CA"/>
        </w:rPr>
        <w:t>”</w:t>
      </w:r>
      <w:r w:rsidRPr="006F7015">
        <w:rPr>
          <w:rFonts w:ascii="Times New Roman" w:hAnsi="Times New Roman"/>
          <w:bCs/>
          <w:lang w:val="en-CA"/>
        </w:rPr>
        <w:t xml:space="preserve"> strategy, common among semiconductor companies, and divested its fabrication operations through the sale of </w:t>
      </w:r>
      <w:proofErr w:type="spellStart"/>
      <w:r w:rsidRPr="006F7015">
        <w:rPr>
          <w:rFonts w:ascii="Times New Roman" w:hAnsi="Times New Roman"/>
          <w:bCs/>
          <w:lang w:val="en-CA"/>
        </w:rPr>
        <w:t>DenseLight</w:t>
      </w:r>
      <w:proofErr w:type="spellEnd"/>
      <w:r w:rsidRPr="006F7015">
        <w:rPr>
          <w:rFonts w:ascii="Times New Roman" w:hAnsi="Times New Roman"/>
          <w:bCs/>
          <w:lang w:val="en-CA"/>
        </w:rPr>
        <w:t xml:space="preserve"> in November of that year. From 2018 - 2020, virtually all the R&amp;D spending in the Company was dedicated to design &amp;</w:t>
      </w:r>
      <w:r w:rsidR="006E2E47">
        <w:rPr>
          <w:rFonts w:ascii="Times New Roman" w:hAnsi="Times New Roman"/>
          <w:bCs/>
          <w:lang w:val="en-CA"/>
        </w:rPr>
        <w:t xml:space="preserve"> </w:t>
      </w:r>
      <w:r w:rsidRPr="006F7015">
        <w:rPr>
          <w:rFonts w:ascii="Times New Roman" w:hAnsi="Times New Roman"/>
          <w:bCs/>
          <w:lang w:val="en-CA"/>
        </w:rPr>
        <w:lastRenderedPageBreak/>
        <w:t xml:space="preserve">development of the Optical Interposer as a versatile platform technology, replete with features that enhance its utility across a variety of application spaces. </w:t>
      </w:r>
    </w:p>
    <w:p w14:paraId="0DDF149A" w14:textId="77777777" w:rsidR="00AA6F76" w:rsidRDefault="00AA6F76" w:rsidP="006F7015">
      <w:pPr>
        <w:widowControl/>
        <w:spacing w:after="0"/>
        <w:jc w:val="both"/>
        <w:rPr>
          <w:rFonts w:ascii="Times New Roman" w:hAnsi="Times New Roman"/>
          <w:bCs/>
          <w:lang w:val="en-CA"/>
        </w:rPr>
      </w:pPr>
    </w:p>
    <w:p w14:paraId="1CD3FD9E" w14:textId="07FD597E" w:rsidR="00481128" w:rsidRDefault="00481128" w:rsidP="00481128">
      <w:pPr>
        <w:widowControl/>
        <w:spacing w:after="0"/>
        <w:jc w:val="both"/>
        <w:rPr>
          <w:rFonts w:ascii="Times New Roman" w:hAnsi="Times New Roman"/>
          <w:bCs/>
          <w:lang w:val="en-CA"/>
        </w:rPr>
      </w:pPr>
      <w:r w:rsidRPr="006F7015">
        <w:rPr>
          <w:rFonts w:ascii="Times New Roman" w:hAnsi="Times New Roman"/>
          <w:bCs/>
          <w:lang w:val="en-CA"/>
        </w:rPr>
        <w:t>During the second half of 2021, the Company transitioned to product development by investing more than $2 million in the design &amp; development of 100G and 200G optical engines in several configurations, including customized designs for specific customers and applications. Samples of optical engines</w:t>
      </w:r>
      <w:r>
        <w:rPr>
          <w:rFonts w:ascii="Times New Roman" w:hAnsi="Times New Roman"/>
          <w:bCs/>
          <w:lang w:val="en-CA"/>
        </w:rPr>
        <w:t xml:space="preserve"> at various stages of development</w:t>
      </w:r>
      <w:r w:rsidRPr="006F7015">
        <w:rPr>
          <w:rFonts w:ascii="Times New Roman" w:hAnsi="Times New Roman"/>
          <w:bCs/>
          <w:lang w:val="en-CA"/>
        </w:rPr>
        <w:t xml:space="preserve"> were made available and delivered to customers in 2022</w:t>
      </w:r>
      <w:r>
        <w:rPr>
          <w:rFonts w:ascii="Times New Roman" w:hAnsi="Times New Roman"/>
          <w:bCs/>
          <w:lang w:val="en-CA"/>
        </w:rPr>
        <w:t xml:space="preserve"> for initial evaluation and in 2023 for design and customer qualification. POET’s effort in lower speed Optical Engine design and production was intended primarily as a way for POET to demonstrate the viability and market acceptance of its unique approach to integration and fabrication and to establish an initial presence in the market.</w:t>
      </w:r>
      <w:r w:rsidRPr="006F7015">
        <w:rPr>
          <w:rFonts w:ascii="Times New Roman" w:hAnsi="Times New Roman"/>
          <w:bCs/>
          <w:lang w:val="en-CA"/>
        </w:rPr>
        <w:t xml:space="preserve"> </w:t>
      </w:r>
      <w:r>
        <w:rPr>
          <w:rFonts w:ascii="Times New Roman" w:hAnsi="Times New Roman"/>
          <w:bCs/>
          <w:lang w:val="en-CA"/>
        </w:rPr>
        <w:t xml:space="preserve">However, the Company’s primary strategy is to offer Optical Engines at the highest speeds at which customers are deploying </w:t>
      </w:r>
      <w:r w:rsidR="002E2C54">
        <w:rPr>
          <w:rFonts w:ascii="Times New Roman" w:hAnsi="Times New Roman"/>
          <w:bCs/>
          <w:lang w:val="en-CA"/>
        </w:rPr>
        <w:t>optical t</w:t>
      </w:r>
      <w:r>
        <w:rPr>
          <w:rFonts w:ascii="Times New Roman" w:hAnsi="Times New Roman"/>
          <w:bCs/>
          <w:lang w:val="en-CA"/>
        </w:rPr>
        <w:t>ransceivers.  In 2025, we expect that we will be primarily in 800G, and heavily focused on those hyperscale data centers actively implementing AI services.  Consistent with this strategy,</w:t>
      </w:r>
      <w:r w:rsidRPr="006F7015">
        <w:rPr>
          <w:rFonts w:ascii="Times New Roman" w:hAnsi="Times New Roman"/>
          <w:bCs/>
          <w:lang w:val="en-CA"/>
        </w:rPr>
        <w:t xml:space="preserve"> the Company </w:t>
      </w:r>
      <w:r>
        <w:rPr>
          <w:rFonts w:ascii="Times New Roman" w:hAnsi="Times New Roman"/>
          <w:bCs/>
          <w:lang w:val="en-CA"/>
        </w:rPr>
        <w:t xml:space="preserve">has </w:t>
      </w:r>
      <w:r w:rsidRPr="006F7015">
        <w:rPr>
          <w:rFonts w:ascii="Times New Roman" w:hAnsi="Times New Roman"/>
          <w:bCs/>
          <w:lang w:val="en-CA"/>
        </w:rPr>
        <w:t xml:space="preserve">invested </w:t>
      </w:r>
      <w:r w:rsidRPr="00341610">
        <w:rPr>
          <w:rFonts w:ascii="Times New Roman" w:hAnsi="Times New Roman"/>
          <w:bCs/>
          <w:lang w:val="en-CA"/>
        </w:rPr>
        <w:t xml:space="preserve">approximately </w:t>
      </w:r>
      <w:r w:rsidRPr="008821B3">
        <w:rPr>
          <w:rFonts w:ascii="Times New Roman" w:hAnsi="Times New Roman"/>
          <w:bCs/>
          <w:lang w:val="en-CA"/>
        </w:rPr>
        <w:t xml:space="preserve">$20 million </w:t>
      </w:r>
      <w:r w:rsidRPr="006F7015">
        <w:rPr>
          <w:rFonts w:ascii="Times New Roman" w:hAnsi="Times New Roman"/>
          <w:bCs/>
          <w:lang w:val="en-CA"/>
        </w:rPr>
        <w:t>in design, development and engineering programs related to its 400G</w:t>
      </w:r>
      <w:r w:rsidR="001844C1">
        <w:rPr>
          <w:rFonts w:ascii="Times New Roman" w:hAnsi="Times New Roman"/>
          <w:bCs/>
          <w:lang w:val="en-CA"/>
        </w:rPr>
        <w:t xml:space="preserve">, </w:t>
      </w:r>
      <w:r>
        <w:rPr>
          <w:rFonts w:ascii="Times New Roman" w:hAnsi="Times New Roman"/>
          <w:bCs/>
          <w:lang w:val="en-CA"/>
        </w:rPr>
        <w:t xml:space="preserve">800G </w:t>
      </w:r>
      <w:r w:rsidR="001844C1">
        <w:rPr>
          <w:rFonts w:ascii="Times New Roman" w:hAnsi="Times New Roman"/>
          <w:bCs/>
          <w:lang w:val="en-CA"/>
        </w:rPr>
        <w:t xml:space="preserve">and 1.6T </w:t>
      </w:r>
      <w:r>
        <w:rPr>
          <w:rFonts w:ascii="Times New Roman" w:hAnsi="Times New Roman"/>
          <w:bCs/>
          <w:lang w:val="en-CA"/>
        </w:rPr>
        <w:t xml:space="preserve">transmit and receive </w:t>
      </w:r>
      <w:proofErr w:type="spellStart"/>
      <w:r>
        <w:rPr>
          <w:rFonts w:ascii="Times New Roman" w:hAnsi="Times New Roman"/>
          <w:bCs/>
          <w:lang w:val="en-CA"/>
        </w:rPr>
        <w:t>chiplets</w:t>
      </w:r>
      <w:proofErr w:type="spellEnd"/>
      <w:r w:rsidR="001844C1">
        <w:rPr>
          <w:rFonts w:ascii="Times New Roman" w:hAnsi="Times New Roman"/>
          <w:bCs/>
          <w:lang w:val="en-CA"/>
        </w:rPr>
        <w:t xml:space="preserve">, </w:t>
      </w:r>
      <w:r>
        <w:rPr>
          <w:rFonts w:ascii="Times New Roman" w:hAnsi="Times New Roman"/>
          <w:bCs/>
          <w:lang w:val="en-CA"/>
        </w:rPr>
        <w:t>in</w:t>
      </w:r>
      <w:r w:rsidR="001844C1">
        <w:rPr>
          <w:rFonts w:ascii="Times New Roman" w:hAnsi="Times New Roman"/>
          <w:bCs/>
          <w:lang w:val="en-CA"/>
        </w:rPr>
        <w:t xml:space="preserve"> external</w:t>
      </w:r>
      <w:r>
        <w:rPr>
          <w:rFonts w:ascii="Times New Roman" w:hAnsi="Times New Roman"/>
          <w:bCs/>
          <w:lang w:val="en-CA"/>
        </w:rPr>
        <w:t xml:space="preserve"> </w:t>
      </w:r>
      <w:r w:rsidRPr="006F7015">
        <w:rPr>
          <w:rFonts w:ascii="Times New Roman" w:hAnsi="Times New Roman"/>
          <w:bCs/>
          <w:lang w:val="en-CA"/>
        </w:rPr>
        <w:t>light source</w:t>
      </w:r>
      <w:r>
        <w:rPr>
          <w:rFonts w:ascii="Times New Roman" w:hAnsi="Times New Roman"/>
          <w:bCs/>
          <w:lang w:val="en-CA"/>
        </w:rPr>
        <w:t xml:space="preserve"> products</w:t>
      </w:r>
      <w:r w:rsidR="001844C1">
        <w:rPr>
          <w:rFonts w:ascii="Times New Roman" w:hAnsi="Times New Roman"/>
          <w:bCs/>
          <w:lang w:val="en-CA"/>
        </w:rPr>
        <w:t>, co-packaged optics</w:t>
      </w:r>
      <w:r>
        <w:rPr>
          <w:rFonts w:ascii="Times New Roman" w:hAnsi="Times New Roman"/>
          <w:bCs/>
          <w:lang w:val="en-CA"/>
        </w:rPr>
        <w:t xml:space="preserve"> </w:t>
      </w:r>
      <w:r w:rsidRPr="006F7015">
        <w:rPr>
          <w:rFonts w:ascii="Times New Roman" w:hAnsi="Times New Roman"/>
          <w:bCs/>
          <w:lang w:val="en-CA"/>
        </w:rPr>
        <w:t xml:space="preserve">and </w:t>
      </w:r>
      <w:r w:rsidR="001844C1">
        <w:rPr>
          <w:rFonts w:ascii="Times New Roman" w:hAnsi="Times New Roman"/>
          <w:bCs/>
          <w:lang w:val="en-CA"/>
        </w:rPr>
        <w:t xml:space="preserve">unique </w:t>
      </w:r>
      <w:r w:rsidRPr="006F7015">
        <w:rPr>
          <w:rFonts w:ascii="Times New Roman" w:hAnsi="Times New Roman"/>
          <w:bCs/>
          <w:lang w:val="en-CA"/>
        </w:rPr>
        <w:t>fabrication techniques</w:t>
      </w:r>
      <w:r w:rsidR="001844C1">
        <w:rPr>
          <w:rFonts w:ascii="Times New Roman" w:hAnsi="Times New Roman"/>
          <w:bCs/>
          <w:lang w:val="en-CA"/>
        </w:rPr>
        <w:t xml:space="preserve"> related to its Optical Interposer platform</w:t>
      </w:r>
      <w:r w:rsidRPr="006F7015">
        <w:rPr>
          <w:rFonts w:ascii="Times New Roman" w:hAnsi="Times New Roman"/>
          <w:bCs/>
          <w:lang w:val="en-CA"/>
        </w:rPr>
        <w:t xml:space="preserve">. </w:t>
      </w:r>
    </w:p>
    <w:p w14:paraId="0BB55591" w14:textId="77777777" w:rsidR="00481128" w:rsidRDefault="00481128" w:rsidP="00481128">
      <w:pPr>
        <w:widowControl/>
        <w:spacing w:after="0"/>
        <w:jc w:val="both"/>
        <w:rPr>
          <w:rFonts w:ascii="Times New Roman" w:hAnsi="Times New Roman"/>
          <w:bCs/>
          <w:lang w:val="en-CA"/>
        </w:rPr>
      </w:pPr>
    </w:p>
    <w:p w14:paraId="46A053DF" w14:textId="50F6FB7A" w:rsidR="00481128" w:rsidRPr="00B74C90" w:rsidRDefault="00481128" w:rsidP="00481128">
      <w:pPr>
        <w:widowControl/>
        <w:spacing w:after="0"/>
        <w:jc w:val="both"/>
        <w:rPr>
          <w:rFonts w:ascii="Times New Roman" w:hAnsi="Times New Roman"/>
          <w:b/>
          <w:lang w:val="en-CA"/>
        </w:rPr>
      </w:pPr>
      <w:r w:rsidRPr="00481EEA">
        <w:rPr>
          <w:rFonts w:ascii="Times New Roman" w:hAnsi="Times New Roman"/>
          <w:bCs/>
          <w:lang w:val="en-CA"/>
        </w:rPr>
        <w:t xml:space="preserve">The Company designed, tested and sampled </w:t>
      </w:r>
      <w:r>
        <w:rPr>
          <w:rFonts w:ascii="Times New Roman" w:hAnsi="Times New Roman"/>
          <w:bCs/>
          <w:lang w:val="en-CA"/>
        </w:rPr>
        <w:t xml:space="preserve">a first generation of </w:t>
      </w:r>
      <w:r w:rsidRPr="00481EEA">
        <w:rPr>
          <w:rFonts w:ascii="Times New Roman" w:hAnsi="Times New Roman"/>
          <w:bCs/>
          <w:lang w:val="en-CA"/>
        </w:rPr>
        <w:t xml:space="preserve">its </w:t>
      </w:r>
      <w:r>
        <w:rPr>
          <w:rFonts w:ascii="Times New Roman" w:hAnsi="Times New Roman"/>
          <w:bCs/>
          <w:lang w:val="en-CA"/>
        </w:rPr>
        <w:t xml:space="preserve">400G transmit (Tx) engines in 2024, and its 800G </w:t>
      </w:r>
      <w:r w:rsidRPr="00481EEA">
        <w:rPr>
          <w:rFonts w:ascii="Times New Roman" w:hAnsi="Times New Roman"/>
          <w:bCs/>
          <w:lang w:val="en-CA"/>
        </w:rPr>
        <w:t xml:space="preserve">receive </w:t>
      </w:r>
      <w:r>
        <w:rPr>
          <w:rFonts w:ascii="Times New Roman" w:hAnsi="Times New Roman"/>
          <w:bCs/>
          <w:lang w:val="en-CA"/>
        </w:rPr>
        <w:t xml:space="preserve">(Rx) </w:t>
      </w:r>
      <w:r w:rsidRPr="00481EEA">
        <w:rPr>
          <w:rFonts w:ascii="Times New Roman" w:hAnsi="Times New Roman"/>
          <w:bCs/>
          <w:lang w:val="en-CA"/>
        </w:rPr>
        <w:t xml:space="preserve">engine with various customers. </w:t>
      </w:r>
      <w:r>
        <w:rPr>
          <w:rFonts w:ascii="Times New Roman" w:hAnsi="Times New Roman"/>
          <w:bCs/>
          <w:lang w:val="en-CA"/>
        </w:rPr>
        <w:t xml:space="preserve">  The 800G Rx engine was well received, fully qualified and has been </w:t>
      </w:r>
      <w:r w:rsidR="00E2060D">
        <w:rPr>
          <w:rFonts w:ascii="Times New Roman" w:hAnsi="Times New Roman"/>
          <w:bCs/>
          <w:lang w:val="en-CA"/>
        </w:rPr>
        <w:t>designed into</w:t>
      </w:r>
      <w:r>
        <w:rPr>
          <w:rFonts w:ascii="Times New Roman" w:hAnsi="Times New Roman"/>
          <w:bCs/>
          <w:lang w:val="en-CA"/>
        </w:rPr>
        <w:t xml:space="preserve"> the optical transceiver modules of several customers during 2024</w:t>
      </w:r>
      <w:r w:rsidR="00E2060D">
        <w:rPr>
          <w:rFonts w:ascii="Times New Roman" w:hAnsi="Times New Roman"/>
          <w:bCs/>
          <w:lang w:val="en-CA"/>
        </w:rPr>
        <w:t xml:space="preserve"> and 2025</w:t>
      </w:r>
      <w:r>
        <w:rPr>
          <w:rFonts w:ascii="Times New Roman" w:hAnsi="Times New Roman"/>
          <w:bCs/>
          <w:lang w:val="en-CA"/>
        </w:rPr>
        <w:t>. The Company sample</w:t>
      </w:r>
      <w:r w:rsidR="00E2060D">
        <w:rPr>
          <w:rFonts w:ascii="Times New Roman" w:hAnsi="Times New Roman"/>
          <w:bCs/>
          <w:lang w:val="en-CA"/>
        </w:rPr>
        <w:t>d</w:t>
      </w:r>
      <w:r>
        <w:rPr>
          <w:rFonts w:ascii="Times New Roman" w:hAnsi="Times New Roman"/>
          <w:bCs/>
          <w:lang w:val="en-CA"/>
        </w:rPr>
        <w:t xml:space="preserve"> its second generation of 400G and 800G Tx engines in 2025</w:t>
      </w:r>
      <w:r w:rsidR="00E2060D">
        <w:rPr>
          <w:rFonts w:ascii="Times New Roman" w:hAnsi="Times New Roman"/>
          <w:bCs/>
          <w:lang w:val="en-CA"/>
        </w:rPr>
        <w:t xml:space="preserve"> as well as both Tx and Rx versions of its 1.6T </w:t>
      </w:r>
      <w:r>
        <w:rPr>
          <w:rFonts w:ascii="Times New Roman" w:hAnsi="Times New Roman"/>
          <w:bCs/>
          <w:lang w:val="en-CA"/>
        </w:rPr>
        <w:t>optical engine chipsets.  So long as the Company provides Optical Engines to optical transceiver module customers, there will always be</w:t>
      </w:r>
      <w:r w:rsidRPr="00481EEA">
        <w:rPr>
          <w:rFonts w:ascii="Times New Roman" w:hAnsi="Times New Roman"/>
          <w:bCs/>
          <w:lang w:val="en-CA"/>
        </w:rPr>
        <w:t xml:space="preserve"> customer centric adjustments to these products to fit their specific needs. </w:t>
      </w:r>
      <w:r w:rsidRPr="00FB6108">
        <w:rPr>
          <w:rFonts w:ascii="Times New Roman" w:hAnsi="Times New Roman"/>
          <w:bCs/>
          <w:lang w:val="en-CA"/>
        </w:rPr>
        <w:t xml:space="preserve">The cost to make these adjustments will vary depending on the customer requirements. </w:t>
      </w:r>
    </w:p>
    <w:p w14:paraId="655DCAD7" w14:textId="77777777" w:rsidR="00CF59D0" w:rsidRPr="00481EEA" w:rsidRDefault="00CF59D0" w:rsidP="006F7015">
      <w:pPr>
        <w:widowControl/>
        <w:spacing w:after="0"/>
        <w:jc w:val="both"/>
        <w:rPr>
          <w:rFonts w:ascii="Times New Roman" w:hAnsi="Times New Roman"/>
          <w:bCs/>
          <w:lang w:val="en-CA"/>
        </w:rPr>
      </w:pPr>
    </w:p>
    <w:p w14:paraId="6EF7E5DA" w14:textId="3E339C22" w:rsidR="004A696F" w:rsidRPr="006F7015" w:rsidRDefault="004A696F" w:rsidP="006F7015">
      <w:pPr>
        <w:widowControl/>
        <w:spacing w:after="0"/>
        <w:jc w:val="both"/>
        <w:rPr>
          <w:rFonts w:ascii="Times New Roman" w:hAnsi="Times New Roman"/>
          <w:bCs/>
          <w:lang w:val="en-CA"/>
        </w:rPr>
      </w:pPr>
      <w:r w:rsidRPr="00FB6108">
        <w:rPr>
          <w:rFonts w:ascii="Times New Roman" w:hAnsi="Times New Roman"/>
          <w:bCs/>
          <w:lang w:val="en-CA"/>
        </w:rPr>
        <w:t xml:space="preserve">The Company </w:t>
      </w:r>
      <w:r w:rsidR="00B567AB">
        <w:rPr>
          <w:rFonts w:ascii="Times New Roman" w:hAnsi="Times New Roman"/>
          <w:bCs/>
          <w:lang w:val="en-CA"/>
        </w:rPr>
        <w:t>invested approximately</w:t>
      </w:r>
      <w:r w:rsidRPr="00FB6108">
        <w:rPr>
          <w:rFonts w:ascii="Times New Roman" w:hAnsi="Times New Roman"/>
          <w:bCs/>
          <w:lang w:val="en-CA"/>
        </w:rPr>
        <w:t xml:space="preserve"> $</w:t>
      </w:r>
      <w:r w:rsidR="00BA30A2">
        <w:rPr>
          <w:rFonts w:ascii="Times New Roman" w:hAnsi="Times New Roman"/>
          <w:bCs/>
          <w:lang w:val="en-CA"/>
        </w:rPr>
        <w:t>9.</w:t>
      </w:r>
      <w:r w:rsidR="00B567AB">
        <w:rPr>
          <w:rFonts w:ascii="Times New Roman" w:hAnsi="Times New Roman"/>
          <w:bCs/>
          <w:lang w:val="en-CA"/>
        </w:rPr>
        <w:t>2</w:t>
      </w:r>
      <w:r w:rsidRPr="00FB6108">
        <w:rPr>
          <w:rFonts w:ascii="Times New Roman" w:hAnsi="Times New Roman"/>
          <w:bCs/>
          <w:lang w:val="en-CA"/>
        </w:rPr>
        <w:t xml:space="preserve"> million in 202</w:t>
      </w:r>
      <w:r w:rsidR="000302C9" w:rsidRPr="00FB6108">
        <w:rPr>
          <w:rFonts w:ascii="Times New Roman" w:hAnsi="Times New Roman"/>
          <w:bCs/>
          <w:lang w:val="en-CA"/>
        </w:rPr>
        <w:t>4</w:t>
      </w:r>
      <w:r w:rsidRPr="00FB6108">
        <w:rPr>
          <w:rFonts w:ascii="Times New Roman" w:hAnsi="Times New Roman"/>
          <w:bCs/>
          <w:lang w:val="en-CA"/>
        </w:rPr>
        <w:t xml:space="preserve"> </w:t>
      </w:r>
      <w:r w:rsidR="00B567AB">
        <w:rPr>
          <w:rFonts w:ascii="Times New Roman" w:hAnsi="Times New Roman"/>
          <w:bCs/>
          <w:lang w:val="en-CA"/>
        </w:rPr>
        <w:t xml:space="preserve">in the development of </w:t>
      </w:r>
      <w:r w:rsidR="00BA30A2">
        <w:rPr>
          <w:rFonts w:ascii="Times New Roman" w:hAnsi="Times New Roman"/>
          <w:bCs/>
          <w:lang w:val="en-CA"/>
        </w:rPr>
        <w:t>its 8</w:t>
      </w:r>
      <w:r w:rsidR="00CF59D0" w:rsidRPr="00FB6108">
        <w:rPr>
          <w:rFonts w:ascii="Times New Roman" w:hAnsi="Times New Roman"/>
          <w:bCs/>
          <w:lang w:val="en-CA"/>
        </w:rPr>
        <w:t xml:space="preserve">00G </w:t>
      </w:r>
      <w:r w:rsidR="00F826B8" w:rsidRPr="00FB6108">
        <w:rPr>
          <w:rFonts w:ascii="Times New Roman" w:hAnsi="Times New Roman"/>
          <w:bCs/>
          <w:lang w:val="en-CA"/>
        </w:rPr>
        <w:t xml:space="preserve">and 1.6T optical </w:t>
      </w:r>
      <w:r w:rsidR="000934F7">
        <w:rPr>
          <w:rFonts w:ascii="Times New Roman" w:hAnsi="Times New Roman"/>
          <w:bCs/>
          <w:lang w:val="en-CA"/>
        </w:rPr>
        <w:t xml:space="preserve">engine chipsets </w:t>
      </w:r>
      <w:r w:rsidR="00BA30A2">
        <w:rPr>
          <w:rFonts w:ascii="Times New Roman" w:hAnsi="Times New Roman"/>
          <w:bCs/>
          <w:lang w:val="en-CA"/>
        </w:rPr>
        <w:t>and light sources for artificial intelligence</w:t>
      </w:r>
      <w:r w:rsidR="00B567AB">
        <w:rPr>
          <w:rFonts w:ascii="Times New Roman" w:hAnsi="Times New Roman"/>
          <w:bCs/>
          <w:lang w:val="en-CA"/>
        </w:rPr>
        <w:t xml:space="preserve"> and is expected to invest an additional </w:t>
      </w:r>
      <w:r w:rsidR="00E02A7F">
        <w:rPr>
          <w:rFonts w:ascii="Times New Roman" w:hAnsi="Times New Roman"/>
          <w:bCs/>
          <w:lang w:val="en-CA"/>
        </w:rPr>
        <w:t>$</w:t>
      </w:r>
      <w:r w:rsidR="0004375E">
        <w:rPr>
          <w:rFonts w:ascii="Times New Roman" w:hAnsi="Times New Roman"/>
          <w:bCs/>
          <w:lang w:val="en-CA"/>
        </w:rPr>
        <w:t>10.8</w:t>
      </w:r>
      <w:r w:rsidR="00E02A7F">
        <w:rPr>
          <w:rFonts w:ascii="Times New Roman" w:hAnsi="Times New Roman"/>
          <w:bCs/>
          <w:lang w:val="en-CA"/>
        </w:rPr>
        <w:t xml:space="preserve"> million </w:t>
      </w:r>
      <w:r w:rsidR="008043A3">
        <w:rPr>
          <w:rFonts w:ascii="Times New Roman" w:hAnsi="Times New Roman"/>
          <w:bCs/>
          <w:lang w:val="en-CA"/>
        </w:rPr>
        <w:t>between 2025 and 2026</w:t>
      </w:r>
      <w:r w:rsidR="00E02A7F">
        <w:rPr>
          <w:rFonts w:ascii="Times New Roman" w:hAnsi="Times New Roman"/>
          <w:bCs/>
          <w:lang w:val="en-CA"/>
        </w:rPr>
        <w:t xml:space="preserve"> on these products</w:t>
      </w:r>
      <w:r w:rsidRPr="00FB6108">
        <w:rPr>
          <w:rFonts w:ascii="Times New Roman" w:hAnsi="Times New Roman"/>
          <w:bCs/>
          <w:lang w:val="en-CA"/>
        </w:rPr>
        <w:t>.</w:t>
      </w:r>
      <w:r w:rsidR="00CF59D0" w:rsidRPr="00FB6108">
        <w:rPr>
          <w:rFonts w:ascii="Times New Roman" w:hAnsi="Times New Roman"/>
          <w:bCs/>
          <w:lang w:val="en-CA"/>
        </w:rPr>
        <w:t xml:space="preserve"> </w:t>
      </w:r>
      <w:r w:rsidR="007725FF" w:rsidRPr="00FB6108">
        <w:rPr>
          <w:rFonts w:ascii="Times New Roman" w:hAnsi="Times New Roman"/>
          <w:bCs/>
          <w:lang w:val="en-CA"/>
        </w:rPr>
        <w:t xml:space="preserve">The Company </w:t>
      </w:r>
      <w:r w:rsidR="00E2060D">
        <w:rPr>
          <w:rFonts w:ascii="Times New Roman" w:hAnsi="Times New Roman"/>
          <w:bCs/>
          <w:lang w:val="en-CA"/>
        </w:rPr>
        <w:t>de</w:t>
      </w:r>
      <w:r w:rsidR="009246BC">
        <w:rPr>
          <w:rFonts w:ascii="Times New Roman" w:hAnsi="Times New Roman"/>
          <w:bCs/>
          <w:lang w:val="en-CA"/>
        </w:rPr>
        <w:t xml:space="preserve">-prioritized </w:t>
      </w:r>
      <w:r w:rsidR="00F826B8" w:rsidRPr="00FB6108">
        <w:rPr>
          <w:rFonts w:ascii="Times New Roman" w:hAnsi="Times New Roman"/>
          <w:bCs/>
          <w:lang w:val="en-CA"/>
        </w:rPr>
        <w:t xml:space="preserve">the development </w:t>
      </w:r>
      <w:r w:rsidR="007725FF" w:rsidRPr="00FB6108">
        <w:rPr>
          <w:rFonts w:ascii="Times New Roman" w:hAnsi="Times New Roman"/>
          <w:bCs/>
          <w:lang w:val="en-CA"/>
        </w:rPr>
        <w:t xml:space="preserve">and sale </w:t>
      </w:r>
      <w:r w:rsidR="00F826B8" w:rsidRPr="00FB6108">
        <w:rPr>
          <w:rFonts w:ascii="Times New Roman" w:hAnsi="Times New Roman"/>
          <w:bCs/>
          <w:lang w:val="en-CA"/>
        </w:rPr>
        <w:t xml:space="preserve">of </w:t>
      </w:r>
      <w:r w:rsidR="007725FF" w:rsidRPr="00FB6108">
        <w:rPr>
          <w:rFonts w:ascii="Times New Roman" w:hAnsi="Times New Roman"/>
          <w:bCs/>
          <w:lang w:val="en-CA"/>
        </w:rPr>
        <w:t>POET</w:t>
      </w:r>
      <w:r w:rsidR="00F826B8" w:rsidRPr="00FB6108">
        <w:rPr>
          <w:rFonts w:ascii="Times New Roman" w:hAnsi="Times New Roman"/>
          <w:bCs/>
          <w:lang w:val="en-CA"/>
        </w:rPr>
        <w:t xml:space="preserve"> optical transceiver modules</w:t>
      </w:r>
      <w:r w:rsidR="009246BC">
        <w:rPr>
          <w:rFonts w:ascii="Times New Roman" w:hAnsi="Times New Roman"/>
          <w:bCs/>
          <w:lang w:val="en-CA"/>
        </w:rPr>
        <w:t xml:space="preserve"> </w:t>
      </w:r>
      <w:r w:rsidR="00E02A7F">
        <w:rPr>
          <w:rFonts w:ascii="Times New Roman" w:hAnsi="Times New Roman"/>
          <w:bCs/>
          <w:lang w:val="en-CA"/>
        </w:rPr>
        <w:t xml:space="preserve">in </w:t>
      </w:r>
      <w:r w:rsidR="005624C0">
        <w:rPr>
          <w:rFonts w:ascii="Times New Roman" w:hAnsi="Times New Roman"/>
          <w:bCs/>
          <w:lang w:val="en-CA"/>
        </w:rPr>
        <w:t>2025</w:t>
      </w:r>
      <w:r w:rsidR="009246BC">
        <w:rPr>
          <w:rFonts w:ascii="Times New Roman" w:hAnsi="Times New Roman"/>
          <w:bCs/>
          <w:lang w:val="en-CA"/>
        </w:rPr>
        <w:t xml:space="preserve"> to avoid conflicts with its module customers. Instead, we are deploying an </w:t>
      </w:r>
      <w:r w:rsidR="00E02A7F">
        <w:rPr>
          <w:rFonts w:ascii="Times New Roman" w:hAnsi="Times New Roman"/>
          <w:bCs/>
          <w:lang w:val="en-CA"/>
        </w:rPr>
        <w:t>estimated $</w:t>
      </w:r>
      <w:r w:rsidR="00453AAF">
        <w:rPr>
          <w:rFonts w:ascii="Times New Roman" w:hAnsi="Times New Roman"/>
          <w:bCs/>
          <w:lang w:val="en-CA"/>
        </w:rPr>
        <w:t>8.0</w:t>
      </w:r>
      <w:r w:rsidR="00E02A7F">
        <w:rPr>
          <w:rFonts w:ascii="Times New Roman" w:hAnsi="Times New Roman"/>
          <w:bCs/>
          <w:lang w:val="en-CA"/>
        </w:rPr>
        <w:t xml:space="preserve"> million </w:t>
      </w:r>
      <w:r w:rsidR="00770CED">
        <w:rPr>
          <w:rFonts w:ascii="Times New Roman" w:hAnsi="Times New Roman"/>
          <w:bCs/>
          <w:lang w:val="en-CA"/>
        </w:rPr>
        <w:t>over the next two years</w:t>
      </w:r>
      <w:r w:rsidR="009246BC">
        <w:rPr>
          <w:rFonts w:ascii="Times New Roman" w:hAnsi="Times New Roman"/>
          <w:bCs/>
          <w:lang w:val="en-CA"/>
        </w:rPr>
        <w:t xml:space="preserve"> toward our development of </w:t>
      </w:r>
      <w:r w:rsidR="0013042B">
        <w:rPr>
          <w:rFonts w:ascii="Times New Roman" w:hAnsi="Times New Roman"/>
          <w:bCs/>
          <w:lang w:val="en-CA"/>
        </w:rPr>
        <w:t>light source products</w:t>
      </w:r>
      <w:r w:rsidR="007725FF">
        <w:rPr>
          <w:rFonts w:ascii="Times New Roman" w:hAnsi="Times New Roman"/>
          <w:bCs/>
          <w:lang w:val="en-CA"/>
        </w:rPr>
        <w:t>.</w:t>
      </w:r>
    </w:p>
    <w:bookmarkEnd w:id="2"/>
    <w:p w14:paraId="3739BBF4" w14:textId="77777777" w:rsidR="004A696F" w:rsidRPr="006F7015" w:rsidRDefault="004A696F" w:rsidP="004A696F">
      <w:pPr>
        <w:widowControl/>
        <w:spacing w:after="0"/>
        <w:rPr>
          <w:rFonts w:ascii="Times New Roman" w:hAnsi="Times New Roman"/>
          <w:bCs/>
          <w:u w:val="single"/>
        </w:rPr>
      </w:pPr>
    </w:p>
    <w:p w14:paraId="3CEC5EE0" w14:textId="77777777" w:rsidR="004A696F" w:rsidRPr="00AA6F76" w:rsidRDefault="004A696F" w:rsidP="004A696F">
      <w:pPr>
        <w:widowControl/>
        <w:spacing w:after="0"/>
        <w:rPr>
          <w:rFonts w:ascii="Times New Roman" w:hAnsi="Times New Roman"/>
          <w:b/>
          <w:u w:val="single"/>
        </w:rPr>
      </w:pPr>
      <w:r w:rsidRPr="00AA6F76">
        <w:rPr>
          <w:rFonts w:ascii="Times New Roman" w:hAnsi="Times New Roman"/>
          <w:b/>
          <w:u w:val="single"/>
        </w:rPr>
        <w:t>Target Markets</w:t>
      </w:r>
    </w:p>
    <w:p w14:paraId="5CB27601" w14:textId="77777777" w:rsidR="00AA6F76" w:rsidRDefault="00AA6F76" w:rsidP="004A696F">
      <w:pPr>
        <w:widowControl/>
        <w:spacing w:after="0"/>
        <w:rPr>
          <w:rFonts w:ascii="Times New Roman" w:hAnsi="Times New Roman"/>
          <w:bCs/>
          <w:i/>
          <w:iCs/>
          <w:u w:val="single"/>
          <w:lang w:val="en-CA"/>
        </w:rPr>
      </w:pPr>
    </w:p>
    <w:p w14:paraId="53008C0B" w14:textId="76DD3107" w:rsidR="004A696F" w:rsidRPr="006F7015" w:rsidRDefault="004A696F" w:rsidP="004A696F">
      <w:pPr>
        <w:widowControl/>
        <w:spacing w:after="0"/>
        <w:rPr>
          <w:rFonts w:ascii="Times New Roman" w:hAnsi="Times New Roman"/>
          <w:bCs/>
          <w:i/>
          <w:iCs/>
          <w:u w:val="single"/>
          <w:lang w:val="en-CA"/>
        </w:rPr>
      </w:pPr>
      <w:r w:rsidRPr="006F7015">
        <w:rPr>
          <w:rFonts w:ascii="Times New Roman" w:hAnsi="Times New Roman"/>
          <w:bCs/>
          <w:i/>
          <w:iCs/>
          <w:u w:val="single"/>
          <w:lang w:val="en-CA"/>
        </w:rPr>
        <w:t xml:space="preserve">Data Center </w:t>
      </w:r>
      <w:r w:rsidR="00266E26">
        <w:rPr>
          <w:rFonts w:ascii="Times New Roman" w:hAnsi="Times New Roman"/>
          <w:bCs/>
          <w:i/>
          <w:iCs/>
          <w:u w:val="single"/>
          <w:lang w:val="en-CA"/>
        </w:rPr>
        <w:t xml:space="preserve">AI </w:t>
      </w:r>
      <w:r w:rsidRPr="006F7015">
        <w:rPr>
          <w:rFonts w:ascii="Times New Roman" w:hAnsi="Times New Roman"/>
          <w:bCs/>
          <w:i/>
          <w:iCs/>
          <w:u w:val="single"/>
          <w:lang w:val="en-CA"/>
        </w:rPr>
        <w:t>Market</w:t>
      </w:r>
    </w:p>
    <w:p w14:paraId="75CBF68C" w14:textId="77777777" w:rsidR="00AA6F76" w:rsidRDefault="00AA6F76" w:rsidP="004A696F">
      <w:pPr>
        <w:widowControl/>
        <w:spacing w:after="0"/>
        <w:rPr>
          <w:rFonts w:ascii="Times New Roman" w:hAnsi="Times New Roman"/>
          <w:bCs/>
          <w:lang w:val="en-CA"/>
        </w:rPr>
      </w:pPr>
    </w:p>
    <w:p w14:paraId="01894B93" w14:textId="1175BD4F" w:rsidR="00481128" w:rsidRDefault="00481128" w:rsidP="00481128">
      <w:pPr>
        <w:widowControl/>
        <w:spacing w:after="0"/>
        <w:jc w:val="both"/>
        <w:rPr>
          <w:rFonts w:ascii="Times New Roman" w:hAnsi="Times New Roman"/>
          <w:bCs/>
        </w:rPr>
      </w:pPr>
      <w:r w:rsidRPr="006F7015">
        <w:rPr>
          <w:rFonts w:ascii="Times New Roman" w:hAnsi="Times New Roman"/>
          <w:bCs/>
          <w:lang w:val="en-CA"/>
        </w:rPr>
        <w:t xml:space="preserve">To support the substantial increase in bandwidth consumption, data center operators are increasing the scale of their data centers and deploying infrastructure capable of higher data transmission rates. At the present time, much of the industry is moving from 100G to 400G and higher. </w:t>
      </w:r>
      <w:r>
        <w:rPr>
          <w:rFonts w:ascii="Times New Roman" w:hAnsi="Times New Roman"/>
          <w:bCs/>
          <w:lang w:val="en-CA"/>
        </w:rPr>
        <w:t xml:space="preserve">With the growth of AI networks, interest in acquiring 800G capable optical transceivers has literally skyrocketed.  </w:t>
      </w:r>
      <w:proofErr w:type="spellStart"/>
      <w:r>
        <w:rPr>
          <w:rFonts w:ascii="Times New Roman" w:hAnsi="Times New Roman"/>
          <w:bCs/>
          <w:lang w:val="en-CA"/>
        </w:rPr>
        <w:t>DataIntelo</w:t>
      </w:r>
      <w:proofErr w:type="spellEnd"/>
      <w:r>
        <w:rPr>
          <w:rFonts w:ascii="Times New Roman" w:hAnsi="Times New Roman"/>
          <w:bCs/>
          <w:lang w:val="en-CA"/>
        </w:rPr>
        <w:t xml:space="preserve"> Report (2024) reports that the global 800G transceiver market was approximately $1.5 billion in 2023 and is projected to reach $9.8 billion by 2032, a CAGR of 22.8%</w:t>
      </w:r>
      <w:r>
        <w:rPr>
          <w:rStyle w:val="FootnoteReference"/>
          <w:rFonts w:ascii="Times New Roman" w:hAnsi="Times New Roman"/>
          <w:bCs/>
          <w:lang w:val="en-CA"/>
        </w:rPr>
        <w:footnoteReference w:id="2"/>
      </w:r>
      <w:r>
        <w:rPr>
          <w:rFonts w:ascii="Times New Roman" w:hAnsi="Times New Roman"/>
          <w:bCs/>
          <w:lang w:val="en-CA"/>
        </w:rPr>
        <w:t xml:space="preserve">. </w:t>
      </w:r>
      <w:r w:rsidRPr="006F7015">
        <w:rPr>
          <w:rFonts w:ascii="Times New Roman" w:hAnsi="Times New Roman"/>
          <w:bCs/>
          <w:lang w:val="en-CA"/>
        </w:rPr>
        <w:t xml:space="preserve">As transceiver speeds have increased the cost and complexity of assembling optical modules has also increased, few module makers </w:t>
      </w:r>
      <w:proofErr w:type="gramStart"/>
      <w:r w:rsidRPr="006F7015">
        <w:rPr>
          <w:rFonts w:ascii="Times New Roman" w:hAnsi="Times New Roman"/>
          <w:bCs/>
          <w:lang w:val="en-CA"/>
        </w:rPr>
        <w:t>hav</w:t>
      </w:r>
      <w:r>
        <w:rPr>
          <w:rFonts w:ascii="Times New Roman" w:hAnsi="Times New Roman"/>
          <w:bCs/>
          <w:lang w:val="en-CA"/>
        </w:rPr>
        <w:t>e</w:t>
      </w:r>
      <w:r w:rsidRPr="006F7015">
        <w:rPr>
          <w:rFonts w:ascii="Times New Roman" w:hAnsi="Times New Roman"/>
          <w:bCs/>
          <w:lang w:val="en-CA"/>
        </w:rPr>
        <w:t xml:space="preserve"> the ability to</w:t>
      </w:r>
      <w:proofErr w:type="gramEnd"/>
      <w:r w:rsidRPr="006F7015">
        <w:rPr>
          <w:rFonts w:ascii="Times New Roman" w:hAnsi="Times New Roman"/>
          <w:bCs/>
          <w:lang w:val="en-CA"/>
        </w:rPr>
        <w:t xml:space="preserve"> achieve economies of scale with conventional, non-semiconductor-based approaches. </w:t>
      </w:r>
      <w:r w:rsidRPr="006F7015">
        <w:rPr>
          <w:rFonts w:ascii="Times New Roman" w:hAnsi="Times New Roman"/>
          <w:bCs/>
        </w:rPr>
        <w:t xml:space="preserve">We believe that products incorporating the Company’s unique technology will </w:t>
      </w:r>
      <w:r w:rsidRPr="006F7015">
        <w:rPr>
          <w:rFonts w:ascii="Times New Roman" w:hAnsi="Times New Roman"/>
          <w:bCs/>
        </w:rPr>
        <w:lastRenderedPageBreak/>
        <w:t>enable POET to capture a</w:t>
      </w:r>
      <w:r w:rsidR="0013042B">
        <w:rPr>
          <w:rFonts w:ascii="Times New Roman" w:hAnsi="Times New Roman"/>
          <w:bCs/>
        </w:rPr>
        <w:t xml:space="preserve"> meaningful</w:t>
      </w:r>
      <w:r w:rsidRPr="006F7015">
        <w:rPr>
          <w:rFonts w:ascii="Times New Roman" w:hAnsi="Times New Roman"/>
          <w:bCs/>
        </w:rPr>
        <w:t xml:space="preserve"> share of this large market, especially at the cutting edge of higher speeds, particularly as </w:t>
      </w:r>
      <w:r>
        <w:rPr>
          <w:rFonts w:ascii="Times New Roman" w:hAnsi="Times New Roman"/>
          <w:bCs/>
        </w:rPr>
        <w:t xml:space="preserve">AI-driven </w:t>
      </w:r>
      <w:r w:rsidRPr="006F7015">
        <w:rPr>
          <w:rFonts w:ascii="Times New Roman" w:hAnsi="Times New Roman"/>
          <w:bCs/>
        </w:rPr>
        <w:t xml:space="preserve">data centers </w:t>
      </w:r>
      <w:r>
        <w:rPr>
          <w:rFonts w:ascii="Times New Roman" w:hAnsi="Times New Roman"/>
          <w:bCs/>
        </w:rPr>
        <w:t>increasingly deploy</w:t>
      </w:r>
      <w:r w:rsidRPr="006F7015">
        <w:rPr>
          <w:rFonts w:ascii="Times New Roman" w:hAnsi="Times New Roman"/>
          <w:bCs/>
        </w:rPr>
        <w:t xml:space="preserve"> 800G </w:t>
      </w:r>
      <w:r>
        <w:rPr>
          <w:rFonts w:ascii="Times New Roman" w:hAnsi="Times New Roman"/>
          <w:bCs/>
        </w:rPr>
        <w:t xml:space="preserve">optical transceivers </w:t>
      </w:r>
      <w:r w:rsidRPr="006F7015">
        <w:rPr>
          <w:rFonts w:ascii="Times New Roman" w:hAnsi="Times New Roman"/>
          <w:bCs/>
        </w:rPr>
        <w:t>and</w:t>
      </w:r>
      <w:r>
        <w:rPr>
          <w:rFonts w:ascii="Times New Roman" w:hAnsi="Times New Roman"/>
          <w:bCs/>
        </w:rPr>
        <w:t xml:space="preserve"> are actively looking for 1.6T and eventually 3.2T capabilities. </w:t>
      </w:r>
      <w:r w:rsidRPr="006F7015">
        <w:rPr>
          <w:rFonts w:ascii="Times New Roman" w:hAnsi="Times New Roman"/>
          <w:bCs/>
        </w:rPr>
        <w:t xml:space="preserve"> </w:t>
      </w:r>
    </w:p>
    <w:p w14:paraId="017783A9" w14:textId="77777777" w:rsidR="001457C8" w:rsidRPr="006F7015" w:rsidRDefault="001457C8" w:rsidP="006F7015">
      <w:pPr>
        <w:widowControl/>
        <w:spacing w:after="0"/>
        <w:jc w:val="both"/>
        <w:rPr>
          <w:rFonts w:ascii="Times New Roman" w:hAnsi="Times New Roman"/>
          <w:bCs/>
          <w:lang w:val="en-CA"/>
        </w:rPr>
      </w:pPr>
    </w:p>
    <w:p w14:paraId="47666BAF" w14:textId="75FFD633" w:rsidR="004A696F" w:rsidRPr="006F7015" w:rsidRDefault="004A696F" w:rsidP="004A696F">
      <w:pPr>
        <w:widowControl/>
        <w:spacing w:after="0"/>
        <w:rPr>
          <w:rFonts w:ascii="Times New Roman" w:hAnsi="Times New Roman"/>
          <w:bCs/>
          <w:i/>
          <w:iCs/>
          <w:u w:val="single"/>
          <w:lang w:val="en-CA"/>
        </w:rPr>
      </w:pPr>
      <w:r w:rsidRPr="006F7015">
        <w:rPr>
          <w:rFonts w:ascii="Times New Roman" w:hAnsi="Times New Roman"/>
          <w:bCs/>
          <w:i/>
          <w:iCs/>
          <w:u w:val="single"/>
          <w:lang w:val="en-CA"/>
        </w:rPr>
        <w:t>Light Source Markets</w:t>
      </w:r>
    </w:p>
    <w:p w14:paraId="7451A5D1" w14:textId="77777777" w:rsidR="00AA6F76" w:rsidRDefault="00AA6F76" w:rsidP="004A696F">
      <w:pPr>
        <w:widowControl/>
        <w:spacing w:after="0"/>
        <w:rPr>
          <w:rFonts w:ascii="Times New Roman" w:hAnsi="Times New Roman"/>
          <w:bCs/>
          <w:lang w:val="en-CA"/>
        </w:rPr>
      </w:pPr>
    </w:p>
    <w:p w14:paraId="3F3DF124" w14:textId="3D264F00" w:rsidR="004A696F" w:rsidRPr="006F7015" w:rsidRDefault="000B0488" w:rsidP="006F7015">
      <w:pPr>
        <w:widowControl/>
        <w:spacing w:after="0"/>
        <w:jc w:val="both"/>
        <w:rPr>
          <w:rFonts w:ascii="Times New Roman" w:hAnsi="Times New Roman"/>
          <w:bCs/>
        </w:rPr>
      </w:pPr>
      <w:r>
        <w:rPr>
          <w:rFonts w:ascii="Times New Roman" w:hAnsi="Times New Roman"/>
          <w:bCs/>
          <w:lang w:val="en-CA"/>
        </w:rPr>
        <w:t>T</w:t>
      </w:r>
      <w:r w:rsidR="004A696F" w:rsidRPr="006F7015">
        <w:rPr>
          <w:rFonts w:ascii="Times New Roman" w:hAnsi="Times New Roman"/>
          <w:bCs/>
          <w:lang w:val="en-CA"/>
        </w:rPr>
        <w:t>here are numerous established companies and start-ups addressing the need to lower power consumption</w:t>
      </w:r>
      <w:r>
        <w:rPr>
          <w:rFonts w:ascii="Times New Roman" w:hAnsi="Times New Roman"/>
          <w:bCs/>
          <w:lang w:val="en-CA"/>
        </w:rPr>
        <w:t xml:space="preserve"> and increase the efficiency</w:t>
      </w:r>
      <w:r w:rsidR="00317429">
        <w:rPr>
          <w:rFonts w:ascii="Times New Roman" w:hAnsi="Times New Roman"/>
          <w:bCs/>
          <w:lang w:val="en-CA"/>
        </w:rPr>
        <w:t xml:space="preserve"> of</w:t>
      </w:r>
      <w:r w:rsidR="004A696F" w:rsidRPr="006F7015">
        <w:rPr>
          <w:rFonts w:ascii="Times New Roman" w:hAnsi="Times New Roman"/>
          <w:bCs/>
          <w:lang w:val="en-CA"/>
        </w:rPr>
        <w:t xml:space="preserve"> the </w:t>
      </w:r>
      <w:r>
        <w:rPr>
          <w:rFonts w:ascii="Times New Roman" w:hAnsi="Times New Roman"/>
          <w:bCs/>
          <w:lang w:val="en-CA"/>
        </w:rPr>
        <w:t>GPUs</w:t>
      </w:r>
      <w:r w:rsidR="004A696F" w:rsidRPr="006F7015">
        <w:rPr>
          <w:rFonts w:ascii="Times New Roman" w:hAnsi="Times New Roman"/>
          <w:bCs/>
          <w:lang w:val="en-CA"/>
        </w:rPr>
        <w:t xml:space="preserve"> </w:t>
      </w:r>
      <w:r>
        <w:rPr>
          <w:rFonts w:ascii="Times New Roman" w:hAnsi="Times New Roman"/>
          <w:bCs/>
          <w:lang w:val="en-CA"/>
        </w:rPr>
        <w:t xml:space="preserve">and memory devices typically used in AI systems.  To date, these </w:t>
      </w:r>
      <w:r w:rsidR="003A5DCC">
        <w:rPr>
          <w:rFonts w:ascii="Times New Roman" w:hAnsi="Times New Roman"/>
          <w:bCs/>
          <w:lang w:val="en-CA"/>
        </w:rPr>
        <w:t xml:space="preserve">bandwidth and efficiency issues have been addressed by increasing the capabilities and protocols at which electronic data network systems operate.  </w:t>
      </w:r>
      <w:r w:rsidR="004A696F" w:rsidRPr="006F7015">
        <w:rPr>
          <w:rFonts w:ascii="Times New Roman" w:hAnsi="Times New Roman"/>
          <w:bCs/>
          <w:lang w:val="en-CA"/>
        </w:rPr>
        <w:t xml:space="preserve">To achieve lower power, several device makers are beginning </w:t>
      </w:r>
      <w:r w:rsidR="00EB4B05">
        <w:rPr>
          <w:rFonts w:ascii="Times New Roman" w:hAnsi="Times New Roman"/>
          <w:bCs/>
          <w:lang w:val="en-CA"/>
        </w:rPr>
        <w:t xml:space="preserve">to </w:t>
      </w:r>
      <w:r w:rsidR="003A5DCC">
        <w:rPr>
          <w:rFonts w:ascii="Times New Roman" w:hAnsi="Times New Roman"/>
          <w:bCs/>
          <w:lang w:val="en-CA"/>
        </w:rPr>
        <w:t xml:space="preserve">design systems </w:t>
      </w:r>
      <w:r w:rsidR="004A696F" w:rsidRPr="006F7015">
        <w:rPr>
          <w:rFonts w:ascii="Times New Roman" w:hAnsi="Times New Roman"/>
          <w:bCs/>
          <w:lang w:val="en-CA"/>
        </w:rPr>
        <w:t>to utilize light, instead of electrons to manage data traveling in and out of the</w:t>
      </w:r>
      <w:r w:rsidR="003A5DCC">
        <w:rPr>
          <w:rFonts w:ascii="Times New Roman" w:hAnsi="Times New Roman"/>
          <w:bCs/>
          <w:lang w:val="en-CA"/>
        </w:rPr>
        <w:t xml:space="preserve"> processor and memory</w:t>
      </w:r>
      <w:r w:rsidR="004A696F" w:rsidRPr="006F7015">
        <w:rPr>
          <w:rFonts w:ascii="Times New Roman" w:hAnsi="Times New Roman"/>
          <w:bCs/>
          <w:lang w:val="en-CA"/>
        </w:rPr>
        <w:t xml:space="preserve"> chips. Using light offers significant advantages of speed and lower heat generation than comparable electronic-only </w:t>
      </w:r>
      <w:r w:rsidR="00317429">
        <w:rPr>
          <w:rFonts w:ascii="Times New Roman" w:hAnsi="Times New Roman"/>
          <w:bCs/>
          <w:lang w:val="en-CA"/>
        </w:rPr>
        <w:t xml:space="preserve">devices. There are currently no reliable sources that the Company has been able to find that estimate the current or future size of this market.  However, we </w:t>
      </w:r>
      <w:r w:rsidR="0046581C">
        <w:rPr>
          <w:rFonts w:ascii="Times New Roman" w:hAnsi="Times New Roman"/>
          <w:bCs/>
          <w:lang w:val="en-CA"/>
        </w:rPr>
        <w:t>expect</w:t>
      </w:r>
      <w:r w:rsidR="00317429">
        <w:rPr>
          <w:rFonts w:ascii="Times New Roman" w:hAnsi="Times New Roman"/>
          <w:bCs/>
          <w:lang w:val="en-CA"/>
        </w:rPr>
        <w:t xml:space="preserve"> that </w:t>
      </w:r>
      <w:r w:rsidR="0046581C">
        <w:rPr>
          <w:rFonts w:ascii="Times New Roman" w:hAnsi="Times New Roman"/>
          <w:bCs/>
          <w:lang w:val="en-CA"/>
        </w:rPr>
        <w:t>when the hardware is fully developed and the market emerges, it is bound to be very large</w:t>
      </w:r>
      <w:r w:rsidR="00547700">
        <w:rPr>
          <w:rFonts w:ascii="Times New Roman" w:hAnsi="Times New Roman"/>
          <w:bCs/>
          <w:lang w:val="en-CA"/>
        </w:rPr>
        <w:t xml:space="preserve"> </w:t>
      </w:r>
      <w:r w:rsidR="0046581C">
        <w:rPr>
          <w:rFonts w:ascii="Times New Roman" w:hAnsi="Times New Roman"/>
          <w:bCs/>
          <w:lang w:val="en-CA"/>
        </w:rPr>
        <w:t>and could eclipse the market for optical transceivers.</w:t>
      </w:r>
    </w:p>
    <w:p w14:paraId="6B240C6E" w14:textId="77777777" w:rsidR="00AA6F76" w:rsidRDefault="00AA6F76" w:rsidP="006F7015">
      <w:pPr>
        <w:widowControl/>
        <w:spacing w:after="0"/>
        <w:jc w:val="both"/>
        <w:rPr>
          <w:rFonts w:ascii="Times New Roman" w:hAnsi="Times New Roman"/>
          <w:bCs/>
          <w:lang w:val="en-CA"/>
        </w:rPr>
      </w:pPr>
    </w:p>
    <w:p w14:paraId="3B9B312B" w14:textId="77777777" w:rsidR="00481128" w:rsidRDefault="00481128" w:rsidP="00481128">
      <w:pPr>
        <w:widowControl/>
        <w:spacing w:after="0"/>
        <w:jc w:val="both"/>
        <w:rPr>
          <w:rFonts w:ascii="Times New Roman" w:hAnsi="Times New Roman"/>
          <w:bCs/>
          <w:lang w:val="en-CA"/>
        </w:rPr>
      </w:pPr>
      <w:r w:rsidRPr="00243C7C">
        <w:rPr>
          <w:rFonts w:ascii="Times New Roman" w:hAnsi="Times New Roman"/>
          <w:bCs/>
          <w:lang w:val="en-CA"/>
        </w:rPr>
        <w:t xml:space="preserve">The market for AI </w:t>
      </w:r>
      <w:r>
        <w:rPr>
          <w:rFonts w:ascii="Times New Roman" w:hAnsi="Times New Roman"/>
          <w:bCs/>
          <w:lang w:val="en-CA"/>
        </w:rPr>
        <w:t>GPU servers</w:t>
      </w:r>
      <w:r w:rsidRPr="00243C7C">
        <w:rPr>
          <w:rFonts w:ascii="Times New Roman" w:hAnsi="Times New Roman"/>
          <w:bCs/>
          <w:lang w:val="en-CA"/>
        </w:rPr>
        <w:t xml:space="preserve"> has been experiencing significant growth, driven by the increasing demand for artificial intelligence and machine learning applications across various industries. As of recent estimates, the AI GPU market size was valued at approximately </w:t>
      </w:r>
      <w:r>
        <w:rPr>
          <w:rFonts w:ascii="Times New Roman" w:hAnsi="Times New Roman"/>
          <w:bCs/>
          <w:lang w:val="en-CA"/>
        </w:rPr>
        <w:t>$</w:t>
      </w:r>
      <w:r w:rsidRPr="00243C7C">
        <w:rPr>
          <w:rFonts w:ascii="Times New Roman" w:hAnsi="Times New Roman"/>
          <w:bCs/>
          <w:lang w:val="en-CA"/>
        </w:rPr>
        <w:t xml:space="preserve">17.58 billion in 2023. Projections indicate robust expansion, with the market expected to reach </w:t>
      </w:r>
      <w:r>
        <w:rPr>
          <w:rFonts w:ascii="Times New Roman" w:hAnsi="Times New Roman"/>
          <w:bCs/>
          <w:lang w:val="en-CA"/>
        </w:rPr>
        <w:t>$</w:t>
      </w:r>
      <w:r w:rsidRPr="00243C7C">
        <w:rPr>
          <w:rFonts w:ascii="Times New Roman" w:hAnsi="Times New Roman"/>
          <w:bCs/>
          <w:lang w:val="en-CA"/>
        </w:rPr>
        <w:t>113.93 billion by 2031. This growth corresponds to a compound annual growth rate (CAGR) of 30.60% over the forecast period from 2024 to 203</w:t>
      </w:r>
      <w:r>
        <w:rPr>
          <w:rFonts w:ascii="Times New Roman" w:hAnsi="Times New Roman"/>
          <w:bCs/>
          <w:lang w:val="en-CA"/>
        </w:rPr>
        <w:t>1</w:t>
      </w:r>
      <w:r>
        <w:rPr>
          <w:rStyle w:val="FootnoteReference"/>
          <w:rFonts w:ascii="Times New Roman" w:hAnsi="Times New Roman"/>
          <w:bCs/>
          <w:lang w:val="en-CA"/>
        </w:rPr>
        <w:footnoteReference w:id="3"/>
      </w:r>
      <w:r w:rsidRPr="00243C7C">
        <w:rPr>
          <w:rFonts w:ascii="Times New Roman" w:hAnsi="Times New Roman"/>
          <w:bCs/>
          <w:lang w:val="en-CA"/>
        </w:rPr>
        <w:t>.</w:t>
      </w:r>
    </w:p>
    <w:p w14:paraId="1D10E2E6" w14:textId="77777777" w:rsidR="000C5F8E" w:rsidRDefault="000C5F8E" w:rsidP="000C5F8E">
      <w:pPr>
        <w:widowControl/>
        <w:spacing w:after="0"/>
        <w:jc w:val="both"/>
        <w:rPr>
          <w:rFonts w:ascii="Times New Roman" w:hAnsi="Times New Roman"/>
          <w:bCs/>
          <w:i/>
          <w:iCs/>
          <w:u w:val="single"/>
        </w:rPr>
      </w:pPr>
    </w:p>
    <w:p w14:paraId="55D91BF5" w14:textId="1357B413" w:rsidR="004A696F" w:rsidRPr="006F7015" w:rsidRDefault="004A696F" w:rsidP="004A696F">
      <w:pPr>
        <w:widowControl/>
        <w:spacing w:after="0"/>
        <w:rPr>
          <w:rFonts w:ascii="Times New Roman" w:hAnsi="Times New Roman"/>
          <w:bCs/>
          <w:i/>
          <w:iCs/>
          <w:u w:val="single"/>
        </w:rPr>
      </w:pPr>
      <w:r w:rsidRPr="006F7015">
        <w:rPr>
          <w:rFonts w:ascii="Times New Roman" w:hAnsi="Times New Roman"/>
          <w:bCs/>
          <w:i/>
          <w:iCs/>
          <w:u w:val="single"/>
        </w:rPr>
        <w:t>Other Potential Photonics Markets</w:t>
      </w:r>
    </w:p>
    <w:p w14:paraId="7DBC8AC9" w14:textId="77777777" w:rsidR="00AA6F76" w:rsidRDefault="00AA6F76" w:rsidP="004A696F">
      <w:pPr>
        <w:widowControl/>
        <w:spacing w:after="0"/>
        <w:rPr>
          <w:rFonts w:ascii="Times New Roman" w:hAnsi="Times New Roman"/>
          <w:bCs/>
        </w:rPr>
      </w:pPr>
    </w:p>
    <w:p w14:paraId="0512743A" w14:textId="7ED2F2E1" w:rsidR="004A696F" w:rsidRPr="006F7015" w:rsidRDefault="004A696F" w:rsidP="006F7015">
      <w:pPr>
        <w:widowControl/>
        <w:spacing w:after="0"/>
        <w:jc w:val="both"/>
        <w:rPr>
          <w:rFonts w:ascii="Times New Roman" w:hAnsi="Times New Roman"/>
          <w:bCs/>
        </w:rPr>
      </w:pPr>
      <w:r w:rsidRPr="006F7015">
        <w:rPr>
          <w:rFonts w:ascii="Times New Roman" w:hAnsi="Times New Roman"/>
          <w:bCs/>
        </w:rPr>
        <w:t>Other markets for POET’s integrated photonics solutions include 5G interconnect markets, such as PON and GPON, edge computing for machine-to-machine communications, and selected sensing markets, including LIDAR, Optical Coherence Tomography for medical devices, and certain consumer products, such as virtual reality systems.</w:t>
      </w:r>
    </w:p>
    <w:p w14:paraId="041CE80D" w14:textId="77777777" w:rsidR="00AA6F76" w:rsidRDefault="00AA6F76" w:rsidP="004A696F">
      <w:pPr>
        <w:widowControl/>
        <w:spacing w:after="0"/>
        <w:rPr>
          <w:rFonts w:ascii="Times New Roman" w:hAnsi="Times New Roman"/>
          <w:bCs/>
          <w:u w:val="single"/>
          <w:lang w:val="en-CA"/>
        </w:rPr>
      </w:pPr>
    </w:p>
    <w:p w14:paraId="30018FF7" w14:textId="59236C75" w:rsidR="004A696F" w:rsidRPr="00AA6F76" w:rsidRDefault="00AA6F76" w:rsidP="004A696F">
      <w:pPr>
        <w:widowControl/>
        <w:spacing w:after="0"/>
        <w:rPr>
          <w:rFonts w:ascii="Times New Roman" w:hAnsi="Times New Roman"/>
          <w:b/>
          <w:u w:val="single"/>
          <w:lang w:val="en-CA"/>
        </w:rPr>
      </w:pPr>
      <w:r w:rsidRPr="00B45955">
        <w:rPr>
          <w:rFonts w:ascii="Times New Roman" w:hAnsi="Times New Roman"/>
          <w:b/>
          <w:u w:val="single"/>
          <w:lang w:val="en-CA"/>
        </w:rPr>
        <w:t>Manufacturing</w:t>
      </w:r>
    </w:p>
    <w:p w14:paraId="5881E20C" w14:textId="77777777" w:rsidR="00AA6F76" w:rsidRPr="00AA6F76" w:rsidRDefault="00AA6F76" w:rsidP="004A696F">
      <w:pPr>
        <w:widowControl/>
        <w:spacing w:after="0"/>
        <w:rPr>
          <w:rFonts w:ascii="Times New Roman" w:hAnsi="Times New Roman"/>
          <w:bCs/>
          <w:lang w:val="en-CA"/>
        </w:rPr>
      </w:pPr>
    </w:p>
    <w:p w14:paraId="0ECC9614" w14:textId="257E0317" w:rsidR="003B5C91" w:rsidRDefault="00CB79F3" w:rsidP="00D37815">
      <w:pPr>
        <w:widowControl/>
        <w:spacing w:after="0"/>
        <w:jc w:val="both"/>
        <w:rPr>
          <w:rFonts w:ascii="Times New Roman" w:hAnsi="Times New Roman"/>
          <w:bCs/>
          <w:lang w:val="en-CA"/>
        </w:rPr>
      </w:pPr>
      <w:r w:rsidRPr="00CB79F3">
        <w:rPr>
          <w:rFonts w:ascii="Times New Roman" w:hAnsi="Times New Roman"/>
          <w:bCs/>
          <w:lang w:val="en-CA"/>
        </w:rPr>
        <w:t xml:space="preserve">To address the challenge of producing devices in the large quantities needed by customers in the high-volume data communications industry, </w:t>
      </w:r>
      <w:r w:rsidR="006C3AB9">
        <w:rPr>
          <w:rFonts w:ascii="Times New Roman" w:hAnsi="Times New Roman"/>
          <w:bCs/>
          <w:lang w:val="en-CA"/>
        </w:rPr>
        <w:t>and in keeping with our “</w:t>
      </w:r>
      <w:proofErr w:type="gramStart"/>
      <w:r w:rsidR="006C3AB9">
        <w:rPr>
          <w:rFonts w:ascii="Times New Roman" w:hAnsi="Times New Roman"/>
          <w:bCs/>
          <w:lang w:val="en-CA"/>
        </w:rPr>
        <w:t>fab-light</w:t>
      </w:r>
      <w:proofErr w:type="gramEnd"/>
      <w:r w:rsidR="006C3AB9">
        <w:rPr>
          <w:rFonts w:ascii="Times New Roman" w:hAnsi="Times New Roman"/>
          <w:bCs/>
          <w:lang w:val="en-CA"/>
        </w:rPr>
        <w:t xml:space="preserve">” strategy, </w:t>
      </w:r>
      <w:r w:rsidRPr="00CB79F3">
        <w:rPr>
          <w:rFonts w:ascii="Times New Roman" w:hAnsi="Times New Roman"/>
          <w:bCs/>
          <w:lang w:val="en-CA"/>
        </w:rPr>
        <w:t>POET</w:t>
      </w:r>
      <w:r w:rsidR="004A3095">
        <w:rPr>
          <w:rFonts w:ascii="Times New Roman" w:hAnsi="Times New Roman"/>
          <w:bCs/>
          <w:lang w:val="en-CA"/>
        </w:rPr>
        <w:t xml:space="preserve"> has</w:t>
      </w:r>
      <w:r w:rsidR="00771B9E">
        <w:rPr>
          <w:rFonts w:ascii="Times New Roman" w:hAnsi="Times New Roman"/>
          <w:bCs/>
          <w:lang w:val="en-CA"/>
        </w:rPr>
        <w:t xml:space="preserve"> </w:t>
      </w:r>
      <w:r w:rsidR="000843A5">
        <w:rPr>
          <w:rFonts w:ascii="Times New Roman" w:hAnsi="Times New Roman"/>
          <w:bCs/>
          <w:lang w:val="en-CA"/>
        </w:rPr>
        <w:t>entered into agreements</w:t>
      </w:r>
      <w:r w:rsidR="00771B9E">
        <w:rPr>
          <w:rFonts w:ascii="Times New Roman" w:hAnsi="Times New Roman"/>
          <w:bCs/>
          <w:lang w:val="en-CA"/>
        </w:rPr>
        <w:t xml:space="preserve"> with </w:t>
      </w:r>
      <w:r w:rsidR="004A3095">
        <w:rPr>
          <w:rFonts w:ascii="Times New Roman" w:hAnsi="Times New Roman"/>
          <w:bCs/>
          <w:lang w:val="en-CA"/>
        </w:rPr>
        <w:t>Globetronics</w:t>
      </w:r>
      <w:r w:rsidR="001D45BD">
        <w:rPr>
          <w:rFonts w:ascii="Times New Roman" w:hAnsi="Times New Roman"/>
          <w:bCs/>
          <w:lang w:val="en-CA"/>
        </w:rPr>
        <w:t xml:space="preserve"> Manufacturing, </w:t>
      </w:r>
      <w:proofErr w:type="spellStart"/>
      <w:r w:rsidR="001D45BD">
        <w:rPr>
          <w:rFonts w:ascii="Times New Roman" w:hAnsi="Times New Roman"/>
          <w:bCs/>
          <w:lang w:val="en-CA"/>
        </w:rPr>
        <w:t>Sdn</w:t>
      </w:r>
      <w:proofErr w:type="spellEnd"/>
      <w:r w:rsidR="001D45BD">
        <w:rPr>
          <w:rFonts w:ascii="Times New Roman" w:hAnsi="Times New Roman"/>
          <w:bCs/>
          <w:lang w:val="en-CA"/>
        </w:rPr>
        <w:t xml:space="preserve">. Bhd. and </w:t>
      </w:r>
      <w:proofErr w:type="spellStart"/>
      <w:r w:rsidR="008E560D">
        <w:rPr>
          <w:rFonts w:ascii="Times New Roman" w:hAnsi="Times New Roman"/>
          <w:bCs/>
          <w:lang w:val="en-CA"/>
        </w:rPr>
        <w:t>NationGate</w:t>
      </w:r>
      <w:proofErr w:type="spellEnd"/>
      <w:r w:rsidR="008E560D">
        <w:rPr>
          <w:rFonts w:ascii="Times New Roman" w:hAnsi="Times New Roman"/>
          <w:bCs/>
          <w:lang w:val="en-CA"/>
        </w:rPr>
        <w:t xml:space="preserve"> Solution (M) </w:t>
      </w:r>
      <w:proofErr w:type="spellStart"/>
      <w:r w:rsidR="008E560D">
        <w:rPr>
          <w:rFonts w:ascii="Times New Roman" w:hAnsi="Times New Roman"/>
          <w:bCs/>
          <w:lang w:val="en-CA"/>
        </w:rPr>
        <w:t>Sdn</w:t>
      </w:r>
      <w:proofErr w:type="spellEnd"/>
      <w:r w:rsidR="008E560D">
        <w:rPr>
          <w:rFonts w:ascii="Times New Roman" w:hAnsi="Times New Roman"/>
          <w:bCs/>
          <w:lang w:val="en-CA"/>
        </w:rPr>
        <w:t xml:space="preserve">. Bhd. </w:t>
      </w:r>
      <w:r w:rsidR="00771B9E">
        <w:rPr>
          <w:rFonts w:ascii="Times New Roman" w:hAnsi="Times New Roman"/>
          <w:bCs/>
          <w:lang w:val="en-CA"/>
        </w:rPr>
        <w:t xml:space="preserve">to </w:t>
      </w:r>
      <w:r w:rsidR="000843A5">
        <w:rPr>
          <w:rFonts w:ascii="Times New Roman" w:hAnsi="Times New Roman"/>
          <w:bCs/>
          <w:lang w:val="en-CA"/>
        </w:rPr>
        <w:t xml:space="preserve">establish and maintain </w:t>
      </w:r>
      <w:r w:rsidR="00771B9E">
        <w:rPr>
          <w:rFonts w:ascii="Times New Roman" w:hAnsi="Times New Roman"/>
          <w:bCs/>
          <w:lang w:val="en-CA"/>
        </w:rPr>
        <w:t xml:space="preserve">optical engine </w:t>
      </w:r>
      <w:r w:rsidR="00EB5FE3">
        <w:rPr>
          <w:rFonts w:ascii="Times New Roman" w:hAnsi="Times New Roman"/>
          <w:bCs/>
          <w:lang w:val="en-CA"/>
        </w:rPr>
        <w:t>assembly and test operations</w:t>
      </w:r>
      <w:r w:rsidR="003B5C91">
        <w:rPr>
          <w:rFonts w:ascii="Times New Roman" w:hAnsi="Times New Roman"/>
          <w:bCs/>
          <w:lang w:val="en-CA"/>
        </w:rPr>
        <w:t xml:space="preserve"> </w:t>
      </w:r>
      <w:r w:rsidR="00542B49">
        <w:rPr>
          <w:rFonts w:ascii="Times New Roman" w:hAnsi="Times New Roman"/>
          <w:bCs/>
          <w:lang w:val="en-CA"/>
        </w:rPr>
        <w:t>in Malaysia</w:t>
      </w:r>
      <w:r w:rsidR="000843A5">
        <w:rPr>
          <w:rFonts w:ascii="Times New Roman" w:hAnsi="Times New Roman"/>
          <w:bCs/>
          <w:lang w:val="en-CA"/>
        </w:rPr>
        <w:t>. Both companies are prominent manufactur</w:t>
      </w:r>
      <w:r w:rsidR="006C3AB9">
        <w:rPr>
          <w:rFonts w:ascii="Times New Roman" w:hAnsi="Times New Roman"/>
          <w:bCs/>
          <w:lang w:val="en-CA"/>
        </w:rPr>
        <w:t xml:space="preserve">ers of electronic devices and equipment </w:t>
      </w:r>
      <w:r w:rsidR="008E560D">
        <w:rPr>
          <w:rFonts w:ascii="Times New Roman" w:hAnsi="Times New Roman"/>
          <w:bCs/>
          <w:lang w:val="en-CA"/>
        </w:rPr>
        <w:t>located in Penang, Malaysia</w:t>
      </w:r>
      <w:r w:rsidR="003B5C91">
        <w:rPr>
          <w:rFonts w:ascii="Times New Roman" w:hAnsi="Times New Roman"/>
          <w:bCs/>
          <w:lang w:val="en-CA"/>
        </w:rPr>
        <w:t xml:space="preserve"> and are ideal manufacturing partners for POET.  In our Globetronics clean room of approximately 10,000 square feet, we have installed</w:t>
      </w:r>
      <w:r w:rsidR="00192DD2">
        <w:rPr>
          <w:rFonts w:ascii="Times New Roman" w:hAnsi="Times New Roman"/>
          <w:bCs/>
          <w:lang w:val="en-CA"/>
        </w:rPr>
        <w:t xml:space="preserve"> all our wafer-level processing equipment in a production line that has the capacity to produce 1 million optical engines annually.  We are now installing specialized equipment </w:t>
      </w:r>
      <w:r w:rsidR="004B20B6">
        <w:rPr>
          <w:rFonts w:ascii="Times New Roman" w:hAnsi="Times New Roman"/>
          <w:bCs/>
          <w:lang w:val="en-CA"/>
        </w:rPr>
        <w:t xml:space="preserve">dedicated to light source production </w:t>
      </w:r>
      <w:r w:rsidR="00192DD2">
        <w:rPr>
          <w:rFonts w:ascii="Times New Roman" w:hAnsi="Times New Roman"/>
          <w:bCs/>
          <w:lang w:val="en-CA"/>
        </w:rPr>
        <w:t>into</w:t>
      </w:r>
      <w:r w:rsidR="004B20B6">
        <w:rPr>
          <w:rFonts w:ascii="Times New Roman" w:hAnsi="Times New Roman"/>
          <w:bCs/>
          <w:lang w:val="en-CA"/>
        </w:rPr>
        <w:t xml:space="preserve"> a cleanroom of comparable size within the </w:t>
      </w:r>
      <w:proofErr w:type="spellStart"/>
      <w:r w:rsidR="004B20B6">
        <w:rPr>
          <w:rFonts w:ascii="Times New Roman" w:hAnsi="Times New Roman"/>
          <w:bCs/>
          <w:lang w:val="en-CA"/>
        </w:rPr>
        <w:t>NationGate</w:t>
      </w:r>
      <w:proofErr w:type="spellEnd"/>
      <w:r w:rsidR="004B20B6">
        <w:rPr>
          <w:rFonts w:ascii="Times New Roman" w:hAnsi="Times New Roman"/>
          <w:bCs/>
          <w:lang w:val="en-CA"/>
        </w:rPr>
        <w:t xml:space="preserve"> </w:t>
      </w:r>
      <w:proofErr w:type="spellStart"/>
      <w:r w:rsidR="004B20B6">
        <w:rPr>
          <w:rFonts w:ascii="Times New Roman" w:hAnsi="Times New Roman"/>
          <w:bCs/>
          <w:lang w:val="en-CA"/>
        </w:rPr>
        <w:t>facilty</w:t>
      </w:r>
      <w:proofErr w:type="spellEnd"/>
      <w:r w:rsidR="004B20B6">
        <w:rPr>
          <w:rFonts w:ascii="Times New Roman" w:hAnsi="Times New Roman"/>
          <w:bCs/>
          <w:lang w:val="en-CA"/>
        </w:rPr>
        <w:t xml:space="preserve">. </w:t>
      </w:r>
      <w:r w:rsidR="00192DD2">
        <w:rPr>
          <w:rFonts w:ascii="Times New Roman" w:hAnsi="Times New Roman"/>
          <w:bCs/>
          <w:lang w:val="en-CA"/>
        </w:rPr>
        <w:t xml:space="preserve"> </w:t>
      </w:r>
    </w:p>
    <w:p w14:paraId="491C267F" w14:textId="77777777" w:rsidR="00EB5FE3" w:rsidRDefault="00EB5FE3" w:rsidP="00D37815">
      <w:pPr>
        <w:widowControl/>
        <w:spacing w:after="0"/>
        <w:jc w:val="both"/>
        <w:rPr>
          <w:rFonts w:ascii="Times New Roman" w:hAnsi="Times New Roman"/>
          <w:bCs/>
          <w:lang w:val="en-CA"/>
        </w:rPr>
      </w:pPr>
    </w:p>
    <w:p w14:paraId="33C04288" w14:textId="67F6ACDD" w:rsidR="00CB79F3" w:rsidRPr="00CB79F3" w:rsidRDefault="0021078A" w:rsidP="006D7F66">
      <w:pPr>
        <w:widowControl/>
        <w:spacing w:after="0"/>
        <w:jc w:val="both"/>
        <w:rPr>
          <w:rFonts w:ascii="Times New Roman" w:hAnsi="Times New Roman"/>
          <w:bCs/>
          <w:lang w:val="en-CA"/>
        </w:rPr>
      </w:pPr>
      <w:r>
        <w:rPr>
          <w:rFonts w:ascii="Times New Roman" w:hAnsi="Times New Roman"/>
          <w:bCs/>
          <w:lang w:val="en-CA"/>
        </w:rPr>
        <w:t>Our detailed assessment of our</w:t>
      </w:r>
      <w:r w:rsidR="000B7E55">
        <w:rPr>
          <w:rFonts w:ascii="Times New Roman" w:hAnsi="Times New Roman"/>
          <w:bCs/>
          <w:lang w:val="en-CA"/>
        </w:rPr>
        <w:t xml:space="preserve"> production needs </w:t>
      </w:r>
      <w:r w:rsidR="00E715A8">
        <w:rPr>
          <w:rFonts w:ascii="Times New Roman" w:hAnsi="Times New Roman"/>
          <w:bCs/>
          <w:lang w:val="en-CA"/>
        </w:rPr>
        <w:t xml:space="preserve">and </w:t>
      </w:r>
      <w:r w:rsidR="00A74115">
        <w:rPr>
          <w:rFonts w:ascii="Times New Roman" w:hAnsi="Times New Roman"/>
          <w:bCs/>
          <w:lang w:val="en-CA"/>
        </w:rPr>
        <w:t xml:space="preserve">our desire </w:t>
      </w:r>
      <w:r w:rsidR="000B7E55">
        <w:rPr>
          <w:rFonts w:ascii="Times New Roman" w:hAnsi="Times New Roman"/>
          <w:bCs/>
          <w:lang w:val="en-CA"/>
        </w:rPr>
        <w:t xml:space="preserve">to mitigate </w:t>
      </w:r>
      <w:r w:rsidR="00E715A8">
        <w:rPr>
          <w:rFonts w:ascii="Times New Roman" w:hAnsi="Times New Roman"/>
          <w:bCs/>
          <w:lang w:val="en-CA"/>
        </w:rPr>
        <w:t>the geopolitical risk</w:t>
      </w:r>
      <w:r>
        <w:rPr>
          <w:rFonts w:ascii="Times New Roman" w:hAnsi="Times New Roman"/>
          <w:bCs/>
          <w:lang w:val="en-CA"/>
        </w:rPr>
        <w:t xml:space="preserve"> in China</w:t>
      </w:r>
      <w:r w:rsidR="00E715A8">
        <w:rPr>
          <w:rFonts w:ascii="Times New Roman" w:hAnsi="Times New Roman"/>
          <w:bCs/>
          <w:lang w:val="en-CA"/>
        </w:rPr>
        <w:t xml:space="preserve"> </w:t>
      </w:r>
      <w:r w:rsidR="00A74115">
        <w:rPr>
          <w:rFonts w:ascii="Times New Roman" w:hAnsi="Times New Roman"/>
          <w:bCs/>
          <w:lang w:val="en-CA"/>
        </w:rPr>
        <w:t>supported our relocat</w:t>
      </w:r>
      <w:r w:rsidR="00896768">
        <w:rPr>
          <w:rFonts w:ascii="Times New Roman" w:hAnsi="Times New Roman"/>
          <w:bCs/>
          <w:lang w:val="en-CA"/>
        </w:rPr>
        <w:t>i</w:t>
      </w:r>
      <w:r w:rsidR="00A74115">
        <w:rPr>
          <w:rFonts w:ascii="Times New Roman" w:hAnsi="Times New Roman"/>
          <w:bCs/>
          <w:lang w:val="en-CA"/>
        </w:rPr>
        <w:t>on</w:t>
      </w:r>
      <w:r w:rsidR="00E715A8">
        <w:rPr>
          <w:rFonts w:ascii="Times New Roman" w:hAnsi="Times New Roman"/>
          <w:bCs/>
          <w:lang w:val="en-CA"/>
        </w:rPr>
        <w:t xml:space="preserve"> to Malaysia. </w:t>
      </w:r>
      <w:r w:rsidR="001F0875">
        <w:rPr>
          <w:rFonts w:ascii="Times New Roman" w:hAnsi="Times New Roman"/>
          <w:bCs/>
          <w:lang w:val="en-CA"/>
        </w:rPr>
        <w:t xml:space="preserve">We determined that we could not achieve full operational control of Super Photonics </w:t>
      </w:r>
      <w:r w:rsidR="001F0875">
        <w:rPr>
          <w:rFonts w:ascii="Times New Roman" w:hAnsi="Times New Roman"/>
          <w:bCs/>
          <w:lang w:val="en-CA"/>
        </w:rPr>
        <w:lastRenderedPageBreak/>
        <w:t>Xiamen (SPC) in the context of any join</w:t>
      </w:r>
      <w:r w:rsidR="00747519">
        <w:rPr>
          <w:rFonts w:ascii="Times New Roman" w:hAnsi="Times New Roman"/>
          <w:bCs/>
          <w:lang w:val="en-CA"/>
        </w:rPr>
        <w:t>t</w:t>
      </w:r>
      <w:r w:rsidR="001F0875">
        <w:rPr>
          <w:rFonts w:ascii="Times New Roman" w:hAnsi="Times New Roman"/>
          <w:bCs/>
          <w:lang w:val="en-CA"/>
        </w:rPr>
        <w:t xml:space="preserve"> venture. </w:t>
      </w:r>
      <w:r w:rsidR="00896768">
        <w:rPr>
          <w:rFonts w:ascii="Times New Roman" w:hAnsi="Times New Roman"/>
          <w:bCs/>
          <w:lang w:val="en-CA"/>
        </w:rPr>
        <w:t>The first phase</w:t>
      </w:r>
      <w:r w:rsidR="001F0875">
        <w:rPr>
          <w:rFonts w:ascii="Times New Roman" w:hAnsi="Times New Roman"/>
          <w:bCs/>
          <w:lang w:val="en-CA"/>
        </w:rPr>
        <w:t xml:space="preserve"> of transition out of China</w:t>
      </w:r>
      <w:r w:rsidR="00896768">
        <w:rPr>
          <w:rFonts w:ascii="Times New Roman" w:hAnsi="Times New Roman"/>
          <w:bCs/>
          <w:lang w:val="en-CA"/>
        </w:rPr>
        <w:t xml:space="preserve"> involved the </w:t>
      </w:r>
      <w:r w:rsidR="0093097B">
        <w:rPr>
          <w:rFonts w:ascii="Times New Roman" w:hAnsi="Times New Roman"/>
          <w:bCs/>
          <w:lang w:val="en-CA"/>
        </w:rPr>
        <w:t xml:space="preserve">transfer of all our production equipment to </w:t>
      </w:r>
      <w:r w:rsidR="00E715A8">
        <w:rPr>
          <w:rFonts w:ascii="Times New Roman" w:hAnsi="Times New Roman"/>
          <w:bCs/>
          <w:lang w:val="en-CA"/>
        </w:rPr>
        <w:t xml:space="preserve">Globetronics and </w:t>
      </w:r>
      <w:proofErr w:type="spellStart"/>
      <w:r w:rsidR="00E715A8">
        <w:rPr>
          <w:rFonts w:ascii="Times New Roman" w:hAnsi="Times New Roman"/>
          <w:bCs/>
          <w:lang w:val="en-CA"/>
        </w:rPr>
        <w:t>NationGate</w:t>
      </w:r>
      <w:proofErr w:type="spellEnd"/>
      <w:r w:rsidR="00896768">
        <w:rPr>
          <w:rFonts w:ascii="Times New Roman" w:hAnsi="Times New Roman"/>
          <w:bCs/>
          <w:lang w:val="en-CA"/>
        </w:rPr>
        <w:t xml:space="preserve">, </w:t>
      </w:r>
      <w:r w:rsidR="001F0875">
        <w:rPr>
          <w:rFonts w:ascii="Times New Roman" w:hAnsi="Times New Roman"/>
          <w:bCs/>
          <w:lang w:val="en-CA"/>
        </w:rPr>
        <w:t xml:space="preserve">a phase that </w:t>
      </w:r>
      <w:r w:rsidR="00896768">
        <w:rPr>
          <w:rFonts w:ascii="Times New Roman" w:hAnsi="Times New Roman"/>
          <w:bCs/>
          <w:lang w:val="en-CA"/>
        </w:rPr>
        <w:t xml:space="preserve">has been completed.  </w:t>
      </w:r>
      <w:r w:rsidR="00542B49">
        <w:rPr>
          <w:rFonts w:ascii="Times New Roman" w:hAnsi="Times New Roman"/>
          <w:bCs/>
          <w:lang w:val="en-CA"/>
        </w:rPr>
        <w:t xml:space="preserve">The </w:t>
      </w:r>
      <w:r w:rsidR="00747519">
        <w:rPr>
          <w:rFonts w:ascii="Times New Roman" w:hAnsi="Times New Roman"/>
          <w:bCs/>
          <w:lang w:val="en-CA"/>
        </w:rPr>
        <w:t xml:space="preserve">second phase was the dissolution of the </w:t>
      </w:r>
      <w:r w:rsidR="00542B49">
        <w:rPr>
          <w:rFonts w:ascii="Times New Roman" w:hAnsi="Times New Roman"/>
          <w:bCs/>
          <w:lang w:val="en-CA"/>
        </w:rPr>
        <w:t>joint venture with Sanan IC</w:t>
      </w:r>
      <w:r w:rsidR="00747519">
        <w:rPr>
          <w:rFonts w:ascii="Times New Roman" w:hAnsi="Times New Roman"/>
          <w:bCs/>
          <w:lang w:val="en-CA"/>
        </w:rPr>
        <w:t xml:space="preserve">, which </w:t>
      </w:r>
      <w:r w:rsidR="00BE1C5B">
        <w:rPr>
          <w:rFonts w:ascii="Times New Roman" w:hAnsi="Times New Roman"/>
          <w:bCs/>
          <w:lang w:val="en-CA"/>
        </w:rPr>
        <w:t xml:space="preserve">has </w:t>
      </w:r>
      <w:r w:rsidR="00747519">
        <w:rPr>
          <w:rFonts w:ascii="Times New Roman" w:hAnsi="Times New Roman"/>
          <w:bCs/>
          <w:lang w:val="en-CA"/>
        </w:rPr>
        <w:t xml:space="preserve">also </w:t>
      </w:r>
      <w:r w:rsidR="00BE1C5B">
        <w:rPr>
          <w:rFonts w:ascii="Times New Roman" w:hAnsi="Times New Roman"/>
          <w:bCs/>
          <w:lang w:val="en-CA"/>
        </w:rPr>
        <w:t xml:space="preserve">been </w:t>
      </w:r>
      <w:r w:rsidR="000E3435">
        <w:rPr>
          <w:rFonts w:ascii="Times New Roman" w:hAnsi="Times New Roman"/>
          <w:bCs/>
          <w:lang w:val="en-CA"/>
        </w:rPr>
        <w:t>completed</w:t>
      </w:r>
      <w:r w:rsidR="00BE1C5B">
        <w:rPr>
          <w:rFonts w:ascii="Times New Roman" w:hAnsi="Times New Roman"/>
          <w:bCs/>
          <w:lang w:val="en-CA"/>
        </w:rPr>
        <w:t xml:space="preserve"> </w:t>
      </w:r>
      <w:r w:rsidR="00747519">
        <w:rPr>
          <w:rFonts w:ascii="Times New Roman" w:hAnsi="Times New Roman"/>
          <w:bCs/>
          <w:lang w:val="en-CA"/>
        </w:rPr>
        <w:t>with</w:t>
      </w:r>
      <w:r w:rsidR="00BE1C5B">
        <w:rPr>
          <w:rFonts w:ascii="Times New Roman" w:hAnsi="Times New Roman"/>
          <w:bCs/>
          <w:lang w:val="en-CA"/>
        </w:rPr>
        <w:t xml:space="preserve"> th</w:t>
      </w:r>
      <w:r w:rsidR="000E3435">
        <w:rPr>
          <w:rFonts w:ascii="Times New Roman" w:hAnsi="Times New Roman"/>
          <w:bCs/>
          <w:lang w:val="en-CA"/>
        </w:rPr>
        <w:t>at</w:t>
      </w:r>
      <w:r w:rsidR="00BE1C5B">
        <w:rPr>
          <w:rFonts w:ascii="Times New Roman" w:hAnsi="Times New Roman"/>
          <w:bCs/>
          <w:lang w:val="en-CA"/>
        </w:rPr>
        <w:t xml:space="preserve"> </w:t>
      </w:r>
      <w:r w:rsidR="0093097B">
        <w:rPr>
          <w:rFonts w:ascii="Times New Roman" w:hAnsi="Times New Roman"/>
          <w:bCs/>
          <w:lang w:val="en-CA"/>
        </w:rPr>
        <w:t xml:space="preserve">operation </w:t>
      </w:r>
      <w:r w:rsidR="00747519">
        <w:rPr>
          <w:rFonts w:ascii="Times New Roman" w:hAnsi="Times New Roman"/>
          <w:bCs/>
          <w:lang w:val="en-CA"/>
        </w:rPr>
        <w:t>now</w:t>
      </w:r>
      <w:r w:rsidR="0093097B">
        <w:rPr>
          <w:rFonts w:ascii="Times New Roman" w:hAnsi="Times New Roman"/>
          <w:bCs/>
          <w:lang w:val="en-CA"/>
        </w:rPr>
        <w:t xml:space="preserve"> </w:t>
      </w:r>
      <w:r w:rsidR="00BE1C5B">
        <w:rPr>
          <w:rFonts w:ascii="Times New Roman" w:hAnsi="Times New Roman"/>
          <w:bCs/>
          <w:lang w:val="en-CA"/>
        </w:rPr>
        <w:t xml:space="preserve">permanently </w:t>
      </w:r>
      <w:r w:rsidR="0093097B">
        <w:rPr>
          <w:rFonts w:ascii="Times New Roman" w:hAnsi="Times New Roman"/>
          <w:bCs/>
          <w:lang w:val="en-CA"/>
        </w:rPr>
        <w:t>closed</w:t>
      </w:r>
      <w:r w:rsidR="00BE1C5B">
        <w:rPr>
          <w:rFonts w:ascii="Times New Roman" w:hAnsi="Times New Roman"/>
          <w:bCs/>
          <w:lang w:val="en-CA"/>
        </w:rPr>
        <w:t>. Fo</w:t>
      </w:r>
      <w:r>
        <w:rPr>
          <w:rFonts w:ascii="Times New Roman" w:hAnsi="Times New Roman"/>
          <w:bCs/>
          <w:lang w:val="en-CA"/>
        </w:rPr>
        <w:t>llowing completion of the final audit</w:t>
      </w:r>
      <w:r w:rsidR="000E3435">
        <w:rPr>
          <w:rFonts w:ascii="Times New Roman" w:hAnsi="Times New Roman"/>
          <w:bCs/>
          <w:lang w:val="en-CA"/>
        </w:rPr>
        <w:t xml:space="preserve"> and the filing of certain documents with the Chinese authorities</w:t>
      </w:r>
      <w:r w:rsidR="00BE1C5B">
        <w:rPr>
          <w:rFonts w:ascii="Times New Roman" w:hAnsi="Times New Roman"/>
          <w:bCs/>
          <w:lang w:val="en-CA"/>
        </w:rPr>
        <w:t xml:space="preserve">, </w:t>
      </w:r>
      <w:r w:rsidR="00747519">
        <w:rPr>
          <w:rFonts w:ascii="Times New Roman" w:hAnsi="Times New Roman"/>
          <w:bCs/>
          <w:lang w:val="en-CA"/>
        </w:rPr>
        <w:t xml:space="preserve">the final stage will be the winding-up of </w:t>
      </w:r>
      <w:r w:rsidR="00BE1C5B">
        <w:rPr>
          <w:rFonts w:ascii="Times New Roman" w:hAnsi="Times New Roman"/>
          <w:bCs/>
          <w:lang w:val="en-CA"/>
        </w:rPr>
        <w:t>that company</w:t>
      </w:r>
      <w:r w:rsidR="000E3435">
        <w:rPr>
          <w:rFonts w:ascii="Times New Roman" w:hAnsi="Times New Roman"/>
          <w:bCs/>
          <w:lang w:val="en-CA"/>
        </w:rPr>
        <w:t>,</w:t>
      </w:r>
      <w:r w:rsidR="00BE1C5B">
        <w:rPr>
          <w:rFonts w:ascii="Times New Roman" w:hAnsi="Times New Roman"/>
          <w:bCs/>
          <w:lang w:val="en-CA"/>
        </w:rPr>
        <w:t xml:space="preserve"> </w:t>
      </w:r>
      <w:r w:rsidR="000E3435">
        <w:rPr>
          <w:rFonts w:ascii="Times New Roman" w:hAnsi="Times New Roman"/>
          <w:bCs/>
          <w:lang w:val="en-CA"/>
        </w:rPr>
        <w:t>which we expect to comp</w:t>
      </w:r>
      <w:r w:rsidR="00E47F9E">
        <w:rPr>
          <w:rFonts w:ascii="Times New Roman" w:hAnsi="Times New Roman"/>
          <w:bCs/>
          <w:lang w:val="en-CA"/>
        </w:rPr>
        <w:t>l</w:t>
      </w:r>
      <w:r w:rsidR="000E3435">
        <w:rPr>
          <w:rFonts w:ascii="Times New Roman" w:hAnsi="Times New Roman"/>
          <w:bCs/>
          <w:lang w:val="en-CA"/>
        </w:rPr>
        <w:t>ete within the next few months</w:t>
      </w:r>
      <w:r w:rsidR="00BE1C5B">
        <w:rPr>
          <w:rFonts w:ascii="Times New Roman" w:hAnsi="Times New Roman"/>
          <w:bCs/>
          <w:lang w:val="en-CA"/>
        </w:rPr>
        <w:t xml:space="preserve">.  </w:t>
      </w:r>
      <w:r>
        <w:rPr>
          <w:rFonts w:ascii="Times New Roman" w:hAnsi="Times New Roman"/>
          <w:bCs/>
          <w:lang w:val="en-CA"/>
        </w:rPr>
        <w:t xml:space="preserve"> </w:t>
      </w:r>
    </w:p>
    <w:p w14:paraId="3BE191FE" w14:textId="52E42329" w:rsidR="00CB79F3" w:rsidRDefault="00CB79F3" w:rsidP="00CB79F3">
      <w:pPr>
        <w:widowControl/>
        <w:spacing w:after="0"/>
        <w:rPr>
          <w:rFonts w:ascii="Times New Roman" w:hAnsi="Times New Roman"/>
          <w:bCs/>
          <w:lang w:val="en-CA"/>
        </w:rPr>
      </w:pPr>
    </w:p>
    <w:p w14:paraId="1F6A201E" w14:textId="77777777" w:rsidR="00CB79F3" w:rsidRPr="004A696F" w:rsidRDefault="00CB79F3" w:rsidP="00CB79F3">
      <w:pPr>
        <w:widowControl/>
        <w:spacing w:after="0"/>
        <w:rPr>
          <w:rFonts w:ascii="Times New Roman" w:hAnsi="Times New Roman"/>
          <w:b/>
          <w:u w:val="single"/>
        </w:rPr>
      </w:pPr>
    </w:p>
    <w:p w14:paraId="5AC94A68" w14:textId="77777777" w:rsidR="004A696F" w:rsidRPr="00AA6F76" w:rsidRDefault="004A696F" w:rsidP="004A696F">
      <w:pPr>
        <w:widowControl/>
        <w:spacing w:after="0"/>
        <w:rPr>
          <w:rFonts w:ascii="Times New Roman" w:hAnsi="Times New Roman"/>
          <w:b/>
          <w:u w:val="single"/>
        </w:rPr>
      </w:pPr>
      <w:r w:rsidRPr="00BB6A60">
        <w:rPr>
          <w:rFonts w:ascii="Times New Roman" w:hAnsi="Times New Roman"/>
          <w:b/>
          <w:u w:val="single"/>
        </w:rPr>
        <w:t>Our Strategy</w:t>
      </w:r>
      <w:r w:rsidRPr="00AA6F76">
        <w:rPr>
          <w:rFonts w:ascii="Times New Roman" w:hAnsi="Times New Roman"/>
          <w:b/>
          <w:u w:val="single"/>
        </w:rPr>
        <w:t xml:space="preserve"> </w:t>
      </w:r>
    </w:p>
    <w:p w14:paraId="747AB4A0" w14:textId="77777777" w:rsidR="00AA6F76" w:rsidRPr="006F7015" w:rsidRDefault="00AA6F76" w:rsidP="006F7015">
      <w:pPr>
        <w:widowControl/>
        <w:spacing w:after="0"/>
        <w:jc w:val="both"/>
        <w:rPr>
          <w:rFonts w:ascii="Times New Roman" w:hAnsi="Times New Roman"/>
          <w:bCs/>
        </w:rPr>
      </w:pPr>
    </w:p>
    <w:p w14:paraId="50CD65B9" w14:textId="77777777" w:rsidR="00481128" w:rsidRDefault="00481128" w:rsidP="00481128">
      <w:pPr>
        <w:widowControl/>
        <w:spacing w:after="0"/>
        <w:jc w:val="both"/>
        <w:rPr>
          <w:rFonts w:ascii="Times New Roman" w:hAnsi="Times New Roman"/>
          <w:bCs/>
        </w:rPr>
      </w:pPr>
      <w:r w:rsidRPr="006F7015">
        <w:rPr>
          <w:rFonts w:ascii="Times New Roman" w:hAnsi="Times New Roman"/>
          <w:bCs/>
        </w:rPr>
        <w:t>Our vision for the Company is to become a global leader in chip-scale photonic solutions by deploying products based on our Optical Interposer technology</w:t>
      </w:r>
      <w:r>
        <w:rPr>
          <w:rFonts w:ascii="Times New Roman" w:hAnsi="Times New Roman"/>
          <w:bCs/>
        </w:rPr>
        <w:t>,</w:t>
      </w:r>
      <w:r w:rsidRPr="006F7015">
        <w:rPr>
          <w:rFonts w:ascii="Times New Roman" w:hAnsi="Times New Roman"/>
          <w:bCs/>
        </w:rPr>
        <w:t xml:space="preserve"> optical engine designs </w:t>
      </w:r>
      <w:r>
        <w:rPr>
          <w:rFonts w:ascii="Times New Roman" w:hAnsi="Times New Roman"/>
          <w:bCs/>
        </w:rPr>
        <w:t xml:space="preserve">and optical modules </w:t>
      </w:r>
      <w:r w:rsidRPr="006F7015">
        <w:rPr>
          <w:rFonts w:ascii="Times New Roman" w:hAnsi="Times New Roman"/>
          <w:bCs/>
        </w:rPr>
        <w:t>over a broad range of vertical market applications.  Our Mission for the Company is to establish an industry leadership position based on the “</w:t>
      </w:r>
      <w:proofErr w:type="spellStart"/>
      <w:r w:rsidRPr="006F7015">
        <w:rPr>
          <w:rFonts w:ascii="Times New Roman" w:hAnsi="Times New Roman"/>
          <w:bCs/>
        </w:rPr>
        <w:t>semiconductorization</w:t>
      </w:r>
      <w:proofErr w:type="spellEnd"/>
      <w:r w:rsidRPr="006F7015">
        <w:rPr>
          <w:rFonts w:ascii="Times New Roman" w:hAnsi="Times New Roman"/>
          <w:bCs/>
        </w:rPr>
        <w:t xml:space="preserve">” of photonics, producing validated, disruptive, IP protected products globally. </w:t>
      </w:r>
    </w:p>
    <w:p w14:paraId="319957B8" w14:textId="77777777" w:rsidR="00EB4B05" w:rsidRPr="006F7015" w:rsidRDefault="00EB4B05" w:rsidP="006F7015">
      <w:pPr>
        <w:widowControl/>
        <w:spacing w:after="0"/>
        <w:jc w:val="both"/>
        <w:rPr>
          <w:rFonts w:ascii="Times New Roman" w:hAnsi="Times New Roman"/>
          <w:bCs/>
        </w:rPr>
      </w:pPr>
    </w:p>
    <w:p w14:paraId="49C20E5A" w14:textId="6FE094C8" w:rsidR="004A696F" w:rsidRDefault="008C2D87" w:rsidP="006F7015">
      <w:pPr>
        <w:widowControl/>
        <w:spacing w:after="0"/>
        <w:jc w:val="both"/>
        <w:rPr>
          <w:rFonts w:ascii="Times New Roman" w:hAnsi="Times New Roman"/>
          <w:bCs/>
        </w:rPr>
      </w:pPr>
      <w:r>
        <w:rPr>
          <w:rFonts w:ascii="Times New Roman" w:hAnsi="Times New Roman"/>
          <w:bCs/>
        </w:rPr>
        <w:t>The following is our strategy to achieve</w:t>
      </w:r>
      <w:r w:rsidR="004A696F" w:rsidRPr="006F7015">
        <w:rPr>
          <w:rFonts w:ascii="Times New Roman" w:hAnsi="Times New Roman"/>
          <w:bCs/>
        </w:rPr>
        <w:t xml:space="preserve"> our vision and mission for the Company:</w:t>
      </w:r>
    </w:p>
    <w:p w14:paraId="190DC80C" w14:textId="77777777" w:rsidR="00AA6F76" w:rsidRPr="006F7015" w:rsidRDefault="00AA6F76" w:rsidP="006F7015">
      <w:pPr>
        <w:widowControl/>
        <w:spacing w:after="0"/>
        <w:jc w:val="both"/>
        <w:rPr>
          <w:rFonts w:ascii="Times New Roman" w:hAnsi="Times New Roman"/>
          <w:bCs/>
        </w:rPr>
      </w:pPr>
    </w:p>
    <w:p w14:paraId="7C465425" w14:textId="03182C1D" w:rsidR="004A696F" w:rsidRPr="007D6F52" w:rsidRDefault="005C1D1B" w:rsidP="002214D7">
      <w:pPr>
        <w:pStyle w:val="ListParagraph"/>
        <w:widowControl/>
        <w:numPr>
          <w:ilvl w:val="0"/>
          <w:numId w:val="12"/>
        </w:numPr>
        <w:spacing w:after="0"/>
        <w:ind w:left="360"/>
        <w:jc w:val="both"/>
        <w:rPr>
          <w:rFonts w:ascii="Times New Roman" w:hAnsi="Times New Roman"/>
          <w:bCs/>
          <w:i/>
          <w:iCs/>
          <w:lang w:val="en-CA"/>
        </w:rPr>
      </w:pPr>
      <w:r>
        <w:rPr>
          <w:rFonts w:ascii="Times New Roman" w:hAnsi="Times New Roman"/>
          <w:b/>
          <w:i/>
          <w:iCs/>
          <w:lang w:val="en-CA"/>
        </w:rPr>
        <w:t>Ramp production capabilities at GMSB</w:t>
      </w:r>
      <w:r w:rsidR="00E47F9E">
        <w:rPr>
          <w:rFonts w:ascii="Times New Roman" w:hAnsi="Times New Roman"/>
          <w:b/>
          <w:i/>
          <w:iCs/>
          <w:lang w:val="en-CA"/>
        </w:rPr>
        <w:t xml:space="preserve"> and </w:t>
      </w:r>
      <w:proofErr w:type="spellStart"/>
      <w:r w:rsidR="00E47F9E">
        <w:rPr>
          <w:rFonts w:ascii="Times New Roman" w:hAnsi="Times New Roman"/>
          <w:b/>
          <w:i/>
          <w:iCs/>
          <w:lang w:val="en-CA"/>
        </w:rPr>
        <w:t>NationGate</w:t>
      </w:r>
      <w:proofErr w:type="spellEnd"/>
      <w:r w:rsidR="004A696F" w:rsidRPr="002214D7">
        <w:rPr>
          <w:rFonts w:ascii="Times New Roman" w:hAnsi="Times New Roman"/>
          <w:bCs/>
          <w:i/>
          <w:iCs/>
          <w:lang w:val="en-CA"/>
        </w:rPr>
        <w:t>.</w:t>
      </w:r>
      <w:r w:rsidR="004A696F" w:rsidRPr="002214D7">
        <w:rPr>
          <w:rFonts w:ascii="Times New Roman" w:hAnsi="Times New Roman"/>
          <w:bCs/>
          <w:lang w:val="en-CA"/>
        </w:rPr>
        <w:t xml:space="preserve"> </w:t>
      </w:r>
      <w:r w:rsidR="004A696F" w:rsidRPr="002214D7">
        <w:rPr>
          <w:rFonts w:ascii="Times New Roman" w:hAnsi="Times New Roman"/>
          <w:bCs/>
          <w:i/>
          <w:iCs/>
          <w:lang w:val="en-CA"/>
        </w:rPr>
        <w:t xml:space="preserve"> </w:t>
      </w:r>
      <w:r w:rsidR="007D6F52" w:rsidRPr="007D6F52">
        <w:rPr>
          <w:rFonts w:ascii="Times New Roman" w:hAnsi="Times New Roman"/>
          <w:bCs/>
        </w:rPr>
        <w:t>POET’s agreement</w:t>
      </w:r>
      <w:r w:rsidR="00E47F9E">
        <w:rPr>
          <w:rFonts w:ascii="Times New Roman" w:hAnsi="Times New Roman"/>
          <w:bCs/>
        </w:rPr>
        <w:t>s</w:t>
      </w:r>
      <w:r w:rsidR="007D6F52" w:rsidRPr="007D6F52">
        <w:rPr>
          <w:rFonts w:ascii="Times New Roman" w:hAnsi="Times New Roman"/>
          <w:bCs/>
        </w:rPr>
        <w:t xml:space="preserve"> with G</w:t>
      </w:r>
      <w:r w:rsidR="007D6F52">
        <w:rPr>
          <w:rFonts w:ascii="Times New Roman" w:hAnsi="Times New Roman"/>
          <w:bCs/>
        </w:rPr>
        <w:t>MSB</w:t>
      </w:r>
      <w:r w:rsidR="007D6F52" w:rsidRPr="007D6F52">
        <w:rPr>
          <w:rFonts w:ascii="Times New Roman" w:hAnsi="Times New Roman"/>
          <w:bCs/>
        </w:rPr>
        <w:t xml:space="preserve"> </w:t>
      </w:r>
      <w:r w:rsidR="00E47F9E">
        <w:rPr>
          <w:rFonts w:ascii="Times New Roman" w:hAnsi="Times New Roman"/>
          <w:bCs/>
        </w:rPr>
        <w:t xml:space="preserve">and </w:t>
      </w:r>
      <w:proofErr w:type="spellStart"/>
      <w:r w:rsidR="00E47F9E">
        <w:rPr>
          <w:rFonts w:ascii="Times New Roman" w:hAnsi="Times New Roman"/>
          <w:bCs/>
        </w:rPr>
        <w:t>NationGate</w:t>
      </w:r>
      <w:proofErr w:type="spellEnd"/>
      <w:r w:rsidR="00E47F9E">
        <w:rPr>
          <w:rFonts w:ascii="Times New Roman" w:hAnsi="Times New Roman"/>
          <w:bCs/>
        </w:rPr>
        <w:t xml:space="preserve"> </w:t>
      </w:r>
      <w:r w:rsidR="007D6F52" w:rsidRPr="007D6F52">
        <w:rPr>
          <w:rFonts w:ascii="Times New Roman" w:hAnsi="Times New Roman"/>
          <w:bCs/>
        </w:rPr>
        <w:t xml:space="preserve">in Malaysia supports its vision and mission by </w:t>
      </w:r>
      <w:r w:rsidR="00481128">
        <w:rPr>
          <w:rFonts w:ascii="Times New Roman" w:hAnsi="Times New Roman"/>
          <w:bCs/>
        </w:rPr>
        <w:t>establishing wafer-level</w:t>
      </w:r>
      <w:r w:rsidR="007D6F52" w:rsidRPr="007D6F52">
        <w:rPr>
          <w:rFonts w:ascii="Times New Roman" w:hAnsi="Times New Roman"/>
          <w:bCs/>
        </w:rPr>
        <w:t xml:space="preserve"> manufacturing, reducing reliance on China, and enhancing supply chain resilience. The partnership</w:t>
      </w:r>
      <w:r w:rsidR="00E47F9E">
        <w:rPr>
          <w:rFonts w:ascii="Times New Roman" w:hAnsi="Times New Roman"/>
          <w:bCs/>
        </w:rPr>
        <w:t>s</w:t>
      </w:r>
      <w:r w:rsidR="007D6F52" w:rsidRPr="007D6F52">
        <w:rPr>
          <w:rFonts w:ascii="Times New Roman" w:hAnsi="Times New Roman"/>
          <w:bCs/>
        </w:rPr>
        <w:t xml:space="preserve"> enable POET to scale production efficiently, leveraging </w:t>
      </w:r>
      <w:r w:rsidR="00E47F9E">
        <w:rPr>
          <w:rFonts w:ascii="Times New Roman" w:hAnsi="Times New Roman"/>
          <w:bCs/>
        </w:rPr>
        <w:t xml:space="preserve">their </w:t>
      </w:r>
      <w:r w:rsidR="007D6F52" w:rsidRPr="007D6F52">
        <w:rPr>
          <w:rFonts w:ascii="Times New Roman" w:hAnsi="Times New Roman"/>
          <w:bCs/>
        </w:rPr>
        <w:t xml:space="preserve">expertise in high-volume semiconductor manufacturing to meet growing demand in the optical interconnect market. </w:t>
      </w:r>
      <w:r w:rsidR="00186900" w:rsidRPr="007D6F52">
        <w:rPr>
          <w:rFonts w:ascii="Times New Roman" w:hAnsi="Times New Roman"/>
          <w:bCs/>
        </w:rPr>
        <w:t>These collaborations</w:t>
      </w:r>
      <w:r w:rsidR="007D6F52" w:rsidRPr="007D6F52">
        <w:rPr>
          <w:rFonts w:ascii="Times New Roman" w:hAnsi="Times New Roman"/>
          <w:bCs/>
        </w:rPr>
        <w:t xml:space="preserve"> enhance POET's operational control, </w:t>
      </w:r>
      <w:proofErr w:type="gramStart"/>
      <w:r w:rsidR="007D6F52" w:rsidRPr="007D6F52">
        <w:rPr>
          <w:rFonts w:ascii="Times New Roman" w:hAnsi="Times New Roman"/>
          <w:bCs/>
        </w:rPr>
        <w:t>ensuring</w:t>
      </w:r>
      <w:proofErr w:type="gramEnd"/>
      <w:r w:rsidR="007D6F52" w:rsidRPr="007D6F52">
        <w:rPr>
          <w:rFonts w:ascii="Times New Roman" w:hAnsi="Times New Roman"/>
          <w:bCs/>
        </w:rPr>
        <w:t xml:space="preserve"> high-quality standards, </w:t>
      </w:r>
      <w:proofErr w:type="gramStart"/>
      <w:r w:rsidR="007D6F52" w:rsidRPr="007D6F52">
        <w:rPr>
          <w:rFonts w:ascii="Times New Roman" w:hAnsi="Times New Roman"/>
          <w:bCs/>
        </w:rPr>
        <w:t>faster</w:t>
      </w:r>
      <w:proofErr w:type="gramEnd"/>
      <w:r w:rsidR="007D6F52" w:rsidRPr="007D6F52">
        <w:rPr>
          <w:rFonts w:ascii="Times New Roman" w:hAnsi="Times New Roman"/>
          <w:bCs/>
        </w:rPr>
        <w:t xml:space="preserve"> production, and better supply chain management. It also opens doors to key global markets, strengthening POET’s position as a leader in optical solutions for data communications and AI technologies</w:t>
      </w:r>
      <w:r w:rsidR="00E47F9E">
        <w:rPr>
          <w:rFonts w:ascii="Times New Roman" w:hAnsi="Times New Roman"/>
          <w:bCs/>
        </w:rPr>
        <w:t>.</w:t>
      </w:r>
    </w:p>
    <w:p w14:paraId="6EA8F5DA" w14:textId="77777777" w:rsidR="007D6F52" w:rsidRPr="00613FBB" w:rsidRDefault="007D6F52" w:rsidP="007D6F52">
      <w:pPr>
        <w:pStyle w:val="ListParagraph"/>
        <w:widowControl/>
        <w:spacing w:after="0"/>
        <w:ind w:left="360"/>
        <w:jc w:val="both"/>
        <w:rPr>
          <w:rFonts w:ascii="Times New Roman" w:hAnsi="Times New Roman"/>
          <w:bCs/>
          <w:i/>
          <w:iCs/>
          <w:lang w:val="en-CA"/>
        </w:rPr>
      </w:pPr>
    </w:p>
    <w:p w14:paraId="31170C59" w14:textId="765A8561" w:rsidR="004A696F" w:rsidRPr="006F7015" w:rsidRDefault="004A696F" w:rsidP="00E169EB">
      <w:pPr>
        <w:widowControl/>
        <w:numPr>
          <w:ilvl w:val="1"/>
          <w:numId w:val="7"/>
        </w:numPr>
        <w:spacing w:after="0"/>
        <w:ind w:left="360"/>
        <w:jc w:val="both"/>
        <w:rPr>
          <w:rFonts w:ascii="Times New Roman" w:hAnsi="Times New Roman"/>
          <w:bCs/>
          <w:i/>
          <w:lang w:val="en-CA"/>
        </w:rPr>
      </w:pPr>
      <w:r w:rsidRPr="00AA6F76">
        <w:rPr>
          <w:rFonts w:ascii="Times New Roman" w:hAnsi="Times New Roman"/>
          <w:b/>
          <w:i/>
          <w:lang w:val="en-CA"/>
        </w:rPr>
        <w:t>Engage with industry leaders and incumbents.</w:t>
      </w:r>
      <w:r w:rsidRPr="006F7015">
        <w:rPr>
          <w:rFonts w:ascii="Times New Roman" w:hAnsi="Times New Roman"/>
          <w:bCs/>
          <w:i/>
          <w:lang w:val="en-CA"/>
        </w:rPr>
        <w:t xml:space="preserve"> </w:t>
      </w:r>
      <w:r w:rsidRPr="006F7015">
        <w:rPr>
          <w:rFonts w:ascii="Times New Roman" w:hAnsi="Times New Roman"/>
          <w:bCs/>
          <w:iCs/>
          <w:lang w:val="en-CA"/>
        </w:rPr>
        <w:t>We will continue</w:t>
      </w:r>
      <w:r w:rsidRPr="006F7015">
        <w:rPr>
          <w:rFonts w:ascii="Times New Roman" w:hAnsi="Times New Roman"/>
          <w:bCs/>
          <w:i/>
          <w:lang w:val="en-CA"/>
        </w:rPr>
        <w:t xml:space="preserve"> </w:t>
      </w:r>
      <w:r w:rsidRPr="006F7015">
        <w:rPr>
          <w:rFonts w:ascii="Times New Roman" w:hAnsi="Times New Roman"/>
          <w:bCs/>
          <w:iCs/>
          <w:lang w:val="en-CA"/>
        </w:rPr>
        <w:t>to promote the potential of the Optical Interposer and POET-designed Optical Engines to solve critical challenges with current approaches to data transfer in data center and telecom applications,</w:t>
      </w:r>
      <w:r w:rsidR="004979F8">
        <w:rPr>
          <w:rFonts w:ascii="Times New Roman" w:hAnsi="Times New Roman"/>
          <w:bCs/>
          <w:iCs/>
          <w:lang w:val="en-CA"/>
        </w:rPr>
        <w:t xml:space="preserve"> especially to those hyperscale data centers implementing large-scale AI applications</w:t>
      </w:r>
      <w:r w:rsidRPr="006F7015">
        <w:rPr>
          <w:rFonts w:ascii="Times New Roman" w:hAnsi="Times New Roman"/>
          <w:bCs/>
          <w:i/>
          <w:lang w:val="en-CA"/>
        </w:rPr>
        <w:t xml:space="preserve">. </w:t>
      </w:r>
      <w:r w:rsidRPr="006F7015">
        <w:rPr>
          <w:rFonts w:ascii="Times New Roman" w:hAnsi="Times New Roman"/>
          <w:bCs/>
        </w:rPr>
        <w:t>We believe that</w:t>
      </w:r>
      <w:r w:rsidRPr="006F7015">
        <w:rPr>
          <w:rFonts w:ascii="Times New Roman" w:hAnsi="Times New Roman"/>
          <w:bCs/>
          <w:iCs/>
          <w:lang w:val="en-CA"/>
        </w:rPr>
        <w:t xml:space="preserve"> the size, performance and design flexibility of POET’s </w:t>
      </w:r>
      <w:r w:rsidR="002013EC" w:rsidRPr="006F7015">
        <w:rPr>
          <w:rFonts w:ascii="Times New Roman" w:hAnsi="Times New Roman"/>
          <w:bCs/>
          <w:iCs/>
          <w:lang w:val="en-CA"/>
        </w:rPr>
        <w:t>chip</w:t>
      </w:r>
      <w:r w:rsidR="002013EC">
        <w:rPr>
          <w:rFonts w:ascii="Times New Roman" w:hAnsi="Times New Roman"/>
          <w:bCs/>
          <w:iCs/>
          <w:lang w:val="en-CA"/>
        </w:rPr>
        <w:t>-</w:t>
      </w:r>
      <w:r w:rsidR="000E2A23">
        <w:rPr>
          <w:rFonts w:ascii="Times New Roman" w:hAnsi="Times New Roman"/>
          <w:bCs/>
          <w:iCs/>
          <w:lang w:val="en-CA"/>
        </w:rPr>
        <w:t xml:space="preserve">scale </w:t>
      </w:r>
      <w:r w:rsidRPr="006F7015">
        <w:rPr>
          <w:rFonts w:ascii="Times New Roman" w:hAnsi="Times New Roman"/>
          <w:bCs/>
          <w:iCs/>
          <w:lang w:val="en-CA"/>
        </w:rPr>
        <w:t xml:space="preserve">approach to integration </w:t>
      </w:r>
      <w:r w:rsidR="004979F8">
        <w:rPr>
          <w:rFonts w:ascii="Times New Roman" w:hAnsi="Times New Roman"/>
          <w:bCs/>
          <w:iCs/>
          <w:lang w:val="en-CA"/>
        </w:rPr>
        <w:t xml:space="preserve">and to the rapid introduction of successive product generations </w:t>
      </w:r>
      <w:r w:rsidRPr="006F7015">
        <w:rPr>
          <w:rFonts w:ascii="Times New Roman" w:hAnsi="Times New Roman"/>
          <w:bCs/>
          <w:iCs/>
          <w:lang w:val="en-CA"/>
        </w:rPr>
        <w:t>is an enabling technology that will allow POET to enter markets where relatively few competitors will have the requisite technology to succeed</w:t>
      </w:r>
      <w:r w:rsidRPr="006F7015">
        <w:rPr>
          <w:rFonts w:ascii="Times New Roman" w:hAnsi="Times New Roman"/>
          <w:bCs/>
        </w:rPr>
        <w:t>.</w:t>
      </w:r>
    </w:p>
    <w:p w14:paraId="4E0112CB" w14:textId="77777777" w:rsidR="004A696F" w:rsidRPr="006F7015" w:rsidRDefault="004A696F" w:rsidP="00B40CED">
      <w:pPr>
        <w:widowControl/>
        <w:spacing w:after="0"/>
        <w:jc w:val="both"/>
        <w:rPr>
          <w:rFonts w:ascii="Times New Roman" w:hAnsi="Times New Roman"/>
          <w:bCs/>
          <w:i/>
          <w:iCs/>
        </w:rPr>
      </w:pPr>
    </w:p>
    <w:p w14:paraId="7157DB77" w14:textId="77777777" w:rsidR="004A696F" w:rsidRPr="006F7015" w:rsidRDefault="004A696F" w:rsidP="00E169EB">
      <w:pPr>
        <w:widowControl/>
        <w:numPr>
          <w:ilvl w:val="1"/>
          <w:numId w:val="7"/>
        </w:numPr>
        <w:spacing w:after="0"/>
        <w:ind w:left="360"/>
        <w:jc w:val="both"/>
        <w:rPr>
          <w:rFonts w:ascii="Times New Roman" w:hAnsi="Times New Roman"/>
          <w:bCs/>
          <w:u w:val="single"/>
        </w:rPr>
      </w:pPr>
      <w:r w:rsidRPr="00D02140">
        <w:rPr>
          <w:rFonts w:ascii="Times New Roman" w:hAnsi="Times New Roman"/>
          <w:b/>
          <w:i/>
        </w:rPr>
        <w:t>Pursue complementary strategic alliance or acquisition opportunities for inorganic growth</w:t>
      </w:r>
      <w:r w:rsidRPr="006F7015">
        <w:rPr>
          <w:rFonts w:ascii="Times New Roman" w:hAnsi="Times New Roman"/>
          <w:bCs/>
          <w:i/>
        </w:rPr>
        <w:t xml:space="preserve">.  </w:t>
      </w:r>
      <w:r w:rsidRPr="006F7015">
        <w:rPr>
          <w:rFonts w:ascii="Times New Roman" w:hAnsi="Times New Roman"/>
          <w:bCs/>
        </w:rPr>
        <w:t>We intend to evaluate and selectively pursue strategic alliances or acquisition opportunities for growth and vertical integration that we believe will accelerate our penetration of specific applications or vertical markets with our technology or products.</w:t>
      </w:r>
    </w:p>
    <w:p w14:paraId="49340116" w14:textId="77777777" w:rsidR="004A696F" w:rsidRPr="006F7015" w:rsidRDefault="004A696F" w:rsidP="006F7015">
      <w:pPr>
        <w:widowControl/>
        <w:spacing w:after="0"/>
        <w:jc w:val="both"/>
        <w:rPr>
          <w:rFonts w:ascii="Times New Roman" w:hAnsi="Times New Roman"/>
          <w:bCs/>
          <w:u w:val="single"/>
        </w:rPr>
      </w:pPr>
    </w:p>
    <w:p w14:paraId="6B1A90FE" w14:textId="77777777" w:rsidR="004A696F" w:rsidRPr="006F7015" w:rsidRDefault="004A696F" w:rsidP="00E169EB">
      <w:pPr>
        <w:widowControl/>
        <w:numPr>
          <w:ilvl w:val="1"/>
          <w:numId w:val="7"/>
        </w:numPr>
        <w:spacing w:after="0"/>
        <w:ind w:left="360"/>
        <w:jc w:val="both"/>
        <w:rPr>
          <w:rFonts w:ascii="Times New Roman" w:hAnsi="Times New Roman"/>
          <w:bCs/>
          <w:lang w:val="en-CA"/>
        </w:rPr>
      </w:pPr>
      <w:r w:rsidRPr="00D02140">
        <w:rPr>
          <w:rFonts w:ascii="Times New Roman" w:hAnsi="Times New Roman"/>
          <w:b/>
          <w:i/>
          <w:iCs/>
          <w:lang w:val="en-CA"/>
        </w:rPr>
        <w:t>Explore technology licensing opportunities for growth in non-target sectors</w:t>
      </w:r>
      <w:r w:rsidRPr="006F7015">
        <w:rPr>
          <w:rFonts w:ascii="Times New Roman" w:hAnsi="Times New Roman"/>
          <w:bCs/>
          <w:i/>
          <w:iCs/>
          <w:lang w:val="en-CA"/>
        </w:rPr>
        <w:t xml:space="preserve">.  </w:t>
      </w:r>
      <w:r w:rsidRPr="006F7015">
        <w:rPr>
          <w:rFonts w:ascii="Times New Roman" w:hAnsi="Times New Roman"/>
          <w:bCs/>
          <w:lang w:val="en-CA"/>
        </w:rPr>
        <w:t>It is not possible for the Company to pursue all potential applications for the POET Optical Interposer.  We will carefully consider opportunities to license our technology to others when and if appropriate.</w:t>
      </w:r>
    </w:p>
    <w:p w14:paraId="75393E9B" w14:textId="4897C88B" w:rsidR="004A696F" w:rsidRDefault="004A696F" w:rsidP="004A696F">
      <w:pPr>
        <w:widowControl/>
        <w:spacing w:after="0"/>
        <w:rPr>
          <w:rFonts w:ascii="Times New Roman" w:hAnsi="Times New Roman"/>
          <w:bCs/>
          <w:u w:val="single"/>
        </w:rPr>
      </w:pPr>
    </w:p>
    <w:p w14:paraId="3023B486" w14:textId="51786493" w:rsidR="004A696F" w:rsidRDefault="004A696F" w:rsidP="004A696F">
      <w:pPr>
        <w:widowControl/>
        <w:spacing w:after="0"/>
        <w:rPr>
          <w:rFonts w:ascii="Times New Roman" w:hAnsi="Times New Roman"/>
          <w:b/>
          <w:u w:val="single"/>
        </w:rPr>
      </w:pPr>
      <w:r w:rsidRPr="00D02140">
        <w:rPr>
          <w:rFonts w:ascii="Times New Roman" w:hAnsi="Times New Roman"/>
          <w:b/>
          <w:u w:val="single"/>
        </w:rPr>
        <w:t>Our Products</w:t>
      </w:r>
    </w:p>
    <w:p w14:paraId="12B73C47" w14:textId="77777777" w:rsidR="00D02140" w:rsidRPr="00D02140" w:rsidRDefault="00D02140" w:rsidP="004A696F">
      <w:pPr>
        <w:widowControl/>
        <w:spacing w:after="0"/>
        <w:rPr>
          <w:rFonts w:ascii="Times New Roman" w:hAnsi="Times New Roman"/>
          <w:b/>
          <w:u w:val="single"/>
        </w:rPr>
      </w:pPr>
    </w:p>
    <w:p w14:paraId="64D14807" w14:textId="77777777" w:rsidR="004A696F" w:rsidRPr="006F7015" w:rsidRDefault="004A696F" w:rsidP="004A696F">
      <w:pPr>
        <w:widowControl/>
        <w:spacing w:after="0"/>
        <w:rPr>
          <w:rFonts w:ascii="Times New Roman" w:hAnsi="Times New Roman"/>
          <w:bCs/>
        </w:rPr>
      </w:pPr>
      <w:r w:rsidRPr="006F7015">
        <w:rPr>
          <w:rFonts w:ascii="Times New Roman" w:hAnsi="Times New Roman"/>
          <w:bCs/>
        </w:rPr>
        <w:t>POET Optical Engine Products currently include the following:</w:t>
      </w:r>
    </w:p>
    <w:p w14:paraId="4BC51C18" w14:textId="77777777" w:rsidR="004A696F" w:rsidRPr="006F7015" w:rsidRDefault="004A696F" w:rsidP="004A696F">
      <w:pPr>
        <w:widowControl/>
        <w:spacing w:after="0"/>
        <w:rPr>
          <w:rFonts w:ascii="Times New Roman" w:hAnsi="Times New Roman"/>
          <w:bCs/>
        </w:rPr>
      </w:pPr>
      <w:r w:rsidRPr="006F7015">
        <w:rPr>
          <w:rFonts w:ascii="Times New Roman" w:hAnsi="Times New Roman"/>
          <w:bCs/>
        </w:rPr>
        <w:lastRenderedPageBreak/>
        <w:t>• 100G LR4 Tx and Rx</w:t>
      </w:r>
    </w:p>
    <w:p w14:paraId="63D39F9B" w14:textId="77777777" w:rsidR="004A696F" w:rsidRPr="006F7015" w:rsidRDefault="004A696F" w:rsidP="004A696F">
      <w:pPr>
        <w:widowControl/>
        <w:spacing w:after="0"/>
        <w:rPr>
          <w:rFonts w:ascii="Times New Roman" w:hAnsi="Times New Roman"/>
          <w:bCs/>
        </w:rPr>
      </w:pPr>
      <w:r w:rsidRPr="006F7015">
        <w:rPr>
          <w:rFonts w:ascii="Times New Roman" w:hAnsi="Times New Roman"/>
          <w:bCs/>
        </w:rPr>
        <w:t>• 200G FR4 Tx and Rx</w:t>
      </w:r>
    </w:p>
    <w:p w14:paraId="129668A0" w14:textId="77777777" w:rsidR="004A696F" w:rsidRPr="006F7015" w:rsidRDefault="004A696F" w:rsidP="004A696F">
      <w:pPr>
        <w:widowControl/>
        <w:spacing w:after="0"/>
        <w:rPr>
          <w:rFonts w:ascii="Times New Roman" w:hAnsi="Times New Roman"/>
          <w:bCs/>
        </w:rPr>
      </w:pPr>
      <w:r w:rsidRPr="006F7015">
        <w:rPr>
          <w:rFonts w:ascii="Times New Roman" w:hAnsi="Times New Roman"/>
          <w:bCs/>
        </w:rPr>
        <w:t>• 400G/800G FR4 Rx with integrated TIA</w:t>
      </w:r>
    </w:p>
    <w:p w14:paraId="2F386F3C" w14:textId="77777777" w:rsidR="004A696F" w:rsidRPr="006F7015" w:rsidRDefault="004A696F" w:rsidP="004A696F">
      <w:pPr>
        <w:widowControl/>
        <w:spacing w:after="0"/>
        <w:rPr>
          <w:rFonts w:ascii="Times New Roman" w:hAnsi="Times New Roman"/>
          <w:bCs/>
        </w:rPr>
      </w:pPr>
      <w:r w:rsidRPr="006F7015">
        <w:rPr>
          <w:rFonts w:ascii="Times New Roman" w:hAnsi="Times New Roman"/>
          <w:bCs/>
        </w:rPr>
        <w:t>• 400G/800G FR4 Tx with integrated Driver</w:t>
      </w:r>
    </w:p>
    <w:p w14:paraId="2310119D" w14:textId="77777777" w:rsidR="004A696F" w:rsidRDefault="004A696F" w:rsidP="004A696F">
      <w:pPr>
        <w:widowControl/>
        <w:spacing w:after="0"/>
        <w:rPr>
          <w:rFonts w:ascii="Times New Roman" w:hAnsi="Times New Roman"/>
          <w:bCs/>
        </w:rPr>
      </w:pPr>
      <w:r w:rsidRPr="006F7015">
        <w:rPr>
          <w:rFonts w:ascii="Times New Roman" w:hAnsi="Times New Roman"/>
          <w:bCs/>
        </w:rPr>
        <w:t>• 1.6T 4xFR4 Rx with integrated TIA</w:t>
      </w:r>
    </w:p>
    <w:p w14:paraId="41C52CDB" w14:textId="4AEC4DF2" w:rsidR="00B4661A" w:rsidRPr="008B1DF8" w:rsidRDefault="00B4661A" w:rsidP="00E169EB">
      <w:pPr>
        <w:pStyle w:val="ListParagraph"/>
        <w:widowControl/>
        <w:numPr>
          <w:ilvl w:val="0"/>
          <w:numId w:val="9"/>
        </w:numPr>
        <w:spacing w:after="0"/>
        <w:ind w:left="180" w:hanging="180"/>
        <w:rPr>
          <w:rFonts w:ascii="Times New Roman" w:hAnsi="Times New Roman"/>
        </w:rPr>
      </w:pPr>
      <w:r w:rsidRPr="0023210C">
        <w:rPr>
          <w:rFonts w:ascii="Times New Roman" w:hAnsi="Times New Roman"/>
          <w:color w:val="000000"/>
        </w:rPr>
        <w:t>200G/Lane Tx &amp; Rx for 1.6T and 3.2T</w:t>
      </w:r>
      <w:r w:rsidR="009201A4">
        <w:rPr>
          <w:rFonts w:ascii="Times New Roman" w:hAnsi="Times New Roman"/>
          <w:color w:val="000000"/>
        </w:rPr>
        <w:t xml:space="preserve"> chipsets</w:t>
      </w:r>
    </w:p>
    <w:p w14:paraId="3A806C15" w14:textId="77777777" w:rsidR="004A696F" w:rsidRPr="006F7015" w:rsidRDefault="004A696F" w:rsidP="004A696F">
      <w:pPr>
        <w:widowControl/>
        <w:spacing w:after="0"/>
        <w:rPr>
          <w:rFonts w:ascii="Times New Roman" w:hAnsi="Times New Roman"/>
          <w:bCs/>
        </w:rPr>
      </w:pPr>
      <w:r w:rsidRPr="006F7015">
        <w:rPr>
          <w:rFonts w:ascii="Times New Roman" w:hAnsi="Times New Roman"/>
          <w:bCs/>
        </w:rPr>
        <w:t xml:space="preserve">• </w:t>
      </w:r>
      <w:proofErr w:type="spellStart"/>
      <w:r w:rsidRPr="006F7015">
        <w:rPr>
          <w:rFonts w:ascii="Times New Roman" w:hAnsi="Times New Roman"/>
          <w:bCs/>
        </w:rPr>
        <w:t>LightBar</w:t>
      </w:r>
      <w:proofErr w:type="spellEnd"/>
      <w:r w:rsidRPr="006F7015">
        <w:rPr>
          <w:rFonts w:ascii="Times New Roman" w:hAnsi="Times New Roman"/>
          <w:bCs/>
        </w:rPr>
        <w:t>: C-Band External Light Source</w:t>
      </w:r>
    </w:p>
    <w:p w14:paraId="6BBF365F" w14:textId="77777777" w:rsidR="004A696F" w:rsidRPr="006F7015" w:rsidRDefault="004A696F" w:rsidP="004A696F">
      <w:pPr>
        <w:widowControl/>
        <w:spacing w:after="0"/>
        <w:rPr>
          <w:rFonts w:ascii="Times New Roman" w:hAnsi="Times New Roman"/>
          <w:bCs/>
        </w:rPr>
      </w:pPr>
      <w:r w:rsidRPr="006F7015">
        <w:rPr>
          <w:rFonts w:ascii="Times New Roman" w:hAnsi="Times New Roman"/>
          <w:bCs/>
        </w:rPr>
        <w:t xml:space="preserve">• </w:t>
      </w:r>
      <w:proofErr w:type="spellStart"/>
      <w:r w:rsidRPr="006F7015">
        <w:rPr>
          <w:rFonts w:ascii="Times New Roman" w:hAnsi="Times New Roman"/>
          <w:bCs/>
        </w:rPr>
        <w:t>LightBar</w:t>
      </w:r>
      <w:proofErr w:type="spellEnd"/>
      <w:r w:rsidRPr="006F7015">
        <w:rPr>
          <w:rFonts w:ascii="Times New Roman" w:hAnsi="Times New Roman"/>
          <w:bCs/>
        </w:rPr>
        <w:t>: O-Band External Light Source</w:t>
      </w:r>
    </w:p>
    <w:p w14:paraId="09B5B5AE" w14:textId="77777777" w:rsidR="004A696F" w:rsidRPr="006F7015" w:rsidRDefault="004A696F" w:rsidP="004A696F">
      <w:pPr>
        <w:widowControl/>
        <w:spacing w:after="0"/>
        <w:rPr>
          <w:rFonts w:ascii="Times New Roman" w:hAnsi="Times New Roman"/>
          <w:bCs/>
          <w:u w:val="single"/>
        </w:rPr>
      </w:pPr>
    </w:p>
    <w:p w14:paraId="1B0796E6" w14:textId="77777777" w:rsidR="004A696F" w:rsidRPr="00D02140" w:rsidRDefault="004A696F" w:rsidP="004A696F">
      <w:pPr>
        <w:widowControl/>
        <w:spacing w:after="0"/>
        <w:rPr>
          <w:rFonts w:ascii="Times New Roman" w:hAnsi="Times New Roman"/>
          <w:b/>
          <w:u w:val="single"/>
        </w:rPr>
      </w:pPr>
      <w:r w:rsidRPr="00D02140">
        <w:rPr>
          <w:rFonts w:ascii="Times New Roman" w:hAnsi="Times New Roman"/>
          <w:b/>
          <w:u w:val="single"/>
        </w:rPr>
        <w:t>Intellectual Property</w:t>
      </w:r>
    </w:p>
    <w:p w14:paraId="0D34C25C" w14:textId="77777777" w:rsidR="004A696F" w:rsidRPr="006F7015" w:rsidRDefault="004A696F" w:rsidP="004A696F">
      <w:pPr>
        <w:widowControl/>
        <w:spacing w:after="0"/>
        <w:rPr>
          <w:rFonts w:ascii="Times New Roman" w:hAnsi="Times New Roman"/>
          <w:bCs/>
          <w:u w:val="single"/>
        </w:rPr>
      </w:pPr>
    </w:p>
    <w:p w14:paraId="3C10FDDE" w14:textId="520C8B37" w:rsidR="004A696F" w:rsidRPr="006F7015" w:rsidRDefault="004A696F" w:rsidP="006F7015">
      <w:pPr>
        <w:widowControl/>
        <w:spacing w:after="0"/>
        <w:ind w:right="450"/>
        <w:jc w:val="both"/>
        <w:rPr>
          <w:rFonts w:ascii="Times New Roman" w:hAnsi="Times New Roman"/>
          <w:bCs/>
        </w:rPr>
      </w:pPr>
      <w:bookmarkStart w:id="3" w:name="_Hlk213399366"/>
      <w:bookmarkStart w:id="4" w:name="_Hlk173756252"/>
      <w:r w:rsidRPr="006F7015">
        <w:rPr>
          <w:rFonts w:ascii="Times New Roman" w:hAnsi="Times New Roman"/>
          <w:bCs/>
        </w:rPr>
        <w:t xml:space="preserve">We have </w:t>
      </w:r>
      <w:r w:rsidR="007520F2">
        <w:rPr>
          <w:rFonts w:ascii="Times New Roman" w:hAnsi="Times New Roman"/>
          <w:bCs/>
        </w:rPr>
        <w:t>7</w:t>
      </w:r>
      <w:r w:rsidR="00DC53DE">
        <w:rPr>
          <w:rFonts w:ascii="Times New Roman" w:hAnsi="Times New Roman"/>
          <w:bCs/>
        </w:rPr>
        <w:t>9</w:t>
      </w:r>
      <w:r w:rsidRPr="006F7015">
        <w:rPr>
          <w:rFonts w:ascii="Times New Roman" w:hAnsi="Times New Roman"/>
          <w:bCs/>
        </w:rPr>
        <w:t xml:space="preserve"> issued patents and </w:t>
      </w:r>
      <w:r w:rsidR="007D6F52">
        <w:rPr>
          <w:rFonts w:ascii="Times New Roman" w:hAnsi="Times New Roman"/>
          <w:bCs/>
        </w:rPr>
        <w:t>3</w:t>
      </w:r>
      <w:r w:rsidR="00DC53DE">
        <w:rPr>
          <w:rFonts w:ascii="Times New Roman" w:hAnsi="Times New Roman"/>
          <w:bCs/>
        </w:rPr>
        <w:t>4</w:t>
      </w:r>
      <w:r w:rsidRPr="006F7015">
        <w:rPr>
          <w:rFonts w:ascii="Times New Roman" w:hAnsi="Times New Roman"/>
          <w:bCs/>
        </w:rPr>
        <w:t xml:space="preserve"> patent applications pending, including three provisional patent applications. Of the </w:t>
      </w:r>
      <w:r w:rsidR="007520F2">
        <w:rPr>
          <w:rFonts w:ascii="Times New Roman" w:hAnsi="Times New Roman"/>
          <w:bCs/>
        </w:rPr>
        <w:t>7</w:t>
      </w:r>
      <w:r w:rsidR="00DC53DE">
        <w:rPr>
          <w:rFonts w:ascii="Times New Roman" w:hAnsi="Times New Roman"/>
          <w:bCs/>
        </w:rPr>
        <w:t>9</w:t>
      </w:r>
      <w:r w:rsidRPr="006F7015">
        <w:rPr>
          <w:rFonts w:ascii="Times New Roman" w:hAnsi="Times New Roman"/>
          <w:bCs/>
        </w:rPr>
        <w:t xml:space="preserve"> issued patents, </w:t>
      </w:r>
      <w:r w:rsidR="007D6F52">
        <w:rPr>
          <w:rFonts w:ascii="Times New Roman" w:hAnsi="Times New Roman"/>
          <w:bCs/>
        </w:rPr>
        <w:t>4</w:t>
      </w:r>
      <w:r w:rsidR="00DC53DE">
        <w:rPr>
          <w:rFonts w:ascii="Times New Roman" w:hAnsi="Times New Roman"/>
          <w:bCs/>
        </w:rPr>
        <w:t xml:space="preserve">5 </w:t>
      </w:r>
      <w:r w:rsidRPr="006F7015">
        <w:rPr>
          <w:rFonts w:ascii="Times New Roman" w:hAnsi="Times New Roman"/>
          <w:bCs/>
        </w:rPr>
        <w:t xml:space="preserve">are directly related to the Optical Interposer and include fundamental design and process patents. All </w:t>
      </w:r>
      <w:r w:rsidR="007D6F52">
        <w:rPr>
          <w:rFonts w:ascii="Times New Roman" w:hAnsi="Times New Roman"/>
          <w:bCs/>
        </w:rPr>
        <w:t>3</w:t>
      </w:r>
      <w:r w:rsidR="00DC53DE">
        <w:rPr>
          <w:rFonts w:ascii="Times New Roman" w:hAnsi="Times New Roman"/>
          <w:bCs/>
        </w:rPr>
        <w:t>4</w:t>
      </w:r>
      <w:r w:rsidR="002B22D7">
        <w:rPr>
          <w:rFonts w:ascii="Times New Roman" w:hAnsi="Times New Roman"/>
          <w:bCs/>
        </w:rPr>
        <w:t xml:space="preserve"> </w:t>
      </w:r>
      <w:r w:rsidRPr="006F7015">
        <w:rPr>
          <w:rFonts w:ascii="Times New Roman" w:hAnsi="Times New Roman"/>
          <w:bCs/>
        </w:rPr>
        <w:t>applications pending are Optical Interposer-related</w:t>
      </w:r>
      <w:bookmarkEnd w:id="3"/>
      <w:r w:rsidRPr="006F7015">
        <w:rPr>
          <w:rFonts w:ascii="Times New Roman" w:hAnsi="Times New Roman"/>
          <w:bCs/>
        </w:rPr>
        <w:t xml:space="preserve">. </w:t>
      </w:r>
      <w:bookmarkEnd w:id="4"/>
      <w:r w:rsidRPr="006F7015">
        <w:rPr>
          <w:rFonts w:ascii="Times New Roman" w:hAnsi="Times New Roman"/>
          <w:bCs/>
        </w:rPr>
        <w:t>Multiple additional applications are in various stages of preparation. The patents cover device structures, underlying technology related to the Optical Interposer, applications of the technology, and fabrication processes. We intend to continue to apply for additional patents in the future. We believe these patents provide a significant barrier to entry against competition along with company trade secrets and know-how.  Currently, we are working on the design of integrated devices, manufacturing processes, assembly and packaging processes, and products for data communication applications in the data center market.</w:t>
      </w:r>
    </w:p>
    <w:p w14:paraId="658ACC8A" w14:textId="77777777" w:rsidR="00F74EC5" w:rsidRDefault="00F74EC5" w:rsidP="00233B8E">
      <w:pPr>
        <w:ind w:left="-80" w:firstLine="80"/>
        <w:contextualSpacing/>
        <w:jc w:val="both"/>
        <w:outlineLvl w:val="0"/>
        <w:rPr>
          <w:rFonts w:ascii="Times New Roman" w:hAnsi="Times New Roman"/>
          <w:b/>
          <w:u w:val="single"/>
        </w:rPr>
      </w:pPr>
    </w:p>
    <w:p w14:paraId="18D5C791" w14:textId="77777777" w:rsidR="00576A67" w:rsidRPr="00233B8E" w:rsidRDefault="004928E7" w:rsidP="00233B8E">
      <w:pPr>
        <w:ind w:left="-80" w:firstLine="80"/>
        <w:contextualSpacing/>
        <w:jc w:val="both"/>
        <w:outlineLvl w:val="0"/>
        <w:rPr>
          <w:rFonts w:ascii="Times New Roman" w:hAnsi="Times New Roman"/>
          <w:b/>
          <w:u w:val="single"/>
        </w:rPr>
      </w:pPr>
      <w:r w:rsidRPr="00233B8E">
        <w:rPr>
          <w:rFonts w:ascii="Times New Roman" w:hAnsi="Times New Roman"/>
          <w:b/>
          <w:u w:val="single"/>
        </w:rPr>
        <w:t>MD&amp;A Highlights</w:t>
      </w:r>
    </w:p>
    <w:p w14:paraId="5C55BBB3" w14:textId="77777777" w:rsidR="000D32EC" w:rsidRDefault="000D32EC" w:rsidP="00233B8E">
      <w:pPr>
        <w:contextualSpacing/>
        <w:jc w:val="both"/>
        <w:outlineLvl w:val="0"/>
        <w:rPr>
          <w:rFonts w:ascii="Times New Roman" w:hAnsi="Times New Roman"/>
        </w:rPr>
      </w:pPr>
    </w:p>
    <w:p w14:paraId="600E9A71" w14:textId="4B9B6081" w:rsidR="00251692" w:rsidRPr="000F26A9" w:rsidRDefault="004928E7" w:rsidP="0023210C">
      <w:pPr>
        <w:spacing w:before="120" w:after="120"/>
        <w:jc w:val="both"/>
        <w:rPr>
          <w:rFonts w:ascii="Times New Roman" w:hAnsi="Times New Roman"/>
          <w:color w:val="000000" w:themeColor="text1"/>
        </w:rPr>
      </w:pPr>
      <w:r>
        <w:rPr>
          <w:rFonts w:ascii="Times New Roman" w:hAnsi="Times New Roman"/>
          <w:color w:val="000000" w:themeColor="text1"/>
        </w:rPr>
        <w:t>N</w:t>
      </w:r>
      <w:r w:rsidRPr="000F26A9">
        <w:rPr>
          <w:rFonts w:ascii="Times New Roman" w:hAnsi="Times New Roman"/>
          <w:color w:val="000000" w:themeColor="text1"/>
        </w:rPr>
        <w:t xml:space="preserve">et </w:t>
      </w:r>
      <w:r w:rsidR="0059396D">
        <w:rPr>
          <w:rFonts w:ascii="Times New Roman" w:hAnsi="Times New Roman"/>
          <w:color w:val="000000" w:themeColor="text1"/>
        </w:rPr>
        <w:t>loss</w:t>
      </w:r>
      <w:r w:rsidRPr="000F26A9">
        <w:rPr>
          <w:rFonts w:ascii="Times New Roman" w:hAnsi="Times New Roman"/>
          <w:color w:val="000000" w:themeColor="text1"/>
        </w:rPr>
        <w:t xml:space="preserve"> </w:t>
      </w:r>
      <w:r>
        <w:rPr>
          <w:rFonts w:ascii="Times New Roman" w:hAnsi="Times New Roman"/>
          <w:color w:val="000000" w:themeColor="text1"/>
        </w:rPr>
        <w:t xml:space="preserve">for the </w:t>
      </w:r>
      <w:r w:rsidR="000E08E0">
        <w:rPr>
          <w:rFonts w:ascii="Times New Roman" w:hAnsi="Times New Roman"/>
          <w:color w:val="000000" w:themeColor="text1"/>
        </w:rPr>
        <w:t>nine months ended</w:t>
      </w:r>
      <w:r w:rsidR="0059396D">
        <w:rPr>
          <w:rFonts w:ascii="Times New Roman" w:hAnsi="Times New Roman"/>
          <w:color w:val="000000" w:themeColor="text1"/>
        </w:rPr>
        <w:t xml:space="preserve"> </w:t>
      </w:r>
      <w:r w:rsidR="000E08E0">
        <w:rPr>
          <w:rFonts w:ascii="Times New Roman" w:hAnsi="Times New Roman"/>
          <w:color w:val="000000" w:themeColor="text1"/>
        </w:rPr>
        <w:t xml:space="preserve">September 30, </w:t>
      </w:r>
      <w:proofErr w:type="gramStart"/>
      <w:r w:rsidR="000E08E0">
        <w:rPr>
          <w:rFonts w:ascii="Times New Roman" w:hAnsi="Times New Roman"/>
          <w:color w:val="000000" w:themeColor="text1"/>
        </w:rPr>
        <w:t>2025</w:t>
      </w:r>
      <w:proofErr w:type="gramEnd"/>
      <w:r>
        <w:rPr>
          <w:rFonts w:ascii="Times New Roman" w:hAnsi="Times New Roman"/>
          <w:color w:val="000000" w:themeColor="text1"/>
        </w:rPr>
        <w:t xml:space="preserve"> was </w:t>
      </w:r>
      <w:r w:rsidR="00374E04">
        <w:rPr>
          <w:rFonts w:ascii="Times New Roman" w:hAnsi="Times New Roman"/>
          <w:color w:val="000000" w:themeColor="text1"/>
        </w:rPr>
        <w:t>$</w:t>
      </w:r>
      <w:r w:rsidR="004C515C">
        <w:rPr>
          <w:rFonts w:ascii="Times New Roman" w:hAnsi="Times New Roman"/>
          <w:color w:val="000000" w:themeColor="text1"/>
        </w:rPr>
        <w:t>20,291,531</w:t>
      </w:r>
      <w:r w:rsidRPr="000F26A9">
        <w:rPr>
          <w:rFonts w:ascii="Times New Roman" w:hAnsi="Times New Roman"/>
          <w:color w:val="000000" w:themeColor="text1"/>
        </w:rPr>
        <w:t>.</w:t>
      </w:r>
      <w:r w:rsidR="00D57C92">
        <w:rPr>
          <w:rFonts w:ascii="Times New Roman" w:hAnsi="Times New Roman"/>
          <w:color w:val="000000" w:themeColor="text1"/>
        </w:rPr>
        <w:t xml:space="preserve"> </w:t>
      </w:r>
      <w:r w:rsidRPr="000F26A9">
        <w:rPr>
          <w:rFonts w:ascii="Times New Roman" w:hAnsi="Times New Roman"/>
          <w:color w:val="000000" w:themeColor="text1"/>
        </w:rPr>
        <w:t xml:space="preserve">The </w:t>
      </w:r>
      <w:r w:rsidR="0059396D">
        <w:rPr>
          <w:rFonts w:ascii="Times New Roman" w:hAnsi="Times New Roman"/>
          <w:color w:val="000000" w:themeColor="text1"/>
        </w:rPr>
        <w:t>net loss</w:t>
      </w:r>
      <w:r w:rsidRPr="000F26A9">
        <w:rPr>
          <w:rFonts w:ascii="Times New Roman" w:hAnsi="Times New Roman"/>
          <w:color w:val="000000" w:themeColor="text1"/>
        </w:rPr>
        <w:t xml:space="preserve"> included $</w:t>
      </w:r>
      <w:r w:rsidR="004C515C">
        <w:rPr>
          <w:rFonts w:ascii="Times New Roman" w:hAnsi="Times New Roman"/>
          <w:color w:val="000000" w:themeColor="text1"/>
        </w:rPr>
        <w:t>12,738,954</w:t>
      </w:r>
      <w:r w:rsidR="00C17BF3">
        <w:rPr>
          <w:rFonts w:ascii="Times New Roman" w:hAnsi="Times New Roman"/>
          <w:color w:val="000000" w:themeColor="text1"/>
        </w:rPr>
        <w:t xml:space="preserve"> </w:t>
      </w:r>
      <w:r w:rsidR="005C268B">
        <w:rPr>
          <w:rFonts w:ascii="Times New Roman" w:hAnsi="Times New Roman"/>
          <w:color w:val="000000" w:themeColor="text1"/>
        </w:rPr>
        <w:t>incurred</w:t>
      </w:r>
      <w:r w:rsidRPr="000F26A9">
        <w:rPr>
          <w:rFonts w:ascii="Times New Roman" w:hAnsi="Times New Roman"/>
          <w:color w:val="000000" w:themeColor="text1"/>
        </w:rPr>
        <w:t xml:space="preserve"> </w:t>
      </w:r>
      <w:r w:rsidR="005C268B">
        <w:rPr>
          <w:rFonts w:ascii="Times New Roman" w:hAnsi="Times New Roman"/>
          <w:color w:val="000000" w:themeColor="text1"/>
        </w:rPr>
        <w:t>for</w:t>
      </w:r>
      <w:r w:rsidRPr="000F26A9">
        <w:rPr>
          <w:rFonts w:ascii="Times New Roman" w:hAnsi="Times New Roman"/>
          <w:color w:val="000000" w:themeColor="text1"/>
        </w:rPr>
        <w:t xml:space="preserve"> research and development activities directly related to the development and commercialization of the POET Optical Interposer </w:t>
      </w:r>
      <w:r w:rsidR="001B1771">
        <w:rPr>
          <w:rFonts w:ascii="Times New Roman" w:hAnsi="Times New Roman"/>
          <w:color w:val="000000" w:themeColor="text1"/>
        </w:rPr>
        <w:t>and POET Optical Engine products</w:t>
      </w:r>
      <w:r w:rsidRPr="000F26A9">
        <w:rPr>
          <w:rFonts w:ascii="Times New Roman" w:hAnsi="Times New Roman"/>
          <w:color w:val="000000" w:themeColor="text1"/>
        </w:rPr>
        <w:t>. Research and development included</w:t>
      </w:r>
      <w:r w:rsidR="00C7645F" w:rsidRPr="00C7645F">
        <w:rPr>
          <w:rFonts w:ascii="Times New Roman" w:hAnsi="Times New Roman"/>
          <w:color w:val="000000" w:themeColor="text1"/>
        </w:rPr>
        <w:t xml:space="preserve"> </w:t>
      </w:r>
      <w:r w:rsidR="00C7645F" w:rsidRPr="000F26A9">
        <w:rPr>
          <w:rFonts w:ascii="Times New Roman" w:hAnsi="Times New Roman"/>
          <w:color w:val="000000" w:themeColor="text1"/>
        </w:rPr>
        <w:t>non-cash costs of</w:t>
      </w:r>
      <w:r w:rsidRPr="000F26A9">
        <w:rPr>
          <w:rFonts w:ascii="Times New Roman" w:hAnsi="Times New Roman"/>
          <w:color w:val="000000" w:themeColor="text1"/>
        </w:rPr>
        <w:t xml:space="preserve"> $</w:t>
      </w:r>
      <w:r w:rsidR="00AE10C4">
        <w:rPr>
          <w:rFonts w:ascii="Times New Roman" w:hAnsi="Times New Roman"/>
          <w:color w:val="000000" w:themeColor="text1"/>
        </w:rPr>
        <w:t>1,493,015</w:t>
      </w:r>
      <w:r w:rsidR="0012201F">
        <w:rPr>
          <w:rFonts w:ascii="Times New Roman" w:hAnsi="Times New Roman"/>
          <w:color w:val="000000" w:themeColor="text1"/>
        </w:rPr>
        <w:t xml:space="preserve"> </w:t>
      </w:r>
      <w:r w:rsidR="00C7645F">
        <w:rPr>
          <w:rFonts w:ascii="Times New Roman" w:hAnsi="Times New Roman"/>
          <w:color w:val="000000" w:themeColor="text1"/>
        </w:rPr>
        <w:t xml:space="preserve">related </w:t>
      </w:r>
      <w:r w:rsidR="00C7645F" w:rsidRPr="000F26A9">
        <w:rPr>
          <w:rFonts w:ascii="Times New Roman" w:hAnsi="Times New Roman"/>
          <w:color w:val="000000" w:themeColor="text1"/>
        </w:rPr>
        <w:t>to</w:t>
      </w:r>
      <w:r w:rsidRPr="000F26A9">
        <w:rPr>
          <w:rFonts w:ascii="Times New Roman" w:hAnsi="Times New Roman"/>
          <w:color w:val="000000" w:themeColor="text1"/>
        </w:rPr>
        <w:t xml:space="preserve"> stock-based compensation. $</w:t>
      </w:r>
      <w:r w:rsidR="00AE10C4">
        <w:rPr>
          <w:rFonts w:ascii="Times New Roman" w:hAnsi="Times New Roman"/>
          <w:color w:val="000000" w:themeColor="text1"/>
        </w:rPr>
        <w:t>15,842,865</w:t>
      </w:r>
      <w:r w:rsidR="00374E04">
        <w:rPr>
          <w:rFonts w:ascii="Times New Roman" w:hAnsi="Times New Roman"/>
          <w:color w:val="000000" w:themeColor="text1"/>
        </w:rPr>
        <w:t xml:space="preserve"> </w:t>
      </w:r>
      <w:r w:rsidR="005C268B">
        <w:rPr>
          <w:rFonts w:ascii="Times New Roman" w:hAnsi="Times New Roman"/>
          <w:color w:val="000000" w:themeColor="text1"/>
        </w:rPr>
        <w:t>was incurred for</w:t>
      </w:r>
      <w:r w:rsidRPr="000F26A9">
        <w:rPr>
          <w:rFonts w:ascii="Times New Roman" w:hAnsi="Times New Roman"/>
          <w:color w:val="000000" w:themeColor="text1"/>
        </w:rPr>
        <w:t xml:space="preserve"> selling, marketing and administration expenses which included non-cash costs of $</w:t>
      </w:r>
      <w:r w:rsidR="00AE10C4">
        <w:rPr>
          <w:rFonts w:ascii="Times New Roman" w:hAnsi="Times New Roman"/>
          <w:color w:val="000000" w:themeColor="text1"/>
        </w:rPr>
        <w:t>2,378,849</w:t>
      </w:r>
      <w:r w:rsidR="005F57C1">
        <w:rPr>
          <w:rFonts w:ascii="Times New Roman" w:hAnsi="Times New Roman"/>
          <w:color w:val="000000" w:themeColor="text1"/>
        </w:rPr>
        <w:t xml:space="preserve"> </w:t>
      </w:r>
      <w:r w:rsidR="000145FC">
        <w:rPr>
          <w:rFonts w:ascii="Times New Roman" w:hAnsi="Times New Roman"/>
          <w:color w:val="000000" w:themeColor="text1"/>
        </w:rPr>
        <w:t xml:space="preserve">related </w:t>
      </w:r>
      <w:r w:rsidRPr="000F26A9">
        <w:rPr>
          <w:rFonts w:ascii="Times New Roman" w:hAnsi="Times New Roman"/>
          <w:color w:val="000000" w:themeColor="text1"/>
        </w:rPr>
        <w:t>to stock-based compensation and $</w:t>
      </w:r>
      <w:r w:rsidR="00AE10C4">
        <w:rPr>
          <w:rFonts w:ascii="Times New Roman" w:hAnsi="Times New Roman"/>
          <w:color w:val="000000" w:themeColor="text1"/>
        </w:rPr>
        <w:t>2,412,386</w:t>
      </w:r>
      <w:r w:rsidR="00374E04">
        <w:rPr>
          <w:rFonts w:ascii="Times New Roman" w:hAnsi="Times New Roman"/>
          <w:color w:val="000000" w:themeColor="text1"/>
        </w:rPr>
        <w:t xml:space="preserve"> </w:t>
      </w:r>
      <w:r w:rsidRPr="000F26A9">
        <w:rPr>
          <w:rFonts w:ascii="Times New Roman" w:hAnsi="Times New Roman"/>
          <w:color w:val="000000" w:themeColor="text1"/>
        </w:rPr>
        <w:t>related to depreciation and amortization.</w:t>
      </w:r>
    </w:p>
    <w:p w14:paraId="4F1C63CC" w14:textId="190B9C8B" w:rsidR="00693C1C" w:rsidRDefault="004928E7" w:rsidP="0023210C">
      <w:pPr>
        <w:spacing w:before="120" w:after="120"/>
        <w:jc w:val="both"/>
        <w:rPr>
          <w:rFonts w:ascii="Times New Roman" w:hAnsi="Times New Roman"/>
          <w:color w:val="000000" w:themeColor="text1"/>
        </w:rPr>
      </w:pPr>
      <w:r w:rsidRPr="000F26A9">
        <w:rPr>
          <w:rFonts w:ascii="Times New Roman" w:hAnsi="Times New Roman"/>
          <w:color w:val="000000" w:themeColor="text1"/>
        </w:rPr>
        <w:t>The Company incurred $</w:t>
      </w:r>
      <w:r w:rsidR="00AE10C4">
        <w:rPr>
          <w:rFonts w:ascii="Times New Roman" w:hAnsi="Times New Roman"/>
          <w:color w:val="000000" w:themeColor="text1"/>
        </w:rPr>
        <w:t>95,140</w:t>
      </w:r>
      <w:r w:rsidR="004A031B">
        <w:rPr>
          <w:rFonts w:ascii="Times New Roman" w:hAnsi="Times New Roman"/>
          <w:color w:val="000000" w:themeColor="text1"/>
        </w:rPr>
        <w:t xml:space="preserve"> in </w:t>
      </w:r>
      <w:r w:rsidR="006B566C">
        <w:rPr>
          <w:rFonts w:ascii="Times New Roman" w:hAnsi="Times New Roman"/>
          <w:color w:val="000000" w:themeColor="text1"/>
        </w:rPr>
        <w:t xml:space="preserve">non-cash </w:t>
      </w:r>
      <w:r w:rsidR="004A031B">
        <w:rPr>
          <w:rFonts w:ascii="Times New Roman" w:hAnsi="Times New Roman"/>
          <w:color w:val="000000" w:themeColor="text1"/>
        </w:rPr>
        <w:t xml:space="preserve">interest costs. Additionally, </w:t>
      </w:r>
      <w:r w:rsidR="006B566C">
        <w:rPr>
          <w:rFonts w:ascii="Times New Roman" w:hAnsi="Times New Roman"/>
          <w:color w:val="000000" w:themeColor="text1"/>
        </w:rPr>
        <w:t xml:space="preserve">the Company and a </w:t>
      </w:r>
      <w:r w:rsidR="004A031B">
        <w:rPr>
          <w:rFonts w:ascii="Times New Roman" w:hAnsi="Times New Roman"/>
          <w:color w:val="000000" w:themeColor="text1"/>
        </w:rPr>
        <w:t xml:space="preserve">non-cash </w:t>
      </w:r>
      <w:r w:rsidR="006B566C">
        <w:rPr>
          <w:rFonts w:ascii="Times New Roman" w:hAnsi="Times New Roman"/>
          <w:color w:val="000000" w:themeColor="text1"/>
        </w:rPr>
        <w:t>gain of $</w:t>
      </w:r>
      <w:r w:rsidR="00AE10C4">
        <w:rPr>
          <w:rFonts w:ascii="Times New Roman" w:hAnsi="Times New Roman"/>
          <w:color w:val="000000" w:themeColor="text1"/>
        </w:rPr>
        <w:t>5,408,757</w:t>
      </w:r>
      <w:r w:rsidR="006B566C">
        <w:rPr>
          <w:rFonts w:ascii="Times New Roman" w:hAnsi="Times New Roman"/>
          <w:color w:val="000000" w:themeColor="text1"/>
        </w:rPr>
        <w:t xml:space="preserve"> related to the </w:t>
      </w:r>
      <w:r w:rsidR="00AA322C">
        <w:rPr>
          <w:rFonts w:ascii="Times New Roman" w:hAnsi="Times New Roman"/>
          <w:color w:val="000000" w:themeColor="text1"/>
        </w:rPr>
        <w:t>fair value adjustment to</w:t>
      </w:r>
      <w:r w:rsidR="00D90666">
        <w:rPr>
          <w:rFonts w:ascii="Times New Roman" w:hAnsi="Times New Roman"/>
          <w:color w:val="000000" w:themeColor="text1"/>
        </w:rPr>
        <w:t xml:space="preserve"> the</w:t>
      </w:r>
      <w:r w:rsidR="00AA322C">
        <w:rPr>
          <w:rFonts w:ascii="Times New Roman" w:hAnsi="Times New Roman"/>
          <w:color w:val="000000" w:themeColor="text1"/>
        </w:rPr>
        <w:t xml:space="preserve"> derivative warrant liability</w:t>
      </w:r>
      <w:r w:rsidR="00C16300">
        <w:rPr>
          <w:rFonts w:ascii="Times New Roman" w:hAnsi="Times New Roman"/>
          <w:color w:val="000000" w:themeColor="text1"/>
        </w:rPr>
        <w:t>.</w:t>
      </w:r>
      <w:r w:rsidR="00693C1C">
        <w:rPr>
          <w:rFonts w:ascii="Times New Roman" w:hAnsi="Times New Roman"/>
          <w:color w:val="000000" w:themeColor="text1"/>
        </w:rPr>
        <w:t xml:space="preserve"> </w:t>
      </w:r>
    </w:p>
    <w:p w14:paraId="418BC315" w14:textId="2D10877C" w:rsidR="00251692" w:rsidRDefault="004928E7" w:rsidP="0023210C">
      <w:pPr>
        <w:spacing w:before="120" w:after="120"/>
        <w:jc w:val="both"/>
        <w:rPr>
          <w:rFonts w:ascii="Times New Roman" w:hAnsi="Times New Roman"/>
          <w:color w:val="000000" w:themeColor="text1"/>
        </w:rPr>
      </w:pPr>
      <w:bookmarkStart w:id="5" w:name="_Hlk47509189"/>
      <w:r w:rsidRPr="000F26A9">
        <w:rPr>
          <w:rFonts w:ascii="Times New Roman" w:hAnsi="Times New Roman"/>
          <w:color w:val="000000" w:themeColor="text1"/>
        </w:rPr>
        <w:t xml:space="preserve">The Company’s </w:t>
      </w:r>
      <w:r w:rsidR="00E90984">
        <w:rPr>
          <w:rFonts w:ascii="Times New Roman" w:hAnsi="Times New Roman"/>
          <w:color w:val="000000" w:themeColor="text1"/>
        </w:rPr>
        <w:t xml:space="preserve">statement of financial position </w:t>
      </w:r>
      <w:r w:rsidRPr="000F26A9">
        <w:rPr>
          <w:rFonts w:ascii="Times New Roman" w:hAnsi="Times New Roman"/>
          <w:color w:val="000000" w:themeColor="text1"/>
        </w:rPr>
        <w:t xml:space="preserve">as of </w:t>
      </w:r>
      <w:r w:rsidR="000E08E0">
        <w:rPr>
          <w:rFonts w:ascii="Times New Roman" w:hAnsi="Times New Roman"/>
          <w:color w:val="000000" w:themeColor="text1"/>
        </w:rPr>
        <w:t xml:space="preserve">September 30, </w:t>
      </w:r>
      <w:proofErr w:type="gramStart"/>
      <w:r w:rsidR="000E08E0">
        <w:rPr>
          <w:rFonts w:ascii="Times New Roman" w:hAnsi="Times New Roman"/>
          <w:color w:val="000000" w:themeColor="text1"/>
        </w:rPr>
        <w:t>2025</w:t>
      </w:r>
      <w:proofErr w:type="gramEnd"/>
      <w:r w:rsidRPr="000F26A9">
        <w:rPr>
          <w:rFonts w:ascii="Times New Roman" w:hAnsi="Times New Roman"/>
          <w:color w:val="000000" w:themeColor="text1"/>
        </w:rPr>
        <w:t xml:space="preserve"> reflects assets with a book value of </w:t>
      </w:r>
      <w:r w:rsidR="00C52908">
        <w:rPr>
          <w:rFonts w:ascii="Times New Roman" w:hAnsi="Times New Roman"/>
          <w:color w:val="000000" w:themeColor="text1"/>
        </w:rPr>
        <w:t>$</w:t>
      </w:r>
      <w:r w:rsidR="00AE10C4">
        <w:rPr>
          <w:rFonts w:ascii="Times New Roman" w:hAnsi="Times New Roman"/>
          <w:color w:val="000000" w:themeColor="text1"/>
        </w:rPr>
        <w:t>107,833,669</w:t>
      </w:r>
      <w:r w:rsidR="00C52908">
        <w:rPr>
          <w:rFonts w:ascii="Times New Roman" w:hAnsi="Times New Roman"/>
          <w:color w:val="000000" w:themeColor="text1"/>
        </w:rPr>
        <w:t xml:space="preserve"> </w:t>
      </w:r>
      <w:r w:rsidRPr="000F26A9">
        <w:rPr>
          <w:rFonts w:ascii="Times New Roman" w:hAnsi="Times New Roman"/>
          <w:color w:val="000000" w:themeColor="text1"/>
        </w:rPr>
        <w:t>compared to $</w:t>
      </w:r>
      <w:r w:rsidR="00B64BD6">
        <w:rPr>
          <w:rFonts w:ascii="Times New Roman" w:hAnsi="Times New Roman"/>
          <w:color w:val="000000" w:themeColor="text1"/>
        </w:rPr>
        <w:t>69,652,449</w:t>
      </w:r>
      <w:r w:rsidRPr="000F26A9">
        <w:rPr>
          <w:rFonts w:ascii="Times New Roman" w:hAnsi="Times New Roman"/>
          <w:color w:val="000000" w:themeColor="text1"/>
        </w:rPr>
        <w:t xml:space="preserve"> as of December 31, 20</w:t>
      </w:r>
      <w:r w:rsidR="007B2ED8">
        <w:rPr>
          <w:rFonts w:ascii="Times New Roman" w:hAnsi="Times New Roman"/>
          <w:color w:val="000000" w:themeColor="text1"/>
        </w:rPr>
        <w:t>2</w:t>
      </w:r>
      <w:r w:rsidR="00B64BD6">
        <w:rPr>
          <w:rFonts w:ascii="Times New Roman" w:hAnsi="Times New Roman"/>
          <w:color w:val="000000" w:themeColor="text1"/>
        </w:rPr>
        <w:t>4</w:t>
      </w:r>
      <w:r w:rsidRPr="000F26A9">
        <w:rPr>
          <w:rFonts w:ascii="Times New Roman" w:hAnsi="Times New Roman"/>
          <w:color w:val="000000" w:themeColor="text1"/>
        </w:rPr>
        <w:t xml:space="preserve">. </w:t>
      </w:r>
      <w:r w:rsidR="00753621">
        <w:rPr>
          <w:rFonts w:ascii="Times New Roman" w:hAnsi="Times New Roman"/>
          <w:color w:val="000000" w:themeColor="text1"/>
        </w:rPr>
        <w:t>Eight</w:t>
      </w:r>
      <w:r w:rsidR="00186900">
        <w:rPr>
          <w:rFonts w:ascii="Times New Roman" w:hAnsi="Times New Roman"/>
          <w:color w:val="000000" w:themeColor="text1"/>
        </w:rPr>
        <w:t>y</w:t>
      </w:r>
      <w:r w:rsidR="00753621">
        <w:rPr>
          <w:rFonts w:ascii="Times New Roman" w:hAnsi="Times New Roman"/>
          <w:color w:val="000000" w:themeColor="text1"/>
        </w:rPr>
        <w:t>-</w:t>
      </w:r>
      <w:r w:rsidR="00AE10C4">
        <w:rPr>
          <w:rFonts w:ascii="Times New Roman" w:hAnsi="Times New Roman"/>
          <w:color w:val="000000" w:themeColor="text1"/>
        </w:rPr>
        <w:t>seven</w:t>
      </w:r>
      <w:r w:rsidR="00B55D97">
        <w:rPr>
          <w:rFonts w:ascii="Times New Roman" w:hAnsi="Times New Roman"/>
          <w:color w:val="000000" w:themeColor="text1"/>
        </w:rPr>
        <w:t xml:space="preserve"> percent</w:t>
      </w:r>
      <w:r w:rsidR="007B2ED8">
        <w:rPr>
          <w:rFonts w:ascii="Times New Roman" w:hAnsi="Times New Roman"/>
          <w:color w:val="000000" w:themeColor="text1"/>
        </w:rPr>
        <w:t xml:space="preserve"> (</w:t>
      </w:r>
      <w:r w:rsidR="00753621">
        <w:rPr>
          <w:rFonts w:ascii="Times New Roman" w:hAnsi="Times New Roman"/>
          <w:color w:val="000000" w:themeColor="text1"/>
        </w:rPr>
        <w:t>8</w:t>
      </w:r>
      <w:r w:rsidR="00AE10C4">
        <w:rPr>
          <w:rFonts w:ascii="Times New Roman" w:hAnsi="Times New Roman"/>
          <w:color w:val="000000" w:themeColor="text1"/>
        </w:rPr>
        <w:t>7</w:t>
      </w:r>
      <w:r w:rsidR="007B2ED8">
        <w:rPr>
          <w:rFonts w:ascii="Times New Roman" w:hAnsi="Times New Roman"/>
          <w:color w:val="000000" w:themeColor="text1"/>
        </w:rPr>
        <w:t xml:space="preserve">%) </w:t>
      </w:r>
      <w:r w:rsidRPr="000F26A9">
        <w:rPr>
          <w:rFonts w:ascii="Times New Roman" w:hAnsi="Times New Roman"/>
          <w:color w:val="000000" w:themeColor="text1"/>
        </w:rPr>
        <w:t xml:space="preserve">of the book value </w:t>
      </w:r>
      <w:proofErr w:type="gramStart"/>
      <w:r w:rsidRPr="000F26A9">
        <w:rPr>
          <w:rFonts w:ascii="Times New Roman" w:hAnsi="Times New Roman"/>
          <w:color w:val="000000" w:themeColor="text1"/>
        </w:rPr>
        <w:t>at</w:t>
      </w:r>
      <w:proofErr w:type="gramEnd"/>
      <w:r w:rsidRPr="000F26A9">
        <w:rPr>
          <w:rFonts w:ascii="Times New Roman" w:hAnsi="Times New Roman"/>
          <w:color w:val="000000" w:themeColor="text1"/>
        </w:rPr>
        <w:t xml:space="preserve"> </w:t>
      </w:r>
      <w:r w:rsidR="000E08E0">
        <w:rPr>
          <w:rFonts w:ascii="Times New Roman" w:hAnsi="Times New Roman"/>
          <w:color w:val="000000" w:themeColor="text1"/>
        </w:rPr>
        <w:t xml:space="preserve">September 30, </w:t>
      </w:r>
      <w:proofErr w:type="gramStart"/>
      <w:r w:rsidR="000E08E0">
        <w:rPr>
          <w:rFonts w:ascii="Times New Roman" w:hAnsi="Times New Roman"/>
          <w:color w:val="000000" w:themeColor="text1"/>
        </w:rPr>
        <w:t>2025</w:t>
      </w:r>
      <w:proofErr w:type="gramEnd"/>
      <w:r w:rsidRPr="000F26A9">
        <w:rPr>
          <w:rFonts w:ascii="Times New Roman" w:hAnsi="Times New Roman"/>
          <w:color w:val="000000" w:themeColor="text1"/>
        </w:rPr>
        <w:t xml:space="preserve"> was in current assets consisting primarily of </w:t>
      </w:r>
      <w:r w:rsidR="00C52908">
        <w:rPr>
          <w:rFonts w:ascii="Times New Roman" w:hAnsi="Times New Roman"/>
          <w:color w:val="000000" w:themeColor="text1"/>
        </w:rPr>
        <w:t>cash</w:t>
      </w:r>
      <w:r w:rsidR="00B55D97">
        <w:rPr>
          <w:rFonts w:ascii="Times New Roman" w:hAnsi="Times New Roman"/>
          <w:color w:val="000000" w:themeColor="text1"/>
        </w:rPr>
        <w:t>,</w:t>
      </w:r>
      <w:r w:rsidR="00D14537">
        <w:rPr>
          <w:rFonts w:ascii="Times New Roman" w:hAnsi="Times New Roman"/>
          <w:color w:val="000000" w:themeColor="text1"/>
        </w:rPr>
        <w:t xml:space="preserve"> cash equivalents</w:t>
      </w:r>
      <w:r w:rsidR="00B55D97">
        <w:rPr>
          <w:rFonts w:ascii="Times New Roman" w:hAnsi="Times New Roman"/>
          <w:color w:val="000000" w:themeColor="text1"/>
        </w:rPr>
        <w:t xml:space="preserve"> and short-term investments</w:t>
      </w:r>
      <w:r w:rsidR="00F23399">
        <w:rPr>
          <w:rFonts w:ascii="Times New Roman" w:hAnsi="Times New Roman"/>
          <w:color w:val="000000" w:themeColor="text1"/>
        </w:rPr>
        <w:t xml:space="preserve"> of </w:t>
      </w:r>
      <w:r w:rsidR="00C52908">
        <w:rPr>
          <w:rFonts w:ascii="Times New Roman" w:hAnsi="Times New Roman"/>
          <w:color w:val="000000" w:themeColor="text1"/>
        </w:rPr>
        <w:t>$</w:t>
      </w:r>
      <w:r w:rsidR="00AE10C4">
        <w:rPr>
          <w:rFonts w:ascii="Times New Roman" w:hAnsi="Times New Roman"/>
          <w:color w:val="000000" w:themeColor="text1"/>
        </w:rPr>
        <w:t>92,735,905</w:t>
      </w:r>
      <w:r w:rsidR="005F57C1">
        <w:rPr>
          <w:rFonts w:ascii="Times New Roman" w:hAnsi="Times New Roman"/>
          <w:color w:val="000000" w:themeColor="text1"/>
        </w:rPr>
        <w:t xml:space="preserve"> com</w:t>
      </w:r>
      <w:r w:rsidRPr="000F26A9">
        <w:rPr>
          <w:rFonts w:ascii="Times New Roman" w:hAnsi="Times New Roman"/>
          <w:color w:val="000000" w:themeColor="text1"/>
        </w:rPr>
        <w:t xml:space="preserve">pared to </w:t>
      </w:r>
      <w:r w:rsidR="00A51A01">
        <w:rPr>
          <w:rFonts w:ascii="Times New Roman" w:hAnsi="Times New Roman"/>
          <w:color w:val="000000" w:themeColor="text1"/>
        </w:rPr>
        <w:t>Eight percent</w:t>
      </w:r>
      <w:r w:rsidRPr="000F26A9">
        <w:rPr>
          <w:rFonts w:ascii="Times New Roman" w:hAnsi="Times New Roman"/>
          <w:color w:val="000000" w:themeColor="text1"/>
        </w:rPr>
        <w:t xml:space="preserve"> (</w:t>
      </w:r>
      <w:r w:rsidR="00A51A01">
        <w:rPr>
          <w:rFonts w:ascii="Times New Roman" w:hAnsi="Times New Roman"/>
          <w:color w:val="000000" w:themeColor="text1"/>
        </w:rPr>
        <w:t>80</w:t>
      </w:r>
      <w:r w:rsidRPr="000F26A9">
        <w:rPr>
          <w:rFonts w:ascii="Times New Roman" w:hAnsi="Times New Roman"/>
          <w:color w:val="000000" w:themeColor="text1"/>
        </w:rPr>
        <w:t>%) of the book value as of December 31, 20</w:t>
      </w:r>
      <w:r w:rsidR="007B2ED8">
        <w:rPr>
          <w:rFonts w:ascii="Times New Roman" w:hAnsi="Times New Roman"/>
          <w:color w:val="000000" w:themeColor="text1"/>
        </w:rPr>
        <w:t>2</w:t>
      </w:r>
      <w:r w:rsidR="00A51A01">
        <w:rPr>
          <w:rFonts w:ascii="Times New Roman" w:hAnsi="Times New Roman"/>
          <w:color w:val="000000" w:themeColor="text1"/>
        </w:rPr>
        <w:t>4</w:t>
      </w:r>
      <w:r w:rsidRPr="000F26A9">
        <w:rPr>
          <w:rFonts w:ascii="Times New Roman" w:hAnsi="Times New Roman"/>
          <w:color w:val="000000" w:themeColor="text1"/>
        </w:rPr>
        <w:t xml:space="preserve">, </w:t>
      </w:r>
      <w:r w:rsidR="00C52908">
        <w:rPr>
          <w:rFonts w:ascii="Times New Roman" w:hAnsi="Times New Roman"/>
          <w:color w:val="000000" w:themeColor="text1"/>
        </w:rPr>
        <w:t xml:space="preserve">which consisted primarily of </w:t>
      </w:r>
      <w:r w:rsidR="007B2ED8">
        <w:rPr>
          <w:rFonts w:ascii="Times New Roman" w:hAnsi="Times New Roman"/>
          <w:color w:val="000000" w:themeColor="text1"/>
        </w:rPr>
        <w:t>cash</w:t>
      </w:r>
      <w:r w:rsidR="00C17BF3">
        <w:rPr>
          <w:rFonts w:ascii="Times New Roman" w:hAnsi="Times New Roman"/>
          <w:color w:val="000000" w:themeColor="text1"/>
        </w:rPr>
        <w:t xml:space="preserve"> and</w:t>
      </w:r>
      <w:r w:rsidR="00A169D7">
        <w:rPr>
          <w:rFonts w:ascii="Times New Roman" w:hAnsi="Times New Roman"/>
          <w:color w:val="000000" w:themeColor="text1"/>
        </w:rPr>
        <w:t xml:space="preserve"> cash equivalents</w:t>
      </w:r>
      <w:r w:rsidR="00753621">
        <w:rPr>
          <w:rFonts w:ascii="Times New Roman" w:hAnsi="Times New Roman"/>
          <w:color w:val="000000" w:themeColor="text1"/>
        </w:rPr>
        <w:t xml:space="preserve"> and short-term investments</w:t>
      </w:r>
      <w:r w:rsidR="00A169D7">
        <w:rPr>
          <w:rFonts w:ascii="Times New Roman" w:hAnsi="Times New Roman"/>
          <w:color w:val="000000" w:themeColor="text1"/>
        </w:rPr>
        <w:t xml:space="preserve"> of </w:t>
      </w:r>
      <w:r w:rsidR="00C52908" w:rsidRPr="000F26A9">
        <w:rPr>
          <w:rFonts w:ascii="Times New Roman" w:hAnsi="Times New Roman"/>
          <w:color w:val="000000" w:themeColor="text1"/>
        </w:rPr>
        <w:t>$</w:t>
      </w:r>
      <w:r w:rsidR="00A51A01">
        <w:rPr>
          <w:rFonts w:ascii="Times New Roman" w:hAnsi="Times New Roman"/>
          <w:color w:val="000000" w:themeColor="text1"/>
        </w:rPr>
        <w:t>53,816,570</w:t>
      </w:r>
      <w:r w:rsidRPr="000F26A9">
        <w:rPr>
          <w:rFonts w:ascii="Times New Roman" w:hAnsi="Times New Roman"/>
          <w:color w:val="000000" w:themeColor="text1"/>
        </w:rPr>
        <w:t>.</w:t>
      </w:r>
    </w:p>
    <w:p w14:paraId="7328162A" w14:textId="77777777" w:rsidR="0085771B" w:rsidRDefault="0085771B" w:rsidP="0023210C">
      <w:pPr>
        <w:spacing w:before="120" w:after="120"/>
        <w:jc w:val="both"/>
        <w:rPr>
          <w:rFonts w:ascii="Times New Roman" w:hAnsi="Times New Roman"/>
          <w:color w:val="000000" w:themeColor="text1"/>
        </w:rPr>
      </w:pPr>
    </w:p>
    <w:bookmarkEnd w:id="5"/>
    <w:p w14:paraId="74A9322C" w14:textId="5585BD34" w:rsidR="000F0A0B" w:rsidRPr="00233B8E" w:rsidRDefault="004928E7" w:rsidP="0023210C">
      <w:pPr>
        <w:spacing w:before="120" w:after="120"/>
        <w:jc w:val="both"/>
        <w:outlineLvl w:val="0"/>
        <w:rPr>
          <w:rFonts w:ascii="Times New Roman" w:hAnsi="Times New Roman"/>
          <w:b/>
          <w:i/>
          <w:color w:val="000000" w:themeColor="text1"/>
        </w:rPr>
      </w:pPr>
      <w:r w:rsidRPr="00233B8E">
        <w:rPr>
          <w:rFonts w:ascii="Times New Roman" w:hAnsi="Times New Roman"/>
          <w:b/>
          <w:i/>
          <w:color w:val="000000" w:themeColor="text1"/>
        </w:rPr>
        <w:t xml:space="preserve">Significant Events and Milestones </w:t>
      </w:r>
      <w:r w:rsidR="000C5F8E">
        <w:rPr>
          <w:rFonts w:ascii="Times New Roman" w:hAnsi="Times New Roman"/>
          <w:b/>
          <w:i/>
          <w:color w:val="000000" w:themeColor="text1"/>
        </w:rPr>
        <w:t xml:space="preserve">for </w:t>
      </w:r>
      <w:r w:rsidR="00E90D33">
        <w:rPr>
          <w:rFonts w:ascii="Times New Roman" w:hAnsi="Times New Roman"/>
          <w:b/>
          <w:i/>
          <w:color w:val="000000" w:themeColor="text1"/>
        </w:rPr>
        <w:t xml:space="preserve">the </w:t>
      </w:r>
      <w:r w:rsidR="00A51A01">
        <w:rPr>
          <w:rFonts w:ascii="Times New Roman" w:hAnsi="Times New Roman"/>
          <w:b/>
          <w:i/>
          <w:color w:val="000000" w:themeColor="text1"/>
        </w:rPr>
        <w:t>Period</w:t>
      </w:r>
    </w:p>
    <w:p w14:paraId="19F6C7E2" w14:textId="722CE99A" w:rsidR="002E70B2" w:rsidRPr="00233B8E" w:rsidRDefault="004928E7" w:rsidP="0023210C">
      <w:pPr>
        <w:tabs>
          <w:tab w:val="left" w:pos="360"/>
        </w:tabs>
        <w:spacing w:before="120" w:after="120"/>
        <w:jc w:val="both"/>
        <w:rPr>
          <w:rFonts w:ascii="Times New Roman" w:hAnsi="Times New Roman"/>
          <w:color w:val="000000" w:themeColor="text1"/>
        </w:rPr>
      </w:pPr>
      <w:r w:rsidRPr="00233B8E">
        <w:rPr>
          <w:rFonts w:ascii="Times New Roman" w:hAnsi="Times New Roman"/>
          <w:color w:val="000000" w:themeColor="text1"/>
        </w:rPr>
        <w:t>We</w:t>
      </w:r>
      <w:r w:rsidR="008F18B8" w:rsidRPr="00233B8E">
        <w:rPr>
          <w:rFonts w:ascii="Times New Roman" w:hAnsi="Times New Roman"/>
          <w:color w:val="000000" w:themeColor="text1"/>
        </w:rPr>
        <w:t xml:space="preserve"> achieved the following significant milestones </w:t>
      </w:r>
      <w:r w:rsidR="00D04D58" w:rsidRPr="00233B8E">
        <w:rPr>
          <w:rFonts w:ascii="Times New Roman" w:hAnsi="Times New Roman"/>
          <w:color w:val="000000" w:themeColor="text1"/>
        </w:rPr>
        <w:t xml:space="preserve">during </w:t>
      </w:r>
      <w:r w:rsidR="003D17C0" w:rsidRPr="00233B8E">
        <w:rPr>
          <w:rFonts w:ascii="Times New Roman" w:hAnsi="Times New Roman"/>
          <w:color w:val="000000" w:themeColor="text1"/>
        </w:rPr>
        <w:t xml:space="preserve">the </w:t>
      </w:r>
      <w:r w:rsidR="000E08E0">
        <w:rPr>
          <w:rFonts w:ascii="Times New Roman" w:hAnsi="Times New Roman"/>
          <w:color w:val="000000" w:themeColor="text1"/>
        </w:rPr>
        <w:t>nine months ended</w:t>
      </w:r>
      <w:r w:rsidR="00A51A01">
        <w:rPr>
          <w:rFonts w:ascii="Times New Roman" w:hAnsi="Times New Roman"/>
          <w:color w:val="000000" w:themeColor="text1"/>
        </w:rPr>
        <w:t xml:space="preserve"> </w:t>
      </w:r>
      <w:r w:rsidR="000E08E0">
        <w:rPr>
          <w:rFonts w:ascii="Times New Roman" w:hAnsi="Times New Roman"/>
          <w:color w:val="000000" w:themeColor="text1"/>
        </w:rPr>
        <w:t>September 30, 2025</w:t>
      </w:r>
      <w:r w:rsidR="008F18B8" w:rsidRPr="00233B8E">
        <w:rPr>
          <w:rFonts w:ascii="Times New Roman" w:hAnsi="Times New Roman"/>
          <w:color w:val="000000" w:themeColor="text1"/>
        </w:rPr>
        <w:t>:</w:t>
      </w:r>
    </w:p>
    <w:p w14:paraId="1F4976E7" w14:textId="77A4DA76" w:rsidR="009634DA" w:rsidRDefault="009634DA" w:rsidP="00E169EB">
      <w:pPr>
        <w:pStyle w:val="ListParagraph"/>
        <w:numPr>
          <w:ilvl w:val="0"/>
          <w:numId w:val="4"/>
        </w:numPr>
        <w:spacing w:before="120" w:after="120"/>
        <w:ind w:hanging="630"/>
        <w:jc w:val="both"/>
        <w:outlineLvl w:val="0"/>
        <w:rPr>
          <w:rFonts w:ascii="Times New Roman" w:hAnsi="Times New Roman"/>
          <w:bCs/>
          <w:iCs/>
          <w:color w:val="000000" w:themeColor="text1"/>
        </w:rPr>
      </w:pPr>
      <w:bookmarkStart w:id="6" w:name="_Hlk6998043"/>
      <w:r>
        <w:rPr>
          <w:rFonts w:ascii="Times New Roman" w:hAnsi="Times New Roman"/>
          <w:bCs/>
          <w:iCs/>
          <w:color w:val="000000" w:themeColor="text1"/>
        </w:rPr>
        <w:t xml:space="preserve">On </w:t>
      </w:r>
      <w:r w:rsidR="00AC0140">
        <w:rPr>
          <w:rFonts w:ascii="Times New Roman" w:hAnsi="Times New Roman"/>
          <w:bCs/>
          <w:iCs/>
          <w:color w:val="000000" w:themeColor="text1"/>
        </w:rPr>
        <w:t xml:space="preserve">February 27, 2025, </w:t>
      </w:r>
      <w:r>
        <w:rPr>
          <w:rFonts w:ascii="Times New Roman" w:hAnsi="Times New Roman"/>
          <w:bCs/>
          <w:iCs/>
          <w:color w:val="000000" w:themeColor="text1"/>
        </w:rPr>
        <w:t xml:space="preserve">the Company </w:t>
      </w:r>
      <w:r w:rsidR="00C20E36" w:rsidRPr="00C20E36">
        <w:rPr>
          <w:rFonts w:ascii="Times New Roman" w:hAnsi="Times New Roman"/>
          <w:bCs/>
          <w:iCs/>
          <w:color w:val="000000" w:themeColor="text1"/>
        </w:rPr>
        <w:t xml:space="preserve">announced </w:t>
      </w:r>
      <w:r w:rsidR="00AC0140" w:rsidRPr="00AC0140">
        <w:rPr>
          <w:rFonts w:ascii="Times New Roman" w:hAnsi="Times New Roman"/>
          <w:bCs/>
          <w:iCs/>
          <w:color w:val="000000" w:themeColor="text1"/>
        </w:rPr>
        <w:t xml:space="preserve">that it was the recipient of another prestigious award. </w:t>
      </w:r>
      <w:proofErr w:type="spellStart"/>
      <w:r w:rsidR="00AC0140" w:rsidRPr="00AC0140">
        <w:rPr>
          <w:rFonts w:ascii="Times New Roman" w:hAnsi="Times New Roman"/>
          <w:bCs/>
          <w:iCs/>
          <w:color w:val="000000" w:themeColor="text1"/>
        </w:rPr>
        <w:t>Lightwave+BTR</w:t>
      </w:r>
      <w:proofErr w:type="spellEnd"/>
      <w:r w:rsidR="00AC0140" w:rsidRPr="00AC0140">
        <w:rPr>
          <w:rFonts w:ascii="Times New Roman" w:hAnsi="Times New Roman"/>
          <w:bCs/>
          <w:iCs/>
          <w:color w:val="000000" w:themeColor="text1"/>
        </w:rPr>
        <w:t xml:space="preserve"> Innovation Reviews, a recognized authority in the optoelectronics industry, named POET as an Elite Score recipient for its 2025 awards.</w:t>
      </w:r>
    </w:p>
    <w:p w14:paraId="5608218A" w14:textId="3E11A05C" w:rsidR="00C032DC" w:rsidRDefault="00C20E36" w:rsidP="00E169EB">
      <w:pPr>
        <w:pStyle w:val="ListParagraph"/>
        <w:numPr>
          <w:ilvl w:val="0"/>
          <w:numId w:val="4"/>
        </w:numPr>
        <w:spacing w:before="120" w:after="120"/>
        <w:ind w:hanging="630"/>
        <w:jc w:val="both"/>
        <w:outlineLvl w:val="0"/>
        <w:rPr>
          <w:rFonts w:ascii="Times New Roman" w:hAnsi="Times New Roman"/>
          <w:bCs/>
          <w:iCs/>
          <w:color w:val="000000" w:themeColor="text1"/>
        </w:rPr>
      </w:pPr>
      <w:r>
        <w:rPr>
          <w:rFonts w:ascii="Times New Roman" w:hAnsi="Times New Roman"/>
          <w:bCs/>
          <w:iCs/>
          <w:color w:val="000000" w:themeColor="text1"/>
        </w:rPr>
        <w:t xml:space="preserve">On </w:t>
      </w:r>
      <w:r w:rsidR="00AC0140">
        <w:rPr>
          <w:rFonts w:ascii="Times New Roman" w:hAnsi="Times New Roman"/>
          <w:bCs/>
          <w:iCs/>
          <w:color w:val="000000" w:themeColor="text1"/>
        </w:rPr>
        <w:t>March 20, 2025</w:t>
      </w:r>
      <w:r>
        <w:rPr>
          <w:rFonts w:ascii="Times New Roman" w:hAnsi="Times New Roman"/>
          <w:bCs/>
          <w:iCs/>
          <w:color w:val="000000" w:themeColor="text1"/>
        </w:rPr>
        <w:t xml:space="preserve">, the Company </w:t>
      </w:r>
      <w:r w:rsidRPr="00C20E36">
        <w:rPr>
          <w:rFonts w:ascii="Times New Roman" w:hAnsi="Times New Roman"/>
          <w:bCs/>
          <w:iCs/>
          <w:color w:val="000000" w:themeColor="text1"/>
        </w:rPr>
        <w:t>announce</w:t>
      </w:r>
      <w:r w:rsidR="00496AA8">
        <w:rPr>
          <w:rFonts w:ascii="Times New Roman" w:hAnsi="Times New Roman"/>
          <w:bCs/>
          <w:iCs/>
          <w:color w:val="000000" w:themeColor="text1"/>
        </w:rPr>
        <w:t>d</w:t>
      </w:r>
      <w:r w:rsidRPr="00C20E36">
        <w:rPr>
          <w:rFonts w:ascii="Times New Roman" w:hAnsi="Times New Roman"/>
          <w:bCs/>
          <w:iCs/>
          <w:color w:val="000000" w:themeColor="text1"/>
        </w:rPr>
        <w:t xml:space="preserve"> </w:t>
      </w:r>
      <w:r w:rsidR="00AC0140" w:rsidRPr="00AC0140">
        <w:rPr>
          <w:rFonts w:ascii="Times New Roman" w:hAnsi="Times New Roman"/>
          <w:bCs/>
          <w:iCs/>
          <w:color w:val="000000" w:themeColor="text1"/>
        </w:rPr>
        <w:t>that it ha</w:t>
      </w:r>
      <w:r w:rsidR="00AC0140">
        <w:rPr>
          <w:rFonts w:ascii="Times New Roman" w:hAnsi="Times New Roman"/>
          <w:bCs/>
          <w:iCs/>
          <w:color w:val="000000" w:themeColor="text1"/>
        </w:rPr>
        <w:t>d</w:t>
      </w:r>
      <w:r w:rsidR="00AC0140" w:rsidRPr="00AC0140">
        <w:rPr>
          <w:rFonts w:ascii="Times New Roman" w:hAnsi="Times New Roman"/>
          <w:bCs/>
          <w:iCs/>
          <w:color w:val="000000" w:themeColor="text1"/>
        </w:rPr>
        <w:t xml:space="preserve"> shipped final design samples of its POET Infinity </w:t>
      </w:r>
      <w:r w:rsidR="00AC0140" w:rsidRPr="00AC0140">
        <w:rPr>
          <w:rFonts w:ascii="Times New Roman" w:hAnsi="Times New Roman"/>
          <w:bCs/>
          <w:iCs/>
          <w:color w:val="000000" w:themeColor="text1"/>
        </w:rPr>
        <w:lastRenderedPageBreak/>
        <w:t xml:space="preserve">transmit product line for 400G and 800G applications to three major technology leaders. The products include 400G FR4, 800G 2xFR4 and 800G DR8 transmit formats, all assembled at our </w:t>
      </w:r>
      <w:r w:rsidR="00186900" w:rsidRPr="00AC0140">
        <w:rPr>
          <w:rFonts w:ascii="Times New Roman" w:hAnsi="Times New Roman"/>
          <w:bCs/>
          <w:iCs/>
          <w:color w:val="000000" w:themeColor="text1"/>
        </w:rPr>
        <w:t>high-volume</w:t>
      </w:r>
      <w:r w:rsidR="00AC0140" w:rsidRPr="00AC0140">
        <w:rPr>
          <w:rFonts w:ascii="Times New Roman" w:hAnsi="Times New Roman"/>
          <w:bCs/>
          <w:iCs/>
          <w:color w:val="000000" w:themeColor="text1"/>
        </w:rPr>
        <w:t xml:space="preserve"> production facility in Malaysia.</w:t>
      </w:r>
      <w:r w:rsidR="00AC0140">
        <w:rPr>
          <w:rFonts w:ascii="Times New Roman" w:hAnsi="Times New Roman"/>
          <w:bCs/>
          <w:iCs/>
          <w:color w:val="000000" w:themeColor="text1"/>
        </w:rPr>
        <w:t xml:space="preserve">  </w:t>
      </w:r>
      <w:bookmarkEnd w:id="6"/>
    </w:p>
    <w:p w14:paraId="28E2EDB3" w14:textId="5C8E81C6" w:rsidR="0039167C" w:rsidRDefault="00AC0140" w:rsidP="00AC0140">
      <w:pPr>
        <w:pStyle w:val="ListParagraph"/>
        <w:numPr>
          <w:ilvl w:val="0"/>
          <w:numId w:val="4"/>
        </w:numPr>
        <w:spacing w:before="120" w:after="120"/>
        <w:ind w:hanging="630"/>
        <w:jc w:val="both"/>
        <w:outlineLvl w:val="0"/>
        <w:rPr>
          <w:rFonts w:ascii="Times New Roman" w:hAnsi="Times New Roman"/>
          <w:bCs/>
          <w:iCs/>
          <w:color w:val="000000" w:themeColor="text1"/>
        </w:rPr>
      </w:pPr>
      <w:r>
        <w:rPr>
          <w:rFonts w:ascii="Times New Roman" w:hAnsi="Times New Roman"/>
          <w:bCs/>
          <w:iCs/>
          <w:color w:val="000000" w:themeColor="text1"/>
        </w:rPr>
        <w:t>On April 1, 2025, t</w:t>
      </w:r>
      <w:r w:rsidR="00FF55EC">
        <w:rPr>
          <w:rFonts w:ascii="Times New Roman" w:hAnsi="Times New Roman"/>
          <w:bCs/>
          <w:iCs/>
          <w:color w:val="000000" w:themeColor="text1"/>
        </w:rPr>
        <w:t xml:space="preserve">he Company </w:t>
      </w:r>
      <w:r>
        <w:rPr>
          <w:rFonts w:ascii="Times New Roman" w:hAnsi="Times New Roman"/>
          <w:bCs/>
          <w:iCs/>
          <w:color w:val="000000" w:themeColor="text1"/>
        </w:rPr>
        <w:t xml:space="preserve">demonstrated its latest innovations, </w:t>
      </w:r>
      <w:r w:rsidRPr="00AC0140">
        <w:rPr>
          <w:rFonts w:ascii="Times New Roman" w:hAnsi="Times New Roman"/>
          <w:bCs/>
          <w:iCs/>
          <w:color w:val="000000" w:themeColor="text1"/>
        </w:rPr>
        <w:t xml:space="preserve">POET </w:t>
      </w:r>
      <w:proofErr w:type="spellStart"/>
      <w:r w:rsidRPr="00AC0140">
        <w:rPr>
          <w:rFonts w:ascii="Times New Roman" w:hAnsi="Times New Roman"/>
          <w:bCs/>
          <w:iCs/>
          <w:color w:val="000000" w:themeColor="text1"/>
        </w:rPr>
        <w:t>Teralight</w:t>
      </w:r>
      <w:proofErr w:type="spellEnd"/>
      <w:r w:rsidRPr="00AC0140">
        <w:rPr>
          <w:rFonts w:ascii="Times New Roman" w:hAnsi="Times New Roman"/>
          <w:bCs/>
          <w:iCs/>
          <w:color w:val="000000" w:themeColor="text1"/>
        </w:rPr>
        <w:t>™, a line of 1.6T highly integrated transmit and receive optical engines and the new POET Blazar™, an advanced light source</w:t>
      </w:r>
      <w:r>
        <w:rPr>
          <w:rFonts w:ascii="Times New Roman" w:hAnsi="Times New Roman"/>
          <w:bCs/>
          <w:iCs/>
          <w:color w:val="000000" w:themeColor="text1"/>
        </w:rPr>
        <w:t xml:space="preserve"> at the Optical Fiber Communications (“OFC”) Conference. </w:t>
      </w:r>
    </w:p>
    <w:p w14:paraId="28FD5144" w14:textId="343E9953" w:rsidR="00A775D9" w:rsidRPr="00753621" w:rsidRDefault="0039167C" w:rsidP="00A775D9">
      <w:pPr>
        <w:pStyle w:val="ListParagraph"/>
        <w:numPr>
          <w:ilvl w:val="0"/>
          <w:numId w:val="4"/>
        </w:numPr>
        <w:spacing w:before="120" w:after="120"/>
        <w:ind w:hanging="630"/>
        <w:jc w:val="both"/>
        <w:outlineLvl w:val="0"/>
        <w:rPr>
          <w:rFonts w:ascii="Times New Roman" w:hAnsi="Times New Roman"/>
          <w:b/>
          <w:i/>
          <w:color w:val="000000" w:themeColor="text1"/>
        </w:rPr>
      </w:pPr>
      <w:r w:rsidRPr="0039167C">
        <w:rPr>
          <w:rFonts w:ascii="Times New Roman" w:hAnsi="Times New Roman"/>
          <w:bCs/>
          <w:iCs/>
          <w:color w:val="000000" w:themeColor="text1"/>
        </w:rPr>
        <w:t xml:space="preserve">On </w:t>
      </w:r>
      <w:r w:rsidR="00A775D9">
        <w:rPr>
          <w:rFonts w:ascii="Times New Roman" w:hAnsi="Times New Roman"/>
          <w:bCs/>
          <w:iCs/>
          <w:color w:val="000000" w:themeColor="text1"/>
        </w:rPr>
        <w:t xml:space="preserve">April 2, 2025, </w:t>
      </w:r>
      <w:r w:rsidRPr="0039167C">
        <w:rPr>
          <w:rFonts w:ascii="Times New Roman" w:hAnsi="Times New Roman"/>
          <w:bCs/>
          <w:iCs/>
          <w:color w:val="000000" w:themeColor="text1"/>
        </w:rPr>
        <w:t xml:space="preserve">the Company announced </w:t>
      </w:r>
      <w:r w:rsidR="00A775D9" w:rsidRPr="00A775D9">
        <w:rPr>
          <w:rFonts w:ascii="Times New Roman" w:hAnsi="Times New Roman"/>
          <w:bCs/>
          <w:iCs/>
          <w:color w:val="000000" w:themeColor="text1"/>
        </w:rPr>
        <w:t>it ha</w:t>
      </w:r>
      <w:r w:rsidR="00A775D9">
        <w:rPr>
          <w:rFonts w:ascii="Times New Roman" w:hAnsi="Times New Roman"/>
          <w:bCs/>
          <w:iCs/>
          <w:color w:val="000000" w:themeColor="text1"/>
        </w:rPr>
        <w:t>d</w:t>
      </w:r>
      <w:r w:rsidR="00A775D9" w:rsidRPr="00A775D9">
        <w:rPr>
          <w:rFonts w:ascii="Times New Roman" w:hAnsi="Times New Roman"/>
          <w:bCs/>
          <w:iCs/>
          <w:color w:val="000000" w:themeColor="text1"/>
        </w:rPr>
        <w:t xml:space="preserve"> partnered with </w:t>
      </w:r>
      <w:proofErr w:type="spellStart"/>
      <w:r w:rsidR="00A775D9" w:rsidRPr="00A775D9">
        <w:rPr>
          <w:rFonts w:ascii="Times New Roman" w:hAnsi="Times New Roman"/>
          <w:bCs/>
          <w:iCs/>
          <w:color w:val="000000" w:themeColor="text1"/>
        </w:rPr>
        <w:t>Lessengers</w:t>
      </w:r>
      <w:proofErr w:type="spellEnd"/>
      <w:r w:rsidR="00A775D9" w:rsidRPr="00A775D9">
        <w:rPr>
          <w:rFonts w:ascii="Times New Roman" w:hAnsi="Times New Roman"/>
          <w:bCs/>
          <w:iCs/>
          <w:color w:val="000000" w:themeColor="text1"/>
        </w:rPr>
        <w:t xml:space="preserve">, an innovative optical solution provider based in South Korea, to offer a differentiated 800G DR8 transceiver. The transceiver will include </w:t>
      </w:r>
      <w:proofErr w:type="gramStart"/>
      <w:r w:rsidR="00A775D9" w:rsidRPr="00A775D9">
        <w:rPr>
          <w:rFonts w:ascii="Times New Roman" w:hAnsi="Times New Roman"/>
          <w:bCs/>
          <w:iCs/>
          <w:color w:val="000000" w:themeColor="text1"/>
        </w:rPr>
        <w:t>POET's</w:t>
      </w:r>
      <w:proofErr w:type="gramEnd"/>
      <w:r w:rsidR="00A775D9" w:rsidRPr="00A775D9">
        <w:rPr>
          <w:rFonts w:ascii="Times New Roman" w:hAnsi="Times New Roman"/>
          <w:bCs/>
          <w:iCs/>
          <w:color w:val="000000" w:themeColor="text1"/>
        </w:rPr>
        <w:t xml:space="preserve"> transmit and receive optical engines and </w:t>
      </w:r>
      <w:proofErr w:type="spellStart"/>
      <w:r w:rsidR="00A775D9" w:rsidRPr="00A775D9">
        <w:rPr>
          <w:rFonts w:ascii="Times New Roman" w:hAnsi="Times New Roman"/>
          <w:bCs/>
          <w:iCs/>
          <w:color w:val="000000" w:themeColor="text1"/>
        </w:rPr>
        <w:t>Lessenger</w:t>
      </w:r>
      <w:r w:rsidR="00987264">
        <w:rPr>
          <w:rFonts w:ascii="Times New Roman" w:hAnsi="Times New Roman"/>
          <w:bCs/>
          <w:iCs/>
          <w:color w:val="000000" w:themeColor="text1"/>
        </w:rPr>
        <w:t>s</w:t>
      </w:r>
      <w:proofErr w:type="spellEnd"/>
      <w:r w:rsidR="00A775D9" w:rsidRPr="00A775D9">
        <w:rPr>
          <w:rFonts w:ascii="Times New Roman" w:hAnsi="Times New Roman"/>
          <w:bCs/>
          <w:iCs/>
          <w:color w:val="000000" w:themeColor="text1"/>
        </w:rPr>
        <w:t>' "Direct Optical Wiring" (DOW) technology for a cost-effective solution for AI and hyperscale data center applications</w:t>
      </w:r>
      <w:r w:rsidR="00A775D9">
        <w:rPr>
          <w:rFonts w:ascii="Times New Roman" w:hAnsi="Times New Roman"/>
          <w:bCs/>
          <w:iCs/>
          <w:color w:val="000000" w:themeColor="text1"/>
        </w:rPr>
        <w:t xml:space="preserve">.  </w:t>
      </w:r>
    </w:p>
    <w:p w14:paraId="5881BD22" w14:textId="00083D33" w:rsidR="00753621" w:rsidRPr="0064195C" w:rsidRDefault="0064195C" w:rsidP="00A775D9">
      <w:pPr>
        <w:pStyle w:val="ListParagraph"/>
        <w:numPr>
          <w:ilvl w:val="0"/>
          <w:numId w:val="4"/>
        </w:numPr>
        <w:spacing w:before="120" w:after="120"/>
        <w:ind w:hanging="630"/>
        <w:jc w:val="both"/>
        <w:outlineLvl w:val="0"/>
        <w:rPr>
          <w:rFonts w:ascii="Times New Roman" w:hAnsi="Times New Roman"/>
          <w:b/>
          <w:i/>
          <w:color w:val="000000" w:themeColor="text1"/>
        </w:rPr>
      </w:pPr>
      <w:r>
        <w:rPr>
          <w:rFonts w:ascii="Times New Roman" w:hAnsi="Times New Roman"/>
          <w:bCs/>
          <w:iCs/>
          <w:color w:val="000000" w:themeColor="text1"/>
        </w:rPr>
        <w:t>On May 13, the Company announced t</w:t>
      </w:r>
      <w:r w:rsidRPr="0064195C">
        <w:rPr>
          <w:rFonts w:ascii="Times New Roman" w:hAnsi="Times New Roman"/>
          <w:bCs/>
          <w:iCs/>
          <w:color w:val="000000" w:themeColor="text1"/>
        </w:rPr>
        <w:t>he appointment of Ghazi M. Chaoui, PhD, MBA as its Senior Vice President of Global Manufacturing and Digital Transformation.  Dr. Chaoui recently concluded a multi-year assignment as Chief Procurement Officer of Coherent Corp.</w:t>
      </w:r>
    </w:p>
    <w:p w14:paraId="6A91B3E3" w14:textId="77777777" w:rsidR="0064195C" w:rsidRPr="0064195C" w:rsidRDefault="0064195C" w:rsidP="00A775D9">
      <w:pPr>
        <w:pStyle w:val="ListParagraph"/>
        <w:numPr>
          <w:ilvl w:val="0"/>
          <w:numId w:val="4"/>
        </w:numPr>
        <w:spacing w:before="120" w:after="120"/>
        <w:ind w:hanging="630"/>
        <w:jc w:val="both"/>
        <w:outlineLvl w:val="0"/>
        <w:rPr>
          <w:rFonts w:ascii="Times New Roman" w:hAnsi="Times New Roman"/>
          <w:b/>
          <w:i/>
          <w:color w:val="000000" w:themeColor="text1"/>
        </w:rPr>
      </w:pPr>
      <w:r>
        <w:rPr>
          <w:rFonts w:ascii="Times New Roman" w:hAnsi="Times New Roman"/>
          <w:bCs/>
          <w:iCs/>
          <w:color w:val="000000" w:themeColor="text1"/>
        </w:rPr>
        <w:t>On May 22, 2025, the Company completed</w:t>
      </w:r>
      <w:r w:rsidRPr="0064195C">
        <w:rPr>
          <w:rFonts w:ascii="Arial" w:hAnsi="Arial" w:cs="Arial"/>
          <w:color w:val="0B1724"/>
          <w:shd w:val="clear" w:color="auto" w:fill="FFFFFF"/>
        </w:rPr>
        <w:t xml:space="preserve"> </w:t>
      </w:r>
      <w:r w:rsidRPr="0064195C">
        <w:rPr>
          <w:rFonts w:ascii="Times New Roman" w:hAnsi="Times New Roman"/>
          <w:bCs/>
          <w:iCs/>
          <w:color w:val="000000" w:themeColor="text1"/>
        </w:rPr>
        <w:t xml:space="preserve">a non-brokered private placement with a single strategic investor pursuant to which the Corporation issued 6,000,000 common shares of the Corporation and one common share purchase warrant of the Corporation exercisable until May 22, 2030, to acquire up to 6,000,000 Common Shares at an exercise price of C$8.32 per Warrant Share, for aggregate gross proceeds of US$30,000,000. The combined price of one Common Share and the Warrant </w:t>
      </w:r>
      <w:r>
        <w:rPr>
          <w:rFonts w:ascii="Times New Roman" w:hAnsi="Times New Roman"/>
          <w:bCs/>
          <w:iCs/>
          <w:color w:val="000000" w:themeColor="text1"/>
        </w:rPr>
        <w:t>w</w:t>
      </w:r>
      <w:r w:rsidRPr="0064195C">
        <w:rPr>
          <w:rFonts w:ascii="Times New Roman" w:hAnsi="Times New Roman"/>
          <w:bCs/>
          <w:iCs/>
          <w:color w:val="000000" w:themeColor="text1"/>
        </w:rPr>
        <w:t>as equal to US$5.00.</w:t>
      </w:r>
    </w:p>
    <w:p w14:paraId="0977291C" w14:textId="7C492EDD" w:rsidR="0064195C" w:rsidRPr="0064195C" w:rsidRDefault="0064195C" w:rsidP="00A775D9">
      <w:pPr>
        <w:pStyle w:val="ListParagraph"/>
        <w:numPr>
          <w:ilvl w:val="0"/>
          <w:numId w:val="4"/>
        </w:numPr>
        <w:spacing w:before="120" w:after="120"/>
        <w:ind w:hanging="630"/>
        <w:jc w:val="both"/>
        <w:outlineLvl w:val="0"/>
        <w:rPr>
          <w:rFonts w:ascii="Times New Roman" w:hAnsi="Times New Roman"/>
          <w:b/>
          <w:i/>
          <w:color w:val="000000" w:themeColor="text1"/>
        </w:rPr>
      </w:pPr>
      <w:r>
        <w:rPr>
          <w:rFonts w:ascii="Times New Roman" w:hAnsi="Times New Roman"/>
          <w:bCs/>
          <w:iCs/>
          <w:color w:val="000000" w:themeColor="text1"/>
        </w:rPr>
        <w:t xml:space="preserve">On June 24, 2025, the Company announced </w:t>
      </w:r>
      <w:r w:rsidRPr="0064195C">
        <w:rPr>
          <w:rFonts w:ascii="Times New Roman" w:hAnsi="Times New Roman"/>
          <w:bCs/>
          <w:iCs/>
          <w:color w:val="000000" w:themeColor="text1"/>
        </w:rPr>
        <w:t xml:space="preserve">that it has </w:t>
      </w:r>
      <w:bookmarkStart w:id="7" w:name="_Hlk205475370"/>
      <w:r w:rsidRPr="0064195C">
        <w:rPr>
          <w:rFonts w:ascii="Times New Roman" w:hAnsi="Times New Roman"/>
          <w:bCs/>
          <w:iCs/>
          <w:color w:val="000000" w:themeColor="text1"/>
        </w:rPr>
        <w:t xml:space="preserve">signed a Master Agreement, Module Purchase Agreement and a Deed of Consignment with </w:t>
      </w:r>
      <w:bookmarkStart w:id="8" w:name="_Hlk205474766"/>
      <w:proofErr w:type="spellStart"/>
      <w:r w:rsidRPr="0064195C">
        <w:rPr>
          <w:rFonts w:ascii="Times New Roman" w:hAnsi="Times New Roman"/>
          <w:bCs/>
          <w:iCs/>
          <w:color w:val="000000" w:themeColor="text1"/>
        </w:rPr>
        <w:t>NationGate</w:t>
      </w:r>
      <w:proofErr w:type="spellEnd"/>
      <w:r w:rsidRPr="0064195C">
        <w:rPr>
          <w:rFonts w:ascii="Times New Roman" w:hAnsi="Times New Roman"/>
          <w:bCs/>
          <w:iCs/>
          <w:color w:val="000000" w:themeColor="text1"/>
        </w:rPr>
        <w:t xml:space="preserve"> Solutions (M) </w:t>
      </w:r>
      <w:proofErr w:type="spellStart"/>
      <w:r w:rsidRPr="0064195C">
        <w:rPr>
          <w:rFonts w:ascii="Times New Roman" w:hAnsi="Times New Roman"/>
          <w:bCs/>
          <w:iCs/>
          <w:color w:val="000000" w:themeColor="text1"/>
        </w:rPr>
        <w:t>Sdn</w:t>
      </w:r>
      <w:proofErr w:type="spellEnd"/>
      <w:r w:rsidRPr="0064195C">
        <w:rPr>
          <w:rFonts w:ascii="Times New Roman" w:hAnsi="Times New Roman"/>
          <w:bCs/>
          <w:iCs/>
          <w:color w:val="000000" w:themeColor="text1"/>
        </w:rPr>
        <w:t xml:space="preserve">. </w:t>
      </w:r>
      <w:proofErr w:type="spellStart"/>
      <w:r w:rsidRPr="0064195C">
        <w:rPr>
          <w:rFonts w:ascii="Times New Roman" w:hAnsi="Times New Roman"/>
          <w:bCs/>
          <w:iCs/>
          <w:color w:val="000000" w:themeColor="text1"/>
        </w:rPr>
        <w:t>Bhd</w:t>
      </w:r>
      <w:bookmarkEnd w:id="8"/>
      <w:proofErr w:type="spellEnd"/>
      <w:r w:rsidRPr="0064195C">
        <w:rPr>
          <w:rFonts w:ascii="Times New Roman" w:hAnsi="Times New Roman"/>
          <w:bCs/>
          <w:iCs/>
          <w:color w:val="000000" w:themeColor="text1"/>
        </w:rPr>
        <w:t>, to manufacture optical engine assemblies for POET in Penang, Malaysia.</w:t>
      </w:r>
      <w:bookmarkEnd w:id="7"/>
    </w:p>
    <w:p w14:paraId="14275EDE" w14:textId="2C669F93" w:rsidR="0064195C" w:rsidRPr="00710695" w:rsidRDefault="0064195C" w:rsidP="00A775D9">
      <w:pPr>
        <w:pStyle w:val="ListParagraph"/>
        <w:numPr>
          <w:ilvl w:val="0"/>
          <w:numId w:val="4"/>
        </w:numPr>
        <w:spacing w:before="120" w:after="120"/>
        <w:ind w:hanging="630"/>
        <w:jc w:val="both"/>
        <w:outlineLvl w:val="0"/>
        <w:rPr>
          <w:rFonts w:ascii="Times New Roman" w:hAnsi="Times New Roman"/>
          <w:b/>
          <w:i/>
          <w:color w:val="000000" w:themeColor="text1"/>
        </w:rPr>
      </w:pPr>
      <w:r>
        <w:rPr>
          <w:rFonts w:ascii="Times New Roman" w:hAnsi="Times New Roman"/>
          <w:bCs/>
          <w:iCs/>
          <w:color w:val="000000" w:themeColor="text1"/>
        </w:rPr>
        <w:t xml:space="preserve">On June 25, 2025, the Company announced </w:t>
      </w:r>
      <w:r w:rsidRPr="0064195C">
        <w:rPr>
          <w:rFonts w:ascii="Times New Roman" w:hAnsi="Times New Roman"/>
          <w:bCs/>
          <w:iCs/>
          <w:color w:val="000000" w:themeColor="text1"/>
        </w:rPr>
        <w:t xml:space="preserve">that it has been selected </w:t>
      </w:r>
      <w:bookmarkStart w:id="9" w:name="_Hlk205475603"/>
      <w:r w:rsidRPr="0064195C">
        <w:rPr>
          <w:rFonts w:ascii="Times New Roman" w:hAnsi="Times New Roman"/>
          <w:bCs/>
          <w:iCs/>
          <w:color w:val="000000" w:themeColor="text1"/>
        </w:rPr>
        <w:t>as the winner of the “AI Hardware Innovation Award” in the 8</w:t>
      </w:r>
      <w:r w:rsidRPr="0064195C">
        <w:rPr>
          <w:rFonts w:ascii="Times New Roman" w:hAnsi="Times New Roman"/>
          <w:bCs/>
          <w:iCs/>
          <w:color w:val="000000" w:themeColor="text1"/>
          <w:vertAlign w:val="superscript"/>
        </w:rPr>
        <w:t>th</w:t>
      </w:r>
      <w:r w:rsidRPr="0064195C">
        <w:rPr>
          <w:rFonts w:ascii="Times New Roman" w:hAnsi="Times New Roman"/>
          <w:bCs/>
          <w:iCs/>
          <w:color w:val="000000" w:themeColor="text1"/>
        </w:rPr>
        <w:t xml:space="preserve"> annual AI Breakthrough Awards. </w:t>
      </w:r>
      <w:bookmarkEnd w:id="9"/>
      <w:r w:rsidRPr="0064195C">
        <w:rPr>
          <w:rFonts w:ascii="Times New Roman" w:hAnsi="Times New Roman"/>
          <w:bCs/>
          <w:iCs/>
          <w:color w:val="000000" w:themeColor="text1"/>
        </w:rPr>
        <w:t xml:space="preserve">The awards program recognized POET </w:t>
      </w:r>
      <w:proofErr w:type="spellStart"/>
      <w:r w:rsidRPr="0064195C">
        <w:rPr>
          <w:rFonts w:ascii="Times New Roman" w:hAnsi="Times New Roman"/>
          <w:bCs/>
          <w:iCs/>
          <w:color w:val="000000" w:themeColor="text1"/>
        </w:rPr>
        <w:t>Teralight</w:t>
      </w:r>
      <w:proofErr w:type="spellEnd"/>
      <w:r w:rsidRPr="0064195C">
        <w:rPr>
          <w:rFonts w:ascii="Times New Roman" w:hAnsi="Times New Roman"/>
          <w:bCs/>
          <w:iCs/>
          <w:color w:val="000000" w:themeColor="text1"/>
        </w:rPr>
        <w:t>™, the Company’s ultra-high-performance line of optical engines that power AI and hyperscale data-center connectivity. It is the second consecutive year that the AI Breakthrough Awards has recognized POET for its groundbreaking, commercially available technology.  </w:t>
      </w:r>
      <w:bookmarkStart w:id="10" w:name="_Hlk205475808"/>
      <w:r w:rsidRPr="0064195C">
        <w:rPr>
          <w:rFonts w:ascii="Times New Roman" w:hAnsi="Times New Roman"/>
          <w:bCs/>
          <w:iCs/>
          <w:color w:val="000000" w:themeColor="text1"/>
        </w:rPr>
        <w:t>This is the sixth notable award the Company has won in the past 12 months.</w:t>
      </w:r>
      <w:bookmarkEnd w:id="10"/>
    </w:p>
    <w:p w14:paraId="05788638" w14:textId="2CDE4898" w:rsidR="00710695" w:rsidRPr="00710695" w:rsidRDefault="00710695" w:rsidP="00A775D9">
      <w:pPr>
        <w:pStyle w:val="ListParagraph"/>
        <w:numPr>
          <w:ilvl w:val="0"/>
          <w:numId w:val="4"/>
        </w:numPr>
        <w:spacing w:before="120" w:after="120"/>
        <w:ind w:hanging="630"/>
        <w:jc w:val="both"/>
        <w:outlineLvl w:val="0"/>
        <w:rPr>
          <w:rFonts w:ascii="Times New Roman" w:hAnsi="Times New Roman"/>
          <w:b/>
          <w:i/>
          <w:color w:val="000000" w:themeColor="text1"/>
        </w:rPr>
      </w:pPr>
      <w:r>
        <w:rPr>
          <w:rFonts w:ascii="Times New Roman" w:hAnsi="Times New Roman"/>
          <w:bCs/>
          <w:iCs/>
          <w:color w:val="000000" w:themeColor="text1"/>
        </w:rPr>
        <w:t xml:space="preserve">On July 8, 2025, the Company </w:t>
      </w:r>
      <w:r w:rsidRPr="00710695">
        <w:rPr>
          <w:rFonts w:ascii="Times New Roman" w:hAnsi="Times New Roman"/>
          <w:bCs/>
          <w:iCs/>
          <w:color w:val="000000" w:themeColor="text1"/>
        </w:rPr>
        <w:t>announced the appointment of Sohail Khan as director and member of the Corporate Governance &amp; Nominating Committee</w:t>
      </w:r>
      <w:r>
        <w:rPr>
          <w:rFonts w:ascii="Times New Roman" w:hAnsi="Times New Roman"/>
          <w:bCs/>
          <w:iCs/>
          <w:color w:val="000000" w:themeColor="text1"/>
        </w:rPr>
        <w:t xml:space="preserve">. </w:t>
      </w:r>
      <w:r w:rsidRPr="00710695">
        <w:rPr>
          <w:rFonts w:ascii="Times New Roman" w:hAnsi="Times New Roman"/>
          <w:bCs/>
          <w:iCs/>
          <w:color w:val="000000" w:themeColor="text1"/>
        </w:rPr>
        <w:t>Mr. Khan is a seasoned business executive in high technology firms with wide ranging experience, from leading startups to running multi-billion-dollar enterprises. A strong leader with a track record of anticipating and developing new technologies Mr. Khan has extensive M&amp;A experience, having negotiated sale/purchase of multiple companies as CEO and Head of Strategy at Agere Systems.</w:t>
      </w:r>
    </w:p>
    <w:p w14:paraId="5B5A66EC" w14:textId="4311FFC5" w:rsidR="00710695" w:rsidRPr="00710695" w:rsidRDefault="00710695" w:rsidP="00A775D9">
      <w:pPr>
        <w:pStyle w:val="ListParagraph"/>
        <w:numPr>
          <w:ilvl w:val="0"/>
          <w:numId w:val="4"/>
        </w:numPr>
        <w:spacing w:before="120" w:after="120"/>
        <w:ind w:hanging="630"/>
        <w:jc w:val="both"/>
        <w:outlineLvl w:val="0"/>
        <w:rPr>
          <w:rFonts w:ascii="Times New Roman" w:hAnsi="Times New Roman"/>
          <w:b/>
          <w:i/>
          <w:color w:val="000000" w:themeColor="text1"/>
        </w:rPr>
      </w:pPr>
      <w:r>
        <w:rPr>
          <w:rFonts w:ascii="Times New Roman" w:hAnsi="Times New Roman"/>
          <w:bCs/>
          <w:iCs/>
          <w:color w:val="000000" w:themeColor="text1"/>
        </w:rPr>
        <w:t xml:space="preserve">On July 17, 2025, the Company completed a non-brokered public offering </w:t>
      </w:r>
      <w:r w:rsidRPr="00710695">
        <w:rPr>
          <w:rFonts w:ascii="Times New Roman" w:hAnsi="Times New Roman"/>
          <w:bCs/>
          <w:iCs/>
          <w:color w:val="000000" w:themeColor="text1"/>
        </w:rPr>
        <w:t>of an aggregate 5,000,000 units of the Corporation at a price of US$5.00 per Unit for aggregate gross proceeds to the Corporation of US$25,000,000. Each Unit is comprised of one common share of the Corporation and one common share purchase warrant of the Corporation, with each Warrant being exercisable to acquire one Common Share at an exercise price of C$8.16 for a period of five years from the date of issuance.</w:t>
      </w:r>
    </w:p>
    <w:p w14:paraId="76DF82DF" w14:textId="1BEC2FF8" w:rsidR="00710695" w:rsidRPr="0015673E" w:rsidRDefault="00710695" w:rsidP="00A775D9">
      <w:pPr>
        <w:pStyle w:val="ListParagraph"/>
        <w:numPr>
          <w:ilvl w:val="0"/>
          <w:numId w:val="4"/>
        </w:numPr>
        <w:spacing w:before="120" w:after="120"/>
        <w:ind w:hanging="630"/>
        <w:jc w:val="both"/>
        <w:outlineLvl w:val="0"/>
        <w:rPr>
          <w:rFonts w:ascii="Times New Roman" w:hAnsi="Times New Roman"/>
          <w:b/>
          <w:i/>
          <w:color w:val="000000" w:themeColor="text1"/>
        </w:rPr>
      </w:pPr>
      <w:r>
        <w:rPr>
          <w:rFonts w:ascii="Times New Roman" w:hAnsi="Times New Roman"/>
          <w:bCs/>
          <w:iCs/>
          <w:color w:val="000000" w:themeColor="text1"/>
        </w:rPr>
        <w:t>On August 26, 2025</w:t>
      </w:r>
      <w:r w:rsidR="001C5969">
        <w:rPr>
          <w:rFonts w:ascii="Times New Roman" w:hAnsi="Times New Roman"/>
          <w:bCs/>
          <w:iCs/>
          <w:color w:val="000000" w:themeColor="text1"/>
        </w:rPr>
        <w:t>,</w:t>
      </w:r>
      <w:r>
        <w:rPr>
          <w:rFonts w:ascii="Times New Roman" w:hAnsi="Times New Roman"/>
          <w:bCs/>
          <w:iCs/>
          <w:color w:val="000000" w:themeColor="text1"/>
        </w:rPr>
        <w:t xml:space="preserve"> the Company </w:t>
      </w:r>
      <w:r w:rsidRPr="00710695">
        <w:rPr>
          <w:rFonts w:ascii="Times New Roman" w:hAnsi="Times New Roman"/>
          <w:bCs/>
          <w:iCs/>
          <w:color w:val="000000" w:themeColor="text1"/>
        </w:rPr>
        <w:t>voluntarily delisted its common shares from the TSX Venture Exchange ("</w:t>
      </w:r>
      <w:r w:rsidRPr="00710695">
        <w:rPr>
          <w:rFonts w:ascii="Times New Roman" w:hAnsi="Times New Roman"/>
          <w:b/>
          <w:bCs/>
          <w:iCs/>
          <w:color w:val="000000" w:themeColor="text1"/>
        </w:rPr>
        <w:t>TSXV</w:t>
      </w:r>
      <w:r w:rsidRPr="00710695">
        <w:rPr>
          <w:rFonts w:ascii="Times New Roman" w:hAnsi="Times New Roman"/>
          <w:bCs/>
          <w:iCs/>
          <w:color w:val="000000" w:themeColor="text1"/>
        </w:rPr>
        <w:t xml:space="preserve">"). The delisting from the TSXV </w:t>
      </w:r>
      <w:r>
        <w:rPr>
          <w:rFonts w:ascii="Times New Roman" w:hAnsi="Times New Roman"/>
          <w:bCs/>
          <w:iCs/>
          <w:color w:val="000000" w:themeColor="text1"/>
        </w:rPr>
        <w:t>did</w:t>
      </w:r>
      <w:r w:rsidRPr="00710695">
        <w:rPr>
          <w:rFonts w:ascii="Times New Roman" w:hAnsi="Times New Roman"/>
          <w:bCs/>
          <w:iCs/>
          <w:color w:val="000000" w:themeColor="text1"/>
        </w:rPr>
        <w:t xml:space="preserve"> not affect the Company's listing on Nasdaq Capital Market (the "</w:t>
      </w:r>
      <w:r w:rsidRPr="00710695">
        <w:rPr>
          <w:rFonts w:ascii="Times New Roman" w:hAnsi="Times New Roman"/>
          <w:b/>
          <w:bCs/>
          <w:iCs/>
          <w:color w:val="000000" w:themeColor="text1"/>
        </w:rPr>
        <w:t>Nasdaq</w:t>
      </w:r>
      <w:r w:rsidRPr="00710695">
        <w:rPr>
          <w:rFonts w:ascii="Times New Roman" w:hAnsi="Times New Roman"/>
          <w:bCs/>
          <w:iCs/>
          <w:color w:val="000000" w:themeColor="text1"/>
        </w:rPr>
        <w:t>")</w:t>
      </w:r>
      <w:r w:rsidR="0015673E">
        <w:rPr>
          <w:rFonts w:ascii="Times New Roman" w:hAnsi="Times New Roman"/>
          <w:bCs/>
          <w:iCs/>
          <w:color w:val="000000" w:themeColor="text1"/>
        </w:rPr>
        <w:t>. The Company’s s</w:t>
      </w:r>
      <w:r w:rsidRPr="00710695">
        <w:rPr>
          <w:rFonts w:ascii="Times New Roman" w:hAnsi="Times New Roman"/>
          <w:bCs/>
          <w:iCs/>
          <w:color w:val="000000" w:themeColor="text1"/>
        </w:rPr>
        <w:t>hares continue to be listed on Nasdaq under the symbol "POET".</w:t>
      </w:r>
    </w:p>
    <w:p w14:paraId="04E9ABF8" w14:textId="3AA96DC5" w:rsidR="0015673E" w:rsidRPr="0015673E" w:rsidRDefault="0015673E" w:rsidP="00A775D9">
      <w:pPr>
        <w:pStyle w:val="ListParagraph"/>
        <w:numPr>
          <w:ilvl w:val="0"/>
          <w:numId w:val="4"/>
        </w:numPr>
        <w:spacing w:before="120" w:after="120"/>
        <w:ind w:hanging="630"/>
        <w:jc w:val="both"/>
        <w:outlineLvl w:val="0"/>
        <w:rPr>
          <w:rFonts w:ascii="Times New Roman" w:hAnsi="Times New Roman"/>
          <w:b/>
          <w:i/>
          <w:color w:val="000000" w:themeColor="text1"/>
        </w:rPr>
      </w:pPr>
      <w:r>
        <w:rPr>
          <w:rFonts w:ascii="Times New Roman" w:hAnsi="Times New Roman"/>
          <w:bCs/>
          <w:iCs/>
          <w:color w:val="000000" w:themeColor="text1"/>
        </w:rPr>
        <w:t xml:space="preserve">On August 29, 2025, the Company </w:t>
      </w:r>
      <w:r w:rsidRPr="0015673E">
        <w:rPr>
          <w:rFonts w:ascii="Times New Roman" w:hAnsi="Times New Roman"/>
          <w:bCs/>
          <w:iCs/>
          <w:color w:val="000000" w:themeColor="text1"/>
        </w:rPr>
        <w:t>announced it has partnered with NTT Innovative Devices Corporation, a subsidiary of Japan’s leading telecom company, to develop advanced optical engines to power next generation networks capable of supporting widespread use of artificial intelligence applications on mobile devices.</w:t>
      </w:r>
    </w:p>
    <w:p w14:paraId="42938BC3" w14:textId="72C5960F" w:rsidR="0015673E" w:rsidRPr="0015673E" w:rsidRDefault="0015673E" w:rsidP="00A775D9">
      <w:pPr>
        <w:pStyle w:val="ListParagraph"/>
        <w:numPr>
          <w:ilvl w:val="0"/>
          <w:numId w:val="4"/>
        </w:numPr>
        <w:spacing w:before="120" w:after="120"/>
        <w:ind w:hanging="630"/>
        <w:jc w:val="both"/>
        <w:outlineLvl w:val="0"/>
        <w:rPr>
          <w:rFonts w:ascii="Times New Roman" w:hAnsi="Times New Roman"/>
          <w:b/>
          <w:i/>
          <w:color w:val="000000" w:themeColor="text1"/>
        </w:rPr>
      </w:pPr>
      <w:r>
        <w:rPr>
          <w:rFonts w:ascii="Times New Roman" w:hAnsi="Times New Roman"/>
          <w:bCs/>
          <w:iCs/>
          <w:color w:val="000000" w:themeColor="text1"/>
        </w:rPr>
        <w:lastRenderedPageBreak/>
        <w:t>On September 29, 2025, the Company announced</w:t>
      </w:r>
      <w:r w:rsidRPr="0015673E">
        <w:rPr>
          <w:rFonts w:ascii="Times New Roman" w:hAnsi="Times New Roman"/>
          <w:bCs/>
          <w:iCs/>
          <w:color w:val="000000" w:themeColor="text1"/>
        </w:rPr>
        <w:t xml:space="preserve"> a strategic collaboration </w:t>
      </w:r>
      <w:r w:rsidRPr="0015673E">
        <w:rPr>
          <w:rFonts w:ascii="Times New Roman" w:hAnsi="Times New Roman"/>
          <w:bCs/>
          <w:iCs/>
        </w:rPr>
        <w:t>with </w:t>
      </w:r>
      <w:hyperlink r:id="rId15" w:history="1">
        <w:r w:rsidRPr="0015673E">
          <w:rPr>
            <w:rStyle w:val="Hyperlink"/>
            <w:rFonts w:ascii="Times New Roman" w:hAnsi="Times New Roman"/>
            <w:bCs/>
            <w:iCs/>
            <w:color w:val="auto"/>
            <w:u w:val="none"/>
          </w:rPr>
          <w:t>Sivers Semiconductors</w:t>
        </w:r>
      </w:hyperlink>
      <w:r w:rsidRPr="0015673E">
        <w:rPr>
          <w:rFonts w:ascii="Times New Roman" w:hAnsi="Times New Roman"/>
          <w:bCs/>
          <w:iCs/>
          <w:color w:val="000000" w:themeColor="text1"/>
        </w:rPr>
        <w:t> AB (STO: SIVE), a global supplier of advanced optical semiconductors, to develop high-performance and cost-effective External Light Source (ELS) modules</w:t>
      </w:r>
      <w:r w:rsidRPr="0015673E">
        <w:rPr>
          <w:rFonts w:ascii="Times New Roman" w:hAnsi="Times New Roman"/>
          <w:b/>
          <w:bCs/>
          <w:iCs/>
          <w:color w:val="000000" w:themeColor="text1"/>
        </w:rPr>
        <w:t> </w:t>
      </w:r>
      <w:r w:rsidRPr="0015673E">
        <w:rPr>
          <w:rFonts w:ascii="Times New Roman" w:hAnsi="Times New Roman"/>
          <w:bCs/>
          <w:iCs/>
          <w:color w:val="000000" w:themeColor="text1"/>
        </w:rPr>
        <w:t>tailored for</w:t>
      </w:r>
      <w:r w:rsidRPr="0015673E">
        <w:rPr>
          <w:rFonts w:ascii="Times New Roman" w:hAnsi="Times New Roman"/>
          <w:b/>
          <w:bCs/>
          <w:iCs/>
          <w:color w:val="000000" w:themeColor="text1"/>
        </w:rPr>
        <w:t> </w:t>
      </w:r>
      <w:r w:rsidRPr="0015673E">
        <w:rPr>
          <w:rFonts w:ascii="Times New Roman" w:hAnsi="Times New Roman"/>
          <w:bCs/>
          <w:iCs/>
          <w:color w:val="000000" w:themeColor="text1"/>
        </w:rPr>
        <w:t>Co-Packaged Optics (CPO)</w:t>
      </w:r>
      <w:r w:rsidRPr="0015673E">
        <w:rPr>
          <w:rFonts w:ascii="Times New Roman" w:hAnsi="Times New Roman"/>
          <w:b/>
          <w:bCs/>
          <w:iCs/>
          <w:color w:val="000000" w:themeColor="text1"/>
        </w:rPr>
        <w:t> </w:t>
      </w:r>
      <w:r w:rsidRPr="0015673E">
        <w:rPr>
          <w:rFonts w:ascii="Times New Roman" w:hAnsi="Times New Roman"/>
          <w:bCs/>
          <w:iCs/>
          <w:color w:val="000000" w:themeColor="text1"/>
        </w:rPr>
        <w:t>and next-generation</w:t>
      </w:r>
      <w:r w:rsidRPr="0015673E">
        <w:rPr>
          <w:rFonts w:ascii="Times New Roman" w:hAnsi="Times New Roman"/>
          <w:b/>
          <w:bCs/>
          <w:iCs/>
          <w:color w:val="000000" w:themeColor="text1"/>
        </w:rPr>
        <w:t> </w:t>
      </w:r>
      <w:r w:rsidRPr="0015673E">
        <w:rPr>
          <w:rFonts w:ascii="Times New Roman" w:hAnsi="Times New Roman"/>
          <w:bCs/>
          <w:iCs/>
          <w:color w:val="000000" w:themeColor="text1"/>
        </w:rPr>
        <w:t>AI infrastructure</w:t>
      </w:r>
      <w:r w:rsidRPr="0015673E">
        <w:rPr>
          <w:rFonts w:ascii="Times New Roman" w:hAnsi="Times New Roman"/>
          <w:b/>
          <w:bCs/>
          <w:iCs/>
          <w:color w:val="000000" w:themeColor="text1"/>
        </w:rPr>
        <w:t>.</w:t>
      </w:r>
    </w:p>
    <w:p w14:paraId="7D96CB08" w14:textId="5AB99093" w:rsidR="0015673E" w:rsidRPr="0015673E" w:rsidRDefault="0015673E" w:rsidP="00A775D9">
      <w:pPr>
        <w:pStyle w:val="ListParagraph"/>
        <w:numPr>
          <w:ilvl w:val="0"/>
          <w:numId w:val="4"/>
        </w:numPr>
        <w:spacing w:before="120" w:after="120"/>
        <w:ind w:hanging="630"/>
        <w:jc w:val="both"/>
        <w:outlineLvl w:val="0"/>
        <w:rPr>
          <w:rFonts w:ascii="Times New Roman" w:hAnsi="Times New Roman"/>
          <w:b/>
          <w:i/>
          <w:color w:val="000000" w:themeColor="text1"/>
        </w:rPr>
      </w:pPr>
      <w:r>
        <w:rPr>
          <w:rFonts w:ascii="Times New Roman" w:hAnsi="Times New Roman"/>
          <w:iCs/>
          <w:color w:val="000000" w:themeColor="text1"/>
        </w:rPr>
        <w:t>On September 30, 2025</w:t>
      </w:r>
      <w:r w:rsidR="001C5969">
        <w:rPr>
          <w:rFonts w:ascii="Times New Roman" w:hAnsi="Times New Roman"/>
          <w:iCs/>
          <w:color w:val="000000" w:themeColor="text1"/>
        </w:rPr>
        <w:t>,</w:t>
      </w:r>
      <w:r>
        <w:rPr>
          <w:rFonts w:ascii="Times New Roman" w:hAnsi="Times New Roman"/>
          <w:iCs/>
          <w:color w:val="000000" w:themeColor="text1"/>
        </w:rPr>
        <w:t xml:space="preserve"> the Company </w:t>
      </w:r>
      <w:r w:rsidRPr="0015673E">
        <w:rPr>
          <w:rFonts w:ascii="Times New Roman" w:hAnsi="Times New Roman"/>
          <w:iCs/>
          <w:color w:val="000000" w:themeColor="text1"/>
        </w:rPr>
        <w:t>announced with Semtech Corporation (Nasdaq: SMTC), a leading provider of high-performance semiconductor, Internet of Things (IoT) systems and cloud connectivity service solutions, the immediate availability for customer sampling of high-performance 1.6T Receiver Optical Engines for AI and cloud networks.</w:t>
      </w:r>
    </w:p>
    <w:p w14:paraId="69CCCF8F" w14:textId="2EE740D2" w:rsidR="0015673E" w:rsidRPr="001C5969" w:rsidRDefault="001C5969" w:rsidP="00A775D9">
      <w:pPr>
        <w:pStyle w:val="ListParagraph"/>
        <w:numPr>
          <w:ilvl w:val="0"/>
          <w:numId w:val="4"/>
        </w:numPr>
        <w:spacing w:before="120" w:after="120"/>
        <w:ind w:hanging="630"/>
        <w:jc w:val="both"/>
        <w:outlineLvl w:val="0"/>
        <w:rPr>
          <w:rFonts w:ascii="Times New Roman" w:hAnsi="Times New Roman"/>
          <w:b/>
          <w:i/>
          <w:color w:val="000000" w:themeColor="text1"/>
        </w:rPr>
      </w:pPr>
      <w:r>
        <w:rPr>
          <w:rFonts w:ascii="Times New Roman" w:hAnsi="Times New Roman"/>
          <w:iCs/>
          <w:color w:val="000000" w:themeColor="text1"/>
        </w:rPr>
        <w:t>On September 30, 2025, the Company</w:t>
      </w:r>
      <w:r w:rsidRPr="001C5969">
        <w:rPr>
          <w:rFonts w:ascii="Times New Roman" w:hAnsi="Times New Roman"/>
          <w:iCs/>
          <w:color w:val="000000" w:themeColor="text1"/>
        </w:rPr>
        <w:t xml:space="preserve"> announced </w:t>
      </w:r>
      <w:r>
        <w:rPr>
          <w:rFonts w:ascii="Times New Roman" w:hAnsi="Times New Roman"/>
          <w:iCs/>
          <w:color w:val="000000" w:themeColor="text1"/>
        </w:rPr>
        <w:t>that it</w:t>
      </w:r>
      <w:r w:rsidRPr="001C5969">
        <w:rPr>
          <w:rFonts w:ascii="Times New Roman" w:hAnsi="Times New Roman"/>
          <w:iCs/>
          <w:color w:val="000000" w:themeColor="text1"/>
        </w:rPr>
        <w:t xml:space="preserve"> won the “Most Innovative Chip-scale Packaging/Optical Sub Assembly Product” at the ECOC Awards.</w:t>
      </w:r>
    </w:p>
    <w:p w14:paraId="58298733" w14:textId="4D5ACFC1" w:rsidR="001C5969" w:rsidRPr="00EA6BD3" w:rsidRDefault="001C5969" w:rsidP="00A775D9">
      <w:pPr>
        <w:pStyle w:val="ListParagraph"/>
        <w:numPr>
          <w:ilvl w:val="0"/>
          <w:numId w:val="4"/>
        </w:numPr>
        <w:spacing w:before="120" w:after="120"/>
        <w:ind w:hanging="630"/>
        <w:jc w:val="both"/>
        <w:outlineLvl w:val="0"/>
        <w:rPr>
          <w:rFonts w:ascii="Times New Roman" w:hAnsi="Times New Roman"/>
          <w:b/>
          <w:i/>
          <w:color w:val="000000" w:themeColor="text1"/>
        </w:rPr>
      </w:pPr>
      <w:r>
        <w:rPr>
          <w:rFonts w:ascii="Times New Roman" w:hAnsi="Times New Roman"/>
          <w:iCs/>
          <w:color w:val="000000" w:themeColor="text1"/>
        </w:rPr>
        <w:t xml:space="preserve">On October 7, 2025, the Company </w:t>
      </w:r>
      <w:r w:rsidRPr="001C5969">
        <w:rPr>
          <w:rFonts w:ascii="Times New Roman" w:hAnsi="Times New Roman"/>
          <w:iCs/>
          <w:color w:val="000000" w:themeColor="text1"/>
        </w:rPr>
        <w:t xml:space="preserve">announced that it closed a non-brokered financing with a single institutional investor. The Corporation issued and sold 13,636,364 </w:t>
      </w:r>
      <w:r>
        <w:rPr>
          <w:rFonts w:ascii="Times New Roman" w:hAnsi="Times New Roman"/>
          <w:iCs/>
          <w:color w:val="000000" w:themeColor="text1"/>
        </w:rPr>
        <w:t>units</w:t>
      </w:r>
      <w:r w:rsidRPr="001C5969">
        <w:rPr>
          <w:rFonts w:ascii="Times New Roman" w:hAnsi="Times New Roman"/>
          <w:iCs/>
          <w:color w:val="000000" w:themeColor="text1"/>
        </w:rPr>
        <w:t xml:space="preserve"> </w:t>
      </w:r>
      <w:r>
        <w:rPr>
          <w:rFonts w:ascii="Times New Roman" w:hAnsi="Times New Roman"/>
          <w:iCs/>
          <w:color w:val="000000" w:themeColor="text1"/>
        </w:rPr>
        <w:t xml:space="preserve">at a price of US$5.50 </w:t>
      </w:r>
      <w:r w:rsidRPr="001C5969">
        <w:rPr>
          <w:rFonts w:ascii="Times New Roman" w:hAnsi="Times New Roman"/>
          <w:iCs/>
          <w:color w:val="000000" w:themeColor="text1"/>
        </w:rPr>
        <w:t>in a private placement for gross proceeds of US$75,000,002</w:t>
      </w:r>
      <w:r>
        <w:rPr>
          <w:rFonts w:ascii="Times New Roman" w:hAnsi="Times New Roman"/>
          <w:iCs/>
          <w:color w:val="000000" w:themeColor="text1"/>
        </w:rPr>
        <w:t xml:space="preserve">. </w:t>
      </w:r>
      <w:r w:rsidRPr="00710695">
        <w:rPr>
          <w:rFonts w:ascii="Times New Roman" w:hAnsi="Times New Roman"/>
          <w:bCs/>
          <w:iCs/>
          <w:color w:val="000000" w:themeColor="text1"/>
        </w:rPr>
        <w:t>Each Unit is comprised of one common share of the Corporation and one common share purchase warrant of the Corporation, with each Warrant being exercisable to acquire one Common Share at an exercise price of C$</w:t>
      </w:r>
      <w:r>
        <w:rPr>
          <w:rFonts w:ascii="Times New Roman" w:hAnsi="Times New Roman"/>
          <w:bCs/>
          <w:iCs/>
          <w:color w:val="000000" w:themeColor="text1"/>
        </w:rPr>
        <w:t>9.78</w:t>
      </w:r>
      <w:r w:rsidRPr="00710695">
        <w:rPr>
          <w:rFonts w:ascii="Times New Roman" w:hAnsi="Times New Roman"/>
          <w:bCs/>
          <w:iCs/>
          <w:color w:val="000000" w:themeColor="text1"/>
        </w:rPr>
        <w:t xml:space="preserve"> for a period of five years from the date of issuance.</w:t>
      </w:r>
    </w:p>
    <w:p w14:paraId="56646C01" w14:textId="213CCE59" w:rsidR="00EA6BD3" w:rsidRPr="00EA6BD3" w:rsidRDefault="00EA6BD3" w:rsidP="00A775D9">
      <w:pPr>
        <w:pStyle w:val="ListParagraph"/>
        <w:numPr>
          <w:ilvl w:val="0"/>
          <w:numId w:val="4"/>
        </w:numPr>
        <w:spacing w:before="120" w:after="120"/>
        <w:ind w:hanging="630"/>
        <w:jc w:val="both"/>
        <w:outlineLvl w:val="0"/>
        <w:rPr>
          <w:rFonts w:ascii="Times New Roman" w:hAnsi="Times New Roman"/>
          <w:b/>
          <w:i/>
          <w:color w:val="000000" w:themeColor="text1"/>
        </w:rPr>
      </w:pPr>
      <w:r>
        <w:rPr>
          <w:rFonts w:ascii="Times New Roman" w:hAnsi="Times New Roman"/>
          <w:bCs/>
          <w:iCs/>
          <w:color w:val="000000" w:themeColor="text1"/>
        </w:rPr>
        <w:t xml:space="preserve">On October 22, 2025, the Company </w:t>
      </w:r>
      <w:r w:rsidRPr="00EA6BD3">
        <w:rPr>
          <w:rFonts w:ascii="Times New Roman" w:hAnsi="Times New Roman"/>
          <w:bCs/>
          <w:iCs/>
          <w:color w:val="000000" w:themeColor="text1"/>
        </w:rPr>
        <w:t>announced it has received a production order valued at over US$5 million for a shipment of</w:t>
      </w:r>
      <w:r w:rsidRPr="00EA6BD3">
        <w:rPr>
          <w:rFonts w:ascii="Times New Roman" w:hAnsi="Times New Roman"/>
          <w:bCs/>
          <w:i/>
          <w:iCs/>
          <w:color w:val="000000" w:themeColor="text1"/>
        </w:rPr>
        <w:t> POET Infinity™</w:t>
      </w:r>
      <w:r w:rsidRPr="00EA6BD3">
        <w:rPr>
          <w:rFonts w:ascii="Times New Roman" w:hAnsi="Times New Roman"/>
          <w:bCs/>
          <w:iCs/>
          <w:color w:val="000000" w:themeColor="text1"/>
        </w:rPr>
        <w:t> optical engines. The purchase order for optical engines was made by a leading systems integrator that will manufacture and sell optical transceiver modules.</w:t>
      </w:r>
    </w:p>
    <w:p w14:paraId="11187E9B" w14:textId="5E1B4FF2" w:rsidR="00EA6BD3" w:rsidRPr="0064195C" w:rsidRDefault="00EA6BD3" w:rsidP="00A775D9">
      <w:pPr>
        <w:pStyle w:val="ListParagraph"/>
        <w:numPr>
          <w:ilvl w:val="0"/>
          <w:numId w:val="4"/>
        </w:numPr>
        <w:spacing w:before="120" w:after="120"/>
        <w:ind w:hanging="630"/>
        <w:jc w:val="both"/>
        <w:outlineLvl w:val="0"/>
        <w:rPr>
          <w:rFonts w:ascii="Times New Roman" w:hAnsi="Times New Roman"/>
          <w:b/>
          <w:i/>
          <w:color w:val="000000" w:themeColor="text1"/>
        </w:rPr>
      </w:pPr>
      <w:r>
        <w:rPr>
          <w:rFonts w:ascii="Times New Roman" w:hAnsi="Times New Roman"/>
          <w:bCs/>
          <w:iCs/>
          <w:color w:val="000000" w:themeColor="text1"/>
        </w:rPr>
        <w:t xml:space="preserve">On October 28, 2025, the Company </w:t>
      </w:r>
      <w:r w:rsidRPr="00EA6BD3">
        <w:rPr>
          <w:rFonts w:ascii="Times New Roman" w:hAnsi="Times New Roman"/>
          <w:bCs/>
          <w:iCs/>
          <w:color w:val="000000" w:themeColor="text1"/>
        </w:rPr>
        <w:t xml:space="preserve">announced the closing of </w:t>
      </w:r>
      <w:r>
        <w:rPr>
          <w:rFonts w:ascii="Times New Roman" w:hAnsi="Times New Roman"/>
          <w:bCs/>
          <w:iCs/>
          <w:color w:val="000000" w:themeColor="text1"/>
        </w:rPr>
        <w:t xml:space="preserve">a </w:t>
      </w:r>
      <w:r w:rsidRPr="00EA6BD3">
        <w:rPr>
          <w:rFonts w:ascii="Times New Roman" w:hAnsi="Times New Roman"/>
          <w:bCs/>
          <w:iCs/>
          <w:color w:val="000000" w:themeColor="text1"/>
        </w:rPr>
        <w:t>registered direct offering of 20,689,655 common shares, resulting in gross proceeds of approximately US$150</w:t>
      </w:r>
      <w:r>
        <w:rPr>
          <w:rFonts w:ascii="Times New Roman" w:hAnsi="Times New Roman"/>
          <w:bCs/>
          <w:iCs/>
          <w:color w:val="000000" w:themeColor="text1"/>
        </w:rPr>
        <w:t>,000,000 at a price of US$7.25</w:t>
      </w:r>
      <w:r w:rsidRPr="00EA6BD3">
        <w:rPr>
          <w:rFonts w:ascii="Times New Roman" w:hAnsi="Times New Roman"/>
          <w:bCs/>
          <w:iCs/>
          <w:color w:val="000000" w:themeColor="text1"/>
        </w:rPr>
        <w:t>.</w:t>
      </w:r>
    </w:p>
    <w:p w14:paraId="6126FDD8" w14:textId="77777777" w:rsidR="0064195C" w:rsidRPr="00A775D9" w:rsidRDefault="0064195C" w:rsidP="0064195C">
      <w:pPr>
        <w:pStyle w:val="ListParagraph"/>
        <w:spacing w:before="120" w:after="120"/>
        <w:jc w:val="both"/>
        <w:outlineLvl w:val="0"/>
        <w:rPr>
          <w:rFonts w:ascii="Times New Roman" w:hAnsi="Times New Roman"/>
          <w:b/>
          <w:i/>
          <w:color w:val="000000" w:themeColor="text1"/>
        </w:rPr>
      </w:pPr>
    </w:p>
    <w:p w14:paraId="01B2A1A0" w14:textId="77777777" w:rsidR="00A775D9" w:rsidRPr="00A775D9" w:rsidRDefault="00A775D9" w:rsidP="00A775D9">
      <w:pPr>
        <w:pStyle w:val="ListParagraph"/>
        <w:spacing w:before="120" w:after="120"/>
        <w:jc w:val="both"/>
        <w:outlineLvl w:val="0"/>
        <w:rPr>
          <w:rFonts w:ascii="Times New Roman" w:hAnsi="Times New Roman"/>
          <w:b/>
          <w:i/>
          <w:color w:val="000000" w:themeColor="text1"/>
        </w:rPr>
      </w:pPr>
    </w:p>
    <w:p w14:paraId="4D5E6A87" w14:textId="64E464D6" w:rsidR="00734703" w:rsidRPr="00A775D9" w:rsidRDefault="003902FA" w:rsidP="00A775D9">
      <w:pPr>
        <w:spacing w:before="120" w:after="120"/>
        <w:jc w:val="both"/>
        <w:outlineLvl w:val="0"/>
        <w:rPr>
          <w:rFonts w:ascii="Times New Roman" w:hAnsi="Times New Roman"/>
          <w:b/>
          <w:i/>
          <w:color w:val="000000" w:themeColor="text1"/>
        </w:rPr>
      </w:pPr>
      <w:r w:rsidRPr="00A775D9">
        <w:rPr>
          <w:rFonts w:ascii="Times New Roman" w:hAnsi="Times New Roman"/>
          <w:b/>
          <w:i/>
          <w:color w:val="000000" w:themeColor="text1"/>
        </w:rPr>
        <w:t xml:space="preserve">Anticipated </w:t>
      </w:r>
      <w:r w:rsidR="00734703" w:rsidRPr="00A775D9">
        <w:rPr>
          <w:rFonts w:ascii="Times New Roman" w:hAnsi="Times New Roman"/>
          <w:b/>
          <w:i/>
          <w:color w:val="000000" w:themeColor="text1"/>
        </w:rPr>
        <w:t>Key Milestones for 202</w:t>
      </w:r>
      <w:r w:rsidR="00AD086E" w:rsidRPr="00A775D9">
        <w:rPr>
          <w:rFonts w:ascii="Times New Roman" w:hAnsi="Times New Roman"/>
          <w:b/>
          <w:i/>
          <w:color w:val="000000" w:themeColor="text1"/>
        </w:rPr>
        <w:t>5</w:t>
      </w:r>
    </w:p>
    <w:p w14:paraId="63986386" w14:textId="778D31ED" w:rsidR="002117C1" w:rsidRPr="00505669" w:rsidRDefault="00734703" w:rsidP="00734703">
      <w:pPr>
        <w:spacing w:before="120" w:after="120"/>
        <w:jc w:val="both"/>
        <w:outlineLvl w:val="0"/>
        <w:rPr>
          <w:rFonts w:ascii="Times New Roman" w:hAnsi="Times New Roman"/>
          <w:b/>
          <w:iCs/>
          <w:color w:val="000000" w:themeColor="text1"/>
        </w:rPr>
      </w:pPr>
      <w:r w:rsidRPr="00734703">
        <w:rPr>
          <w:rFonts w:ascii="Times New Roman" w:hAnsi="Times New Roman"/>
          <w:bCs/>
          <w:iCs/>
          <w:color w:val="000000" w:themeColor="text1"/>
        </w:rPr>
        <w:t>The following sets out the key milestones, estimated timing and costs of product development on the Co</w:t>
      </w:r>
      <w:r w:rsidR="009A7818">
        <w:rPr>
          <w:rFonts w:ascii="Times New Roman" w:hAnsi="Times New Roman"/>
          <w:bCs/>
          <w:iCs/>
          <w:color w:val="000000" w:themeColor="text1"/>
        </w:rPr>
        <w:t>mpany</w:t>
      </w:r>
      <w:r w:rsidR="006E3065">
        <w:rPr>
          <w:rFonts w:ascii="Times New Roman" w:hAnsi="Times New Roman"/>
          <w:bCs/>
          <w:iCs/>
          <w:color w:val="000000" w:themeColor="text1"/>
        </w:rPr>
        <w:t>’</w:t>
      </w:r>
      <w:r w:rsidRPr="00734703">
        <w:rPr>
          <w:rFonts w:ascii="Times New Roman" w:hAnsi="Times New Roman"/>
          <w:bCs/>
          <w:iCs/>
          <w:color w:val="000000" w:themeColor="text1"/>
        </w:rPr>
        <w:t>s main projects in 202</w:t>
      </w:r>
      <w:r w:rsidR="00AD086E">
        <w:rPr>
          <w:rFonts w:ascii="Times New Roman" w:hAnsi="Times New Roman"/>
          <w:bCs/>
          <w:iCs/>
          <w:color w:val="000000" w:themeColor="text1"/>
        </w:rPr>
        <w:t>5</w:t>
      </w:r>
      <w:r w:rsidRPr="00734703">
        <w:rPr>
          <w:rFonts w:ascii="Times New Roman" w:hAnsi="Times New Roman"/>
          <w:bCs/>
          <w:iCs/>
          <w:color w:val="000000" w:themeColor="text1"/>
        </w:rPr>
        <w:t>, based on the Co</w:t>
      </w:r>
      <w:r w:rsidR="009A7818">
        <w:rPr>
          <w:rFonts w:ascii="Times New Roman" w:hAnsi="Times New Roman"/>
          <w:bCs/>
          <w:iCs/>
          <w:color w:val="000000" w:themeColor="text1"/>
        </w:rPr>
        <w:t>mpany</w:t>
      </w:r>
      <w:r w:rsidR="006E3065">
        <w:rPr>
          <w:rFonts w:ascii="Times New Roman" w:hAnsi="Times New Roman"/>
          <w:bCs/>
          <w:iCs/>
          <w:color w:val="000000" w:themeColor="text1"/>
        </w:rPr>
        <w:t>’</w:t>
      </w:r>
      <w:r w:rsidRPr="00734703">
        <w:rPr>
          <w:rFonts w:ascii="Times New Roman" w:hAnsi="Times New Roman"/>
          <w:bCs/>
          <w:iCs/>
          <w:color w:val="000000" w:themeColor="text1"/>
        </w:rPr>
        <w:t>s reasonable expectations and intended courses of action and current assumptions and judgement. The Co</w:t>
      </w:r>
      <w:r w:rsidR="009A7818">
        <w:rPr>
          <w:rFonts w:ascii="Times New Roman" w:hAnsi="Times New Roman"/>
          <w:bCs/>
          <w:iCs/>
          <w:color w:val="000000" w:themeColor="text1"/>
        </w:rPr>
        <w:t>mpany</w:t>
      </w:r>
      <w:r w:rsidRPr="00734703">
        <w:rPr>
          <w:rFonts w:ascii="Times New Roman" w:hAnsi="Times New Roman"/>
          <w:bCs/>
          <w:iCs/>
          <w:color w:val="000000" w:themeColor="text1"/>
        </w:rPr>
        <w:t xml:space="preserve">’s main objective is to advance the </w:t>
      </w:r>
      <w:r w:rsidR="00C00DAC" w:rsidRPr="00734703">
        <w:rPr>
          <w:rFonts w:ascii="Times New Roman" w:hAnsi="Times New Roman"/>
          <w:bCs/>
          <w:iCs/>
          <w:color w:val="000000" w:themeColor="text1"/>
        </w:rPr>
        <w:t>products below</w:t>
      </w:r>
      <w:r w:rsidRPr="00734703">
        <w:rPr>
          <w:rFonts w:ascii="Times New Roman" w:hAnsi="Times New Roman"/>
          <w:bCs/>
          <w:iCs/>
          <w:color w:val="000000" w:themeColor="text1"/>
        </w:rPr>
        <w:t xml:space="preserve"> to its next milestone and the successful development and roll out of these key products and projects </w:t>
      </w:r>
      <w:r w:rsidR="003902FA">
        <w:rPr>
          <w:rFonts w:ascii="Times New Roman" w:hAnsi="Times New Roman"/>
          <w:bCs/>
          <w:iCs/>
          <w:color w:val="000000" w:themeColor="text1"/>
        </w:rPr>
        <w:t>in 202</w:t>
      </w:r>
      <w:r w:rsidR="00AD086E">
        <w:rPr>
          <w:rFonts w:ascii="Times New Roman" w:hAnsi="Times New Roman"/>
          <w:bCs/>
          <w:iCs/>
          <w:color w:val="000000" w:themeColor="text1"/>
        </w:rPr>
        <w:t>5</w:t>
      </w:r>
      <w:r w:rsidR="003902FA">
        <w:rPr>
          <w:rFonts w:ascii="Times New Roman" w:hAnsi="Times New Roman"/>
          <w:bCs/>
          <w:iCs/>
          <w:color w:val="000000" w:themeColor="text1"/>
        </w:rPr>
        <w:t xml:space="preserve">. </w:t>
      </w:r>
    </w:p>
    <w:p w14:paraId="4AA9D4F4" w14:textId="77777777" w:rsidR="002117C1" w:rsidRDefault="002117C1" w:rsidP="00734703">
      <w:pPr>
        <w:spacing w:before="120" w:after="120"/>
        <w:jc w:val="both"/>
        <w:outlineLvl w:val="0"/>
        <w:rPr>
          <w:rFonts w:ascii="Times New Roman" w:hAnsi="Times New Roman"/>
          <w:bCs/>
          <w:iCs/>
          <w:color w:val="000000" w:themeColor="text1"/>
        </w:rPr>
      </w:pPr>
    </w:p>
    <w:tbl>
      <w:tblPr>
        <w:tblW w:w="5294" w:type="pct"/>
        <w:tblCellMar>
          <w:left w:w="0" w:type="dxa"/>
          <w:right w:w="0" w:type="dxa"/>
        </w:tblCellMar>
        <w:tblLook w:val="04A0" w:firstRow="1" w:lastRow="0" w:firstColumn="1" w:lastColumn="0" w:noHBand="0" w:noVBand="1"/>
      </w:tblPr>
      <w:tblGrid>
        <w:gridCol w:w="3144"/>
        <w:gridCol w:w="1814"/>
        <w:gridCol w:w="46"/>
        <w:gridCol w:w="1818"/>
        <w:gridCol w:w="3677"/>
      </w:tblGrid>
      <w:tr w:rsidR="00EA6BD3" w:rsidRPr="00EA6BD3" w14:paraId="643B9EDA" w14:textId="77777777">
        <w:trPr>
          <w:trHeight w:val="665"/>
        </w:trPr>
        <w:tc>
          <w:tcPr>
            <w:tcW w:w="1497" w:type="pct"/>
            <w:tcBorders>
              <w:top w:val="single" w:sz="8" w:space="0" w:color="auto"/>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7D706971"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
                <w:bCs/>
                <w:iCs/>
                <w:color w:val="000000" w:themeColor="text1"/>
              </w:rPr>
              <w:t>Key Milestone</w:t>
            </w:r>
          </w:p>
        </w:tc>
        <w:tc>
          <w:tcPr>
            <w:tcW w:w="886" w:type="pct"/>
            <w:gridSpan w:val="2"/>
            <w:tcBorders>
              <w:top w:val="single" w:sz="8" w:space="0" w:color="auto"/>
              <w:left w:val="nil"/>
              <w:bottom w:val="single" w:sz="8" w:space="0" w:color="auto"/>
              <w:right w:val="single" w:sz="8" w:space="0" w:color="auto"/>
            </w:tcBorders>
            <w:shd w:val="clear" w:color="auto" w:fill="EAF1DD"/>
            <w:tcMar>
              <w:top w:w="0" w:type="dxa"/>
              <w:left w:w="108" w:type="dxa"/>
              <w:bottom w:w="0" w:type="dxa"/>
              <w:right w:w="108" w:type="dxa"/>
            </w:tcMar>
            <w:hideMark/>
          </w:tcPr>
          <w:p w14:paraId="5C8A0112"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
                <w:bCs/>
                <w:iCs/>
                <w:color w:val="000000" w:themeColor="text1"/>
              </w:rPr>
              <w:t>Stage</w:t>
            </w:r>
          </w:p>
        </w:tc>
        <w:tc>
          <w:tcPr>
            <w:tcW w:w="866" w:type="pct"/>
            <w:tcBorders>
              <w:top w:val="single" w:sz="8" w:space="0" w:color="auto"/>
              <w:left w:val="nil"/>
              <w:bottom w:val="single" w:sz="8" w:space="0" w:color="auto"/>
              <w:right w:val="single" w:sz="8" w:space="0" w:color="auto"/>
            </w:tcBorders>
            <w:shd w:val="clear" w:color="auto" w:fill="EAF1DD"/>
            <w:tcMar>
              <w:top w:w="0" w:type="dxa"/>
              <w:left w:w="108" w:type="dxa"/>
              <w:bottom w:w="0" w:type="dxa"/>
              <w:right w:w="108" w:type="dxa"/>
            </w:tcMar>
            <w:hideMark/>
          </w:tcPr>
          <w:p w14:paraId="3557F478"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
                <w:bCs/>
                <w:iCs/>
                <w:color w:val="000000" w:themeColor="text1"/>
              </w:rPr>
              <w:t>Timing</w:t>
            </w:r>
          </w:p>
        </w:tc>
        <w:tc>
          <w:tcPr>
            <w:tcW w:w="1751" w:type="pct"/>
            <w:tcBorders>
              <w:top w:val="single" w:sz="8" w:space="0" w:color="auto"/>
              <w:left w:val="nil"/>
              <w:bottom w:val="single" w:sz="8" w:space="0" w:color="auto"/>
              <w:right w:val="single" w:sz="8" w:space="0" w:color="auto"/>
            </w:tcBorders>
            <w:shd w:val="clear" w:color="auto" w:fill="EAF1DD"/>
            <w:tcMar>
              <w:top w:w="0" w:type="dxa"/>
              <w:left w:w="108" w:type="dxa"/>
              <w:bottom w:w="0" w:type="dxa"/>
              <w:right w:w="108" w:type="dxa"/>
            </w:tcMar>
            <w:hideMark/>
          </w:tcPr>
          <w:p w14:paraId="0A4A6CC6"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
                <w:bCs/>
                <w:iCs/>
                <w:color w:val="000000" w:themeColor="text1"/>
              </w:rPr>
              <w:t>Expected Expenditures</w:t>
            </w:r>
          </w:p>
        </w:tc>
      </w:tr>
      <w:tr w:rsidR="00EA6BD3" w:rsidRPr="00EA6BD3" w14:paraId="559C6080" w14:textId="77777777">
        <w:trPr>
          <w:trHeight w:val="380"/>
        </w:trPr>
        <w:tc>
          <w:tcPr>
            <w:tcW w:w="5000" w:type="pct"/>
            <w:gridSpan w:val="5"/>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5E49F081"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
                <w:bCs/>
                <w:iCs/>
                <w:color w:val="000000" w:themeColor="text1"/>
              </w:rPr>
              <w:t>Research &amp; Development Programs:</w:t>
            </w:r>
          </w:p>
        </w:tc>
      </w:tr>
      <w:tr w:rsidR="00EA6BD3" w:rsidRPr="00EA6BD3" w14:paraId="3EE0985E" w14:textId="77777777">
        <w:trPr>
          <w:trHeight w:val="380"/>
        </w:trPr>
        <w:tc>
          <w:tcPr>
            <w:tcW w:w="149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2EEDF5"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
                <w:bCs/>
                <w:iCs/>
                <w:color w:val="000000" w:themeColor="text1"/>
              </w:rPr>
              <w:t>Module Development</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26BB995"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Cs/>
                <w:iCs/>
                <w:color w:val="000000" w:themeColor="text1"/>
              </w:rPr>
              <w:t>Development</w:t>
            </w: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14:paraId="79BB3A0E"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Cs/>
                <w:iCs/>
                <w:color w:val="000000" w:themeColor="text1"/>
              </w:rPr>
              <w:t>Q4 2025</w:t>
            </w:r>
          </w:p>
        </w:tc>
        <w:tc>
          <w:tcPr>
            <w:tcW w:w="1751" w:type="pct"/>
            <w:tcBorders>
              <w:top w:val="nil"/>
              <w:left w:val="nil"/>
              <w:bottom w:val="single" w:sz="8" w:space="0" w:color="auto"/>
              <w:right w:val="single" w:sz="8" w:space="0" w:color="auto"/>
            </w:tcBorders>
            <w:tcMar>
              <w:top w:w="0" w:type="dxa"/>
              <w:left w:w="108" w:type="dxa"/>
              <w:bottom w:w="0" w:type="dxa"/>
              <w:right w:w="108" w:type="dxa"/>
            </w:tcMar>
            <w:hideMark/>
          </w:tcPr>
          <w:p w14:paraId="1EAF1C62"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Cs/>
                <w:iCs/>
                <w:color w:val="000000" w:themeColor="text1"/>
              </w:rPr>
              <w:t>US$3,000,000</w:t>
            </w:r>
          </w:p>
        </w:tc>
      </w:tr>
      <w:tr w:rsidR="00EA6BD3" w:rsidRPr="00EA6BD3" w14:paraId="617382FE" w14:textId="77777777">
        <w:trPr>
          <w:trHeight w:val="380"/>
        </w:trPr>
        <w:tc>
          <w:tcPr>
            <w:tcW w:w="0" w:type="auto"/>
            <w:vMerge/>
            <w:tcBorders>
              <w:top w:val="nil"/>
              <w:left w:val="single" w:sz="8" w:space="0" w:color="auto"/>
              <w:bottom w:val="single" w:sz="8" w:space="0" w:color="auto"/>
              <w:right w:val="single" w:sz="8" w:space="0" w:color="auto"/>
            </w:tcBorders>
            <w:vAlign w:val="center"/>
            <w:hideMark/>
          </w:tcPr>
          <w:p w14:paraId="494233E7" w14:textId="77777777" w:rsidR="00EA6BD3" w:rsidRPr="00EA6BD3" w:rsidRDefault="00EA6BD3" w:rsidP="00EA6BD3">
            <w:pPr>
              <w:spacing w:before="120" w:after="120"/>
              <w:jc w:val="both"/>
              <w:outlineLvl w:val="0"/>
              <w:rPr>
                <w:rFonts w:ascii="Times New Roman" w:hAnsi="Times New Roman"/>
                <w:bCs/>
                <w:iCs/>
                <w:color w:val="000000" w:themeColor="text1"/>
              </w:rPr>
            </w:pP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BCDF206"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Cs/>
                <w:iCs/>
                <w:color w:val="000000" w:themeColor="text1"/>
              </w:rPr>
              <w:t>Prototype</w:t>
            </w: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14:paraId="76CA8021"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Cs/>
                <w:iCs/>
                <w:color w:val="000000" w:themeColor="text1"/>
              </w:rPr>
              <w:t>Q1 2026</w:t>
            </w:r>
          </w:p>
        </w:tc>
        <w:tc>
          <w:tcPr>
            <w:tcW w:w="1751" w:type="pct"/>
            <w:tcBorders>
              <w:top w:val="nil"/>
              <w:left w:val="nil"/>
              <w:bottom w:val="single" w:sz="8" w:space="0" w:color="auto"/>
              <w:right w:val="single" w:sz="8" w:space="0" w:color="auto"/>
            </w:tcBorders>
            <w:tcMar>
              <w:top w:w="0" w:type="dxa"/>
              <w:left w:w="108" w:type="dxa"/>
              <w:bottom w:w="0" w:type="dxa"/>
              <w:right w:w="108" w:type="dxa"/>
            </w:tcMar>
            <w:hideMark/>
          </w:tcPr>
          <w:p w14:paraId="51A27BC8"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Cs/>
                <w:iCs/>
                <w:color w:val="000000" w:themeColor="text1"/>
              </w:rPr>
              <w:t>US$2,000,000</w:t>
            </w:r>
          </w:p>
        </w:tc>
      </w:tr>
      <w:tr w:rsidR="00EA6BD3" w:rsidRPr="00EA6BD3" w14:paraId="53B355C8" w14:textId="77777777">
        <w:trPr>
          <w:trHeight w:val="380"/>
        </w:trPr>
        <w:tc>
          <w:tcPr>
            <w:tcW w:w="0" w:type="auto"/>
            <w:vMerge/>
            <w:tcBorders>
              <w:top w:val="nil"/>
              <w:left w:val="single" w:sz="8" w:space="0" w:color="auto"/>
              <w:bottom w:val="single" w:sz="8" w:space="0" w:color="auto"/>
              <w:right w:val="single" w:sz="8" w:space="0" w:color="auto"/>
            </w:tcBorders>
            <w:vAlign w:val="center"/>
            <w:hideMark/>
          </w:tcPr>
          <w:p w14:paraId="27753439" w14:textId="77777777" w:rsidR="00EA6BD3" w:rsidRPr="00EA6BD3" w:rsidRDefault="00EA6BD3" w:rsidP="00EA6BD3">
            <w:pPr>
              <w:spacing w:before="120" w:after="120"/>
              <w:jc w:val="both"/>
              <w:outlineLvl w:val="0"/>
              <w:rPr>
                <w:rFonts w:ascii="Times New Roman" w:hAnsi="Times New Roman"/>
                <w:bCs/>
                <w:iCs/>
                <w:color w:val="000000" w:themeColor="text1"/>
              </w:rPr>
            </w:pP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614267"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Cs/>
                <w:iCs/>
                <w:color w:val="000000" w:themeColor="text1"/>
              </w:rPr>
              <w:t>Production</w:t>
            </w: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14:paraId="6C3D3F22"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Cs/>
                <w:iCs/>
                <w:color w:val="000000" w:themeColor="text1"/>
              </w:rPr>
              <w:t>Q2 2026</w:t>
            </w:r>
          </w:p>
        </w:tc>
        <w:tc>
          <w:tcPr>
            <w:tcW w:w="1751" w:type="pct"/>
            <w:tcBorders>
              <w:top w:val="nil"/>
              <w:left w:val="nil"/>
              <w:bottom w:val="single" w:sz="8" w:space="0" w:color="auto"/>
              <w:right w:val="single" w:sz="8" w:space="0" w:color="auto"/>
            </w:tcBorders>
            <w:tcMar>
              <w:top w:w="0" w:type="dxa"/>
              <w:left w:w="108" w:type="dxa"/>
              <w:bottom w:w="0" w:type="dxa"/>
              <w:right w:w="108" w:type="dxa"/>
            </w:tcMar>
            <w:hideMark/>
          </w:tcPr>
          <w:p w14:paraId="04ABF3C4"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Cs/>
                <w:iCs/>
                <w:color w:val="000000" w:themeColor="text1"/>
              </w:rPr>
              <w:t>US$2,000,000</w:t>
            </w:r>
          </w:p>
        </w:tc>
      </w:tr>
      <w:tr w:rsidR="00EA6BD3" w:rsidRPr="00EA6BD3" w14:paraId="22E9C891" w14:textId="77777777">
        <w:trPr>
          <w:trHeight w:val="380"/>
        </w:trPr>
        <w:tc>
          <w:tcPr>
            <w:tcW w:w="0" w:type="auto"/>
            <w:vMerge/>
            <w:tcBorders>
              <w:top w:val="nil"/>
              <w:left w:val="single" w:sz="8" w:space="0" w:color="auto"/>
              <w:bottom w:val="single" w:sz="8" w:space="0" w:color="auto"/>
              <w:right w:val="single" w:sz="8" w:space="0" w:color="auto"/>
            </w:tcBorders>
            <w:vAlign w:val="center"/>
            <w:hideMark/>
          </w:tcPr>
          <w:p w14:paraId="21EEC09C" w14:textId="77777777" w:rsidR="00EA6BD3" w:rsidRPr="00EA6BD3" w:rsidRDefault="00EA6BD3" w:rsidP="00EA6BD3">
            <w:pPr>
              <w:spacing w:before="120" w:after="120"/>
              <w:jc w:val="both"/>
              <w:outlineLvl w:val="0"/>
              <w:rPr>
                <w:rFonts w:ascii="Times New Roman" w:hAnsi="Times New Roman"/>
                <w:bCs/>
                <w:iCs/>
                <w:color w:val="000000" w:themeColor="text1"/>
              </w:rPr>
            </w:pPr>
          </w:p>
        </w:tc>
        <w:tc>
          <w:tcPr>
            <w:tcW w:w="1752" w:type="pct"/>
            <w:gridSpan w:val="3"/>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5F5FEA2D"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
                <w:bCs/>
                <w:iCs/>
                <w:color w:val="000000" w:themeColor="text1"/>
              </w:rPr>
              <w:t>Total</w:t>
            </w:r>
          </w:p>
        </w:tc>
        <w:tc>
          <w:tcPr>
            <w:tcW w:w="1751" w:type="pct"/>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7DA7A174"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
                <w:bCs/>
                <w:iCs/>
                <w:color w:val="000000" w:themeColor="text1"/>
              </w:rPr>
              <w:t>US$7,000,000</w:t>
            </w:r>
          </w:p>
        </w:tc>
      </w:tr>
      <w:tr w:rsidR="00EA6BD3" w:rsidRPr="00EA6BD3" w14:paraId="7F729136" w14:textId="77777777">
        <w:trPr>
          <w:trHeight w:val="380"/>
        </w:trPr>
        <w:tc>
          <w:tcPr>
            <w:tcW w:w="149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C02C07"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
                <w:bCs/>
                <w:iCs/>
                <w:color w:val="000000" w:themeColor="text1"/>
              </w:rPr>
              <w:t xml:space="preserve">Light Sources for Artificial </w:t>
            </w:r>
            <w:r w:rsidRPr="00EA6BD3">
              <w:rPr>
                <w:rFonts w:ascii="Times New Roman" w:hAnsi="Times New Roman"/>
                <w:b/>
                <w:bCs/>
                <w:iCs/>
                <w:color w:val="000000" w:themeColor="text1"/>
              </w:rPr>
              <w:lastRenderedPageBreak/>
              <w:t>Intelligence</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0660213"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Cs/>
                <w:iCs/>
                <w:color w:val="000000" w:themeColor="text1"/>
              </w:rPr>
              <w:lastRenderedPageBreak/>
              <w:t>Development</w:t>
            </w: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14:paraId="746A84B7"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Cs/>
                <w:iCs/>
                <w:color w:val="000000" w:themeColor="text1"/>
              </w:rPr>
              <w:t>Q3 2025</w:t>
            </w:r>
          </w:p>
        </w:tc>
        <w:tc>
          <w:tcPr>
            <w:tcW w:w="1751" w:type="pct"/>
            <w:tcBorders>
              <w:top w:val="nil"/>
              <w:left w:val="nil"/>
              <w:bottom w:val="single" w:sz="8" w:space="0" w:color="auto"/>
              <w:right w:val="single" w:sz="8" w:space="0" w:color="auto"/>
            </w:tcBorders>
            <w:tcMar>
              <w:top w:w="0" w:type="dxa"/>
              <w:left w:w="108" w:type="dxa"/>
              <w:bottom w:w="0" w:type="dxa"/>
              <w:right w:w="108" w:type="dxa"/>
            </w:tcMar>
            <w:hideMark/>
          </w:tcPr>
          <w:p w14:paraId="35725D50"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Cs/>
                <w:iCs/>
                <w:color w:val="000000" w:themeColor="text1"/>
              </w:rPr>
              <w:t>US$2,500,000</w:t>
            </w:r>
          </w:p>
        </w:tc>
      </w:tr>
      <w:tr w:rsidR="00EA6BD3" w:rsidRPr="00EA6BD3" w14:paraId="763708AD" w14:textId="77777777">
        <w:trPr>
          <w:trHeight w:val="380"/>
        </w:trPr>
        <w:tc>
          <w:tcPr>
            <w:tcW w:w="0" w:type="auto"/>
            <w:vMerge/>
            <w:tcBorders>
              <w:top w:val="nil"/>
              <w:left w:val="single" w:sz="8" w:space="0" w:color="auto"/>
              <w:bottom w:val="single" w:sz="8" w:space="0" w:color="auto"/>
              <w:right w:val="single" w:sz="8" w:space="0" w:color="auto"/>
            </w:tcBorders>
            <w:vAlign w:val="center"/>
            <w:hideMark/>
          </w:tcPr>
          <w:p w14:paraId="6939CBEF" w14:textId="77777777" w:rsidR="00EA6BD3" w:rsidRPr="00EA6BD3" w:rsidRDefault="00EA6BD3" w:rsidP="00EA6BD3">
            <w:pPr>
              <w:spacing w:before="120" w:after="120"/>
              <w:jc w:val="both"/>
              <w:outlineLvl w:val="0"/>
              <w:rPr>
                <w:rFonts w:ascii="Times New Roman" w:hAnsi="Times New Roman"/>
                <w:bCs/>
                <w:iCs/>
                <w:color w:val="000000" w:themeColor="text1"/>
              </w:rPr>
            </w:pP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95191D3"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Cs/>
                <w:iCs/>
                <w:color w:val="000000" w:themeColor="text1"/>
              </w:rPr>
              <w:t>Prototype</w:t>
            </w:r>
          </w:p>
        </w:tc>
        <w:tc>
          <w:tcPr>
            <w:tcW w:w="866" w:type="pct"/>
            <w:tcBorders>
              <w:top w:val="nil"/>
              <w:left w:val="nil"/>
              <w:bottom w:val="single" w:sz="8" w:space="0" w:color="auto"/>
              <w:right w:val="single" w:sz="8" w:space="0" w:color="auto"/>
            </w:tcBorders>
            <w:tcMar>
              <w:top w:w="15" w:type="dxa"/>
              <w:left w:w="15" w:type="dxa"/>
              <w:bottom w:w="15" w:type="dxa"/>
              <w:right w:w="15" w:type="dxa"/>
            </w:tcMar>
            <w:hideMark/>
          </w:tcPr>
          <w:p w14:paraId="79542B1C"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Cs/>
                <w:iCs/>
                <w:color w:val="000000" w:themeColor="text1"/>
              </w:rPr>
              <w:t>Q4 2025</w:t>
            </w:r>
          </w:p>
        </w:tc>
        <w:tc>
          <w:tcPr>
            <w:tcW w:w="1751" w:type="pct"/>
            <w:tcBorders>
              <w:top w:val="nil"/>
              <w:left w:val="nil"/>
              <w:bottom w:val="single" w:sz="8" w:space="0" w:color="auto"/>
              <w:right w:val="single" w:sz="8" w:space="0" w:color="auto"/>
            </w:tcBorders>
            <w:tcMar>
              <w:top w:w="0" w:type="dxa"/>
              <w:left w:w="108" w:type="dxa"/>
              <w:bottom w:w="0" w:type="dxa"/>
              <w:right w:w="108" w:type="dxa"/>
            </w:tcMar>
            <w:hideMark/>
          </w:tcPr>
          <w:p w14:paraId="2D06BABF"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Cs/>
                <w:iCs/>
                <w:color w:val="000000" w:themeColor="text1"/>
              </w:rPr>
              <w:t>US$2,000,000</w:t>
            </w:r>
          </w:p>
        </w:tc>
      </w:tr>
      <w:tr w:rsidR="00EA6BD3" w:rsidRPr="00EA6BD3" w14:paraId="78670EE1" w14:textId="77777777">
        <w:trPr>
          <w:trHeight w:val="380"/>
        </w:trPr>
        <w:tc>
          <w:tcPr>
            <w:tcW w:w="0" w:type="auto"/>
            <w:vMerge/>
            <w:tcBorders>
              <w:top w:val="nil"/>
              <w:left w:val="single" w:sz="8" w:space="0" w:color="auto"/>
              <w:bottom w:val="single" w:sz="8" w:space="0" w:color="auto"/>
              <w:right w:val="single" w:sz="8" w:space="0" w:color="auto"/>
            </w:tcBorders>
            <w:vAlign w:val="center"/>
            <w:hideMark/>
          </w:tcPr>
          <w:p w14:paraId="3854C624" w14:textId="77777777" w:rsidR="00EA6BD3" w:rsidRPr="00EA6BD3" w:rsidRDefault="00EA6BD3" w:rsidP="00EA6BD3">
            <w:pPr>
              <w:spacing w:before="120" w:after="120"/>
              <w:jc w:val="both"/>
              <w:outlineLvl w:val="0"/>
              <w:rPr>
                <w:rFonts w:ascii="Times New Roman" w:hAnsi="Times New Roman"/>
                <w:bCs/>
                <w:iCs/>
                <w:color w:val="000000" w:themeColor="text1"/>
              </w:rPr>
            </w:pP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7421F22"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Cs/>
                <w:iCs/>
                <w:color w:val="000000" w:themeColor="text1"/>
              </w:rPr>
              <w:t>Production</w:t>
            </w:r>
          </w:p>
        </w:tc>
        <w:tc>
          <w:tcPr>
            <w:tcW w:w="866" w:type="pct"/>
            <w:tcBorders>
              <w:top w:val="nil"/>
              <w:left w:val="nil"/>
              <w:bottom w:val="single" w:sz="8" w:space="0" w:color="auto"/>
              <w:right w:val="single" w:sz="8" w:space="0" w:color="auto"/>
            </w:tcBorders>
            <w:tcMar>
              <w:top w:w="15" w:type="dxa"/>
              <w:left w:w="15" w:type="dxa"/>
              <w:bottom w:w="15" w:type="dxa"/>
              <w:right w:w="15" w:type="dxa"/>
            </w:tcMar>
            <w:hideMark/>
          </w:tcPr>
          <w:p w14:paraId="2EB11CD7"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Cs/>
                <w:iCs/>
                <w:color w:val="000000" w:themeColor="text1"/>
              </w:rPr>
              <w:t>Q1 2026</w:t>
            </w:r>
          </w:p>
        </w:tc>
        <w:tc>
          <w:tcPr>
            <w:tcW w:w="1751" w:type="pct"/>
            <w:tcBorders>
              <w:top w:val="nil"/>
              <w:left w:val="nil"/>
              <w:bottom w:val="single" w:sz="8" w:space="0" w:color="auto"/>
              <w:right w:val="single" w:sz="8" w:space="0" w:color="auto"/>
            </w:tcBorders>
            <w:tcMar>
              <w:top w:w="0" w:type="dxa"/>
              <w:left w:w="108" w:type="dxa"/>
              <w:bottom w:w="0" w:type="dxa"/>
              <w:right w:w="108" w:type="dxa"/>
            </w:tcMar>
            <w:hideMark/>
          </w:tcPr>
          <w:p w14:paraId="5BAC3481"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Cs/>
                <w:iCs/>
                <w:color w:val="000000" w:themeColor="text1"/>
              </w:rPr>
              <w:t>US$2,000,000</w:t>
            </w:r>
          </w:p>
        </w:tc>
      </w:tr>
      <w:tr w:rsidR="00EA6BD3" w:rsidRPr="00EA6BD3" w14:paraId="11BC81E0" w14:textId="77777777">
        <w:trPr>
          <w:trHeight w:val="380"/>
        </w:trPr>
        <w:tc>
          <w:tcPr>
            <w:tcW w:w="0" w:type="auto"/>
            <w:vMerge/>
            <w:tcBorders>
              <w:top w:val="nil"/>
              <w:left w:val="single" w:sz="8" w:space="0" w:color="auto"/>
              <w:bottom w:val="single" w:sz="8" w:space="0" w:color="auto"/>
              <w:right w:val="single" w:sz="8" w:space="0" w:color="auto"/>
            </w:tcBorders>
            <w:vAlign w:val="center"/>
            <w:hideMark/>
          </w:tcPr>
          <w:p w14:paraId="24B2BBA9" w14:textId="77777777" w:rsidR="00EA6BD3" w:rsidRPr="00EA6BD3" w:rsidRDefault="00EA6BD3" w:rsidP="00EA6BD3">
            <w:pPr>
              <w:spacing w:before="120" w:after="120"/>
              <w:jc w:val="both"/>
              <w:outlineLvl w:val="0"/>
              <w:rPr>
                <w:rFonts w:ascii="Times New Roman" w:hAnsi="Times New Roman"/>
                <w:bCs/>
                <w:iCs/>
                <w:color w:val="000000" w:themeColor="text1"/>
              </w:rPr>
            </w:pPr>
          </w:p>
        </w:tc>
        <w:tc>
          <w:tcPr>
            <w:tcW w:w="1752" w:type="pct"/>
            <w:gridSpan w:val="3"/>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77D607DA"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
                <w:bCs/>
                <w:iCs/>
                <w:color w:val="000000" w:themeColor="text1"/>
              </w:rPr>
              <w:t>Total</w:t>
            </w:r>
          </w:p>
        </w:tc>
        <w:tc>
          <w:tcPr>
            <w:tcW w:w="1751" w:type="pct"/>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68F81EA5"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
                <w:bCs/>
                <w:iCs/>
                <w:color w:val="000000" w:themeColor="text1"/>
              </w:rPr>
              <w:t>US$6,500,000</w:t>
            </w:r>
          </w:p>
        </w:tc>
      </w:tr>
      <w:tr w:rsidR="00EA6BD3" w:rsidRPr="00EA6BD3" w14:paraId="4B5BCD0E" w14:textId="77777777">
        <w:trPr>
          <w:trHeight w:val="380"/>
        </w:trPr>
        <w:tc>
          <w:tcPr>
            <w:tcW w:w="149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CF315D"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
                <w:bCs/>
                <w:iCs/>
                <w:color w:val="000000" w:themeColor="text1"/>
              </w:rPr>
              <w:t>800G / 1.6T Tx</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2A57F19"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Cs/>
                <w:iCs/>
                <w:color w:val="000000" w:themeColor="text1"/>
              </w:rPr>
              <w:t>Development</w:t>
            </w: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14:paraId="1209B269"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Cs/>
                <w:iCs/>
                <w:color w:val="000000" w:themeColor="text1"/>
              </w:rPr>
              <w:t>Q3 2025</w:t>
            </w:r>
          </w:p>
        </w:tc>
        <w:tc>
          <w:tcPr>
            <w:tcW w:w="1751" w:type="pct"/>
            <w:tcBorders>
              <w:top w:val="nil"/>
              <w:left w:val="nil"/>
              <w:bottom w:val="single" w:sz="8" w:space="0" w:color="auto"/>
              <w:right w:val="single" w:sz="8" w:space="0" w:color="auto"/>
            </w:tcBorders>
            <w:tcMar>
              <w:top w:w="0" w:type="dxa"/>
              <w:left w:w="108" w:type="dxa"/>
              <w:bottom w:w="0" w:type="dxa"/>
              <w:right w:w="108" w:type="dxa"/>
            </w:tcMar>
            <w:hideMark/>
          </w:tcPr>
          <w:p w14:paraId="190E0ED5"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Cs/>
                <w:iCs/>
                <w:color w:val="000000" w:themeColor="text1"/>
              </w:rPr>
              <w:t>US$2,500,000</w:t>
            </w:r>
          </w:p>
        </w:tc>
      </w:tr>
      <w:tr w:rsidR="00EA6BD3" w:rsidRPr="00EA6BD3" w14:paraId="5AF3A2AE" w14:textId="77777777">
        <w:trPr>
          <w:trHeight w:val="380"/>
        </w:trPr>
        <w:tc>
          <w:tcPr>
            <w:tcW w:w="0" w:type="auto"/>
            <w:vMerge/>
            <w:tcBorders>
              <w:top w:val="nil"/>
              <w:left w:val="single" w:sz="8" w:space="0" w:color="auto"/>
              <w:bottom w:val="single" w:sz="8" w:space="0" w:color="auto"/>
              <w:right w:val="single" w:sz="8" w:space="0" w:color="auto"/>
            </w:tcBorders>
            <w:vAlign w:val="center"/>
            <w:hideMark/>
          </w:tcPr>
          <w:p w14:paraId="1BD67D76" w14:textId="77777777" w:rsidR="00EA6BD3" w:rsidRPr="00EA6BD3" w:rsidRDefault="00EA6BD3" w:rsidP="00EA6BD3">
            <w:pPr>
              <w:spacing w:before="120" w:after="120"/>
              <w:jc w:val="both"/>
              <w:outlineLvl w:val="0"/>
              <w:rPr>
                <w:rFonts w:ascii="Times New Roman" w:hAnsi="Times New Roman"/>
                <w:bCs/>
                <w:iCs/>
                <w:color w:val="000000" w:themeColor="text1"/>
              </w:rPr>
            </w:pP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E97D683"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Cs/>
                <w:iCs/>
                <w:color w:val="000000" w:themeColor="text1"/>
              </w:rPr>
              <w:t>Prototypes</w:t>
            </w: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14:paraId="720D0D5E"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Cs/>
                <w:iCs/>
                <w:color w:val="000000" w:themeColor="text1"/>
              </w:rPr>
              <w:t>Q4 2025</w:t>
            </w:r>
          </w:p>
        </w:tc>
        <w:tc>
          <w:tcPr>
            <w:tcW w:w="1751" w:type="pct"/>
            <w:tcBorders>
              <w:top w:val="nil"/>
              <w:left w:val="nil"/>
              <w:bottom w:val="single" w:sz="8" w:space="0" w:color="auto"/>
              <w:right w:val="single" w:sz="8" w:space="0" w:color="auto"/>
            </w:tcBorders>
            <w:tcMar>
              <w:top w:w="0" w:type="dxa"/>
              <w:left w:w="108" w:type="dxa"/>
              <w:bottom w:w="0" w:type="dxa"/>
              <w:right w:w="108" w:type="dxa"/>
            </w:tcMar>
            <w:hideMark/>
          </w:tcPr>
          <w:p w14:paraId="79C6CEAC"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Cs/>
                <w:iCs/>
                <w:color w:val="000000" w:themeColor="text1"/>
              </w:rPr>
              <w:t>US$2,000,000</w:t>
            </w:r>
          </w:p>
        </w:tc>
      </w:tr>
      <w:tr w:rsidR="00EA6BD3" w:rsidRPr="00EA6BD3" w14:paraId="4E2B03D3" w14:textId="77777777">
        <w:trPr>
          <w:trHeight w:val="380"/>
        </w:trPr>
        <w:tc>
          <w:tcPr>
            <w:tcW w:w="0" w:type="auto"/>
            <w:vMerge/>
            <w:tcBorders>
              <w:top w:val="nil"/>
              <w:left w:val="single" w:sz="8" w:space="0" w:color="auto"/>
              <w:bottom w:val="single" w:sz="8" w:space="0" w:color="auto"/>
              <w:right w:val="single" w:sz="8" w:space="0" w:color="auto"/>
            </w:tcBorders>
            <w:vAlign w:val="center"/>
            <w:hideMark/>
          </w:tcPr>
          <w:p w14:paraId="4FB4D356" w14:textId="77777777" w:rsidR="00EA6BD3" w:rsidRPr="00EA6BD3" w:rsidRDefault="00EA6BD3" w:rsidP="00EA6BD3">
            <w:pPr>
              <w:spacing w:before="120" w:after="120"/>
              <w:jc w:val="both"/>
              <w:outlineLvl w:val="0"/>
              <w:rPr>
                <w:rFonts w:ascii="Times New Roman" w:hAnsi="Times New Roman"/>
                <w:bCs/>
                <w:iCs/>
                <w:color w:val="000000" w:themeColor="text1"/>
              </w:rPr>
            </w:pP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71C7A2F"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Cs/>
                <w:iCs/>
                <w:color w:val="000000" w:themeColor="text1"/>
              </w:rPr>
              <w:t>Production</w:t>
            </w: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14:paraId="4A884526"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Cs/>
                <w:iCs/>
                <w:color w:val="000000" w:themeColor="text1"/>
              </w:rPr>
              <w:t>Q1 2026</w:t>
            </w:r>
          </w:p>
        </w:tc>
        <w:tc>
          <w:tcPr>
            <w:tcW w:w="1751" w:type="pct"/>
            <w:tcBorders>
              <w:top w:val="nil"/>
              <w:left w:val="nil"/>
              <w:bottom w:val="single" w:sz="8" w:space="0" w:color="auto"/>
              <w:right w:val="single" w:sz="8" w:space="0" w:color="auto"/>
            </w:tcBorders>
            <w:tcMar>
              <w:top w:w="0" w:type="dxa"/>
              <w:left w:w="108" w:type="dxa"/>
              <w:bottom w:w="0" w:type="dxa"/>
              <w:right w:w="108" w:type="dxa"/>
            </w:tcMar>
            <w:hideMark/>
          </w:tcPr>
          <w:p w14:paraId="68D1A81B"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Cs/>
                <w:iCs/>
                <w:color w:val="000000" w:themeColor="text1"/>
              </w:rPr>
              <w:t>US$1,000,000</w:t>
            </w:r>
          </w:p>
        </w:tc>
      </w:tr>
      <w:tr w:rsidR="00EA6BD3" w:rsidRPr="00EA6BD3" w14:paraId="78B72271" w14:textId="77777777">
        <w:trPr>
          <w:trHeight w:val="380"/>
        </w:trPr>
        <w:tc>
          <w:tcPr>
            <w:tcW w:w="0" w:type="auto"/>
            <w:vMerge/>
            <w:tcBorders>
              <w:top w:val="nil"/>
              <w:left w:val="single" w:sz="8" w:space="0" w:color="auto"/>
              <w:bottom w:val="single" w:sz="8" w:space="0" w:color="auto"/>
              <w:right w:val="single" w:sz="8" w:space="0" w:color="auto"/>
            </w:tcBorders>
            <w:vAlign w:val="center"/>
            <w:hideMark/>
          </w:tcPr>
          <w:p w14:paraId="633EA4B2" w14:textId="77777777" w:rsidR="00EA6BD3" w:rsidRPr="00EA6BD3" w:rsidRDefault="00EA6BD3" w:rsidP="00EA6BD3">
            <w:pPr>
              <w:spacing w:before="120" w:after="120"/>
              <w:jc w:val="both"/>
              <w:outlineLvl w:val="0"/>
              <w:rPr>
                <w:rFonts w:ascii="Times New Roman" w:hAnsi="Times New Roman"/>
                <w:bCs/>
                <w:iCs/>
                <w:color w:val="000000" w:themeColor="text1"/>
              </w:rPr>
            </w:pPr>
          </w:p>
        </w:tc>
        <w:tc>
          <w:tcPr>
            <w:tcW w:w="1752" w:type="pct"/>
            <w:gridSpan w:val="3"/>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754121D8"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
                <w:bCs/>
                <w:iCs/>
                <w:color w:val="000000" w:themeColor="text1"/>
              </w:rPr>
              <w:t>Total</w:t>
            </w:r>
          </w:p>
        </w:tc>
        <w:tc>
          <w:tcPr>
            <w:tcW w:w="1751" w:type="pct"/>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5EBC4BDC"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
                <w:bCs/>
                <w:iCs/>
                <w:color w:val="000000" w:themeColor="text1"/>
              </w:rPr>
              <w:t>US$5,500,000</w:t>
            </w:r>
          </w:p>
        </w:tc>
      </w:tr>
      <w:tr w:rsidR="00EA6BD3" w:rsidRPr="00EA6BD3" w14:paraId="3B8DFBDC" w14:textId="77777777">
        <w:trPr>
          <w:trHeight w:val="380"/>
        </w:trPr>
        <w:tc>
          <w:tcPr>
            <w:tcW w:w="149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B13BFE"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
                <w:bCs/>
                <w:iCs/>
                <w:color w:val="000000" w:themeColor="text1"/>
              </w:rPr>
              <w:t>Malaysia Expansion</w:t>
            </w:r>
          </w:p>
        </w:tc>
        <w:tc>
          <w:tcPr>
            <w:tcW w:w="88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574B53"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Cs/>
                <w:iCs/>
                <w:color w:val="000000" w:themeColor="text1"/>
              </w:rPr>
              <w:t>—</w:t>
            </w: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14:paraId="35F19701"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Cs/>
                <w:iCs/>
                <w:color w:val="000000" w:themeColor="text1"/>
              </w:rPr>
              <w:t>Q3 2025- Q4 2025</w:t>
            </w:r>
          </w:p>
        </w:tc>
        <w:tc>
          <w:tcPr>
            <w:tcW w:w="1751" w:type="pct"/>
            <w:tcBorders>
              <w:top w:val="nil"/>
              <w:left w:val="nil"/>
              <w:bottom w:val="single" w:sz="8" w:space="0" w:color="auto"/>
              <w:right w:val="single" w:sz="8" w:space="0" w:color="auto"/>
            </w:tcBorders>
            <w:tcMar>
              <w:top w:w="0" w:type="dxa"/>
              <w:left w:w="108" w:type="dxa"/>
              <w:bottom w:w="0" w:type="dxa"/>
              <w:right w:w="108" w:type="dxa"/>
            </w:tcMar>
            <w:hideMark/>
          </w:tcPr>
          <w:p w14:paraId="103AD1C4"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Cs/>
                <w:iCs/>
                <w:color w:val="000000" w:themeColor="text1"/>
              </w:rPr>
              <w:t>US$7,000,000</w:t>
            </w:r>
          </w:p>
        </w:tc>
      </w:tr>
      <w:tr w:rsidR="00EA6BD3" w:rsidRPr="00EA6BD3" w14:paraId="2BD625EF" w14:textId="77777777">
        <w:trPr>
          <w:trHeight w:val="380"/>
        </w:trPr>
        <w:tc>
          <w:tcPr>
            <w:tcW w:w="0" w:type="auto"/>
            <w:vMerge/>
            <w:tcBorders>
              <w:top w:val="nil"/>
              <w:left w:val="single" w:sz="8" w:space="0" w:color="auto"/>
              <w:bottom w:val="single" w:sz="8" w:space="0" w:color="auto"/>
              <w:right w:val="single" w:sz="8" w:space="0" w:color="auto"/>
            </w:tcBorders>
            <w:vAlign w:val="center"/>
            <w:hideMark/>
          </w:tcPr>
          <w:p w14:paraId="5103EE7A" w14:textId="77777777" w:rsidR="00EA6BD3" w:rsidRPr="00EA6BD3" w:rsidRDefault="00EA6BD3" w:rsidP="00EA6BD3">
            <w:pPr>
              <w:spacing w:before="120" w:after="120"/>
              <w:jc w:val="both"/>
              <w:outlineLvl w:val="0"/>
              <w:rPr>
                <w:rFonts w:ascii="Times New Roman" w:hAnsi="Times New Roman"/>
                <w:bCs/>
                <w:iCs/>
                <w:color w:val="000000" w:themeColor="text1"/>
              </w:rPr>
            </w:pPr>
          </w:p>
        </w:tc>
        <w:tc>
          <w:tcPr>
            <w:tcW w:w="1752" w:type="pct"/>
            <w:gridSpan w:val="3"/>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1EE0AA12"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
                <w:bCs/>
                <w:iCs/>
                <w:color w:val="000000" w:themeColor="text1"/>
              </w:rPr>
              <w:t>Total</w:t>
            </w:r>
          </w:p>
        </w:tc>
        <w:tc>
          <w:tcPr>
            <w:tcW w:w="1751" w:type="pct"/>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2BE92FA9"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
                <w:bCs/>
                <w:iCs/>
                <w:color w:val="000000" w:themeColor="text1"/>
              </w:rPr>
              <w:t>US$7,000,000</w:t>
            </w:r>
          </w:p>
        </w:tc>
      </w:tr>
      <w:tr w:rsidR="00EA6BD3" w:rsidRPr="00EA6BD3" w14:paraId="6A73C063" w14:textId="77777777">
        <w:trPr>
          <w:trHeight w:val="380"/>
        </w:trPr>
        <w:tc>
          <w:tcPr>
            <w:tcW w:w="149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7A1CDD" w14:textId="77777777" w:rsidR="00EA6BD3" w:rsidRPr="00EA6BD3" w:rsidRDefault="00EA6BD3" w:rsidP="00EA6BD3">
            <w:pPr>
              <w:spacing w:before="120" w:after="120"/>
              <w:jc w:val="both"/>
              <w:outlineLvl w:val="0"/>
              <w:rPr>
                <w:rFonts w:ascii="Times New Roman" w:hAnsi="Times New Roman"/>
                <w:b/>
                <w:bCs/>
                <w:iCs/>
                <w:color w:val="000000" w:themeColor="text1"/>
              </w:rPr>
            </w:pPr>
            <w:r w:rsidRPr="00EA6BD3">
              <w:rPr>
                <w:rFonts w:ascii="Times New Roman" w:hAnsi="Times New Roman"/>
                <w:b/>
                <w:bCs/>
                <w:iCs/>
                <w:color w:val="000000" w:themeColor="text1"/>
              </w:rPr>
              <w:t>Corporate Development</w:t>
            </w:r>
          </w:p>
        </w:tc>
        <w:tc>
          <w:tcPr>
            <w:tcW w:w="864" w:type="pct"/>
            <w:tcBorders>
              <w:top w:val="nil"/>
              <w:left w:val="nil"/>
              <w:bottom w:val="single" w:sz="8" w:space="0" w:color="auto"/>
              <w:right w:val="single" w:sz="4" w:space="0" w:color="auto"/>
            </w:tcBorders>
            <w:tcMar>
              <w:top w:w="0" w:type="dxa"/>
              <w:left w:w="108" w:type="dxa"/>
              <w:bottom w:w="0" w:type="dxa"/>
              <w:right w:w="108" w:type="dxa"/>
            </w:tcMar>
            <w:hideMark/>
          </w:tcPr>
          <w:p w14:paraId="54B2185C" w14:textId="77777777" w:rsidR="00EA6BD3" w:rsidRPr="00EA6BD3" w:rsidRDefault="00EA6BD3" w:rsidP="00EA6BD3">
            <w:pPr>
              <w:spacing w:before="120" w:after="120"/>
              <w:jc w:val="both"/>
              <w:outlineLvl w:val="0"/>
              <w:rPr>
                <w:rFonts w:ascii="Times New Roman" w:hAnsi="Times New Roman"/>
                <w:b/>
                <w:bCs/>
                <w:iCs/>
                <w:color w:val="000000" w:themeColor="text1"/>
              </w:rPr>
            </w:pPr>
            <w:r w:rsidRPr="00EA6BD3">
              <w:rPr>
                <w:rFonts w:ascii="Times New Roman" w:hAnsi="Times New Roman"/>
                <w:b/>
                <w:bCs/>
                <w:iCs/>
                <w:color w:val="000000" w:themeColor="text1"/>
              </w:rPr>
              <w:t>—</w:t>
            </w:r>
          </w:p>
        </w:tc>
        <w:tc>
          <w:tcPr>
            <w:tcW w:w="888" w:type="pct"/>
            <w:gridSpan w:val="2"/>
            <w:tcBorders>
              <w:top w:val="single" w:sz="4" w:space="0" w:color="auto"/>
              <w:left w:val="single" w:sz="4" w:space="0" w:color="auto"/>
              <w:bottom w:val="single" w:sz="4" w:space="0" w:color="auto"/>
              <w:right w:val="single" w:sz="4" w:space="0" w:color="auto"/>
            </w:tcBorders>
            <w:vAlign w:val="center"/>
            <w:hideMark/>
          </w:tcPr>
          <w:p w14:paraId="4F5D659A"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Cs/>
                <w:iCs/>
                <w:color w:val="000000" w:themeColor="text1"/>
              </w:rPr>
              <w:t>Q1 2026 – Q4 2026</w:t>
            </w:r>
          </w:p>
        </w:tc>
        <w:tc>
          <w:tcPr>
            <w:tcW w:w="1751" w:type="pct"/>
            <w:tcBorders>
              <w:top w:val="single" w:sz="4" w:space="0" w:color="auto"/>
              <w:left w:val="single" w:sz="4" w:space="0" w:color="auto"/>
              <w:bottom w:val="single" w:sz="4" w:space="0" w:color="auto"/>
              <w:right w:val="single" w:sz="4" w:space="0" w:color="auto"/>
            </w:tcBorders>
            <w:vAlign w:val="center"/>
            <w:hideMark/>
          </w:tcPr>
          <w:p w14:paraId="4D0F992A"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Cs/>
                <w:iCs/>
                <w:color w:val="000000" w:themeColor="text1"/>
              </w:rPr>
              <w:t>US$10,000,000</w:t>
            </w:r>
          </w:p>
        </w:tc>
      </w:tr>
      <w:tr w:rsidR="00EA6BD3" w:rsidRPr="00EA6BD3" w14:paraId="6D18D6F9" w14:textId="77777777">
        <w:trPr>
          <w:trHeight w:val="380"/>
        </w:trPr>
        <w:tc>
          <w:tcPr>
            <w:tcW w:w="0" w:type="auto"/>
            <w:vMerge/>
            <w:tcBorders>
              <w:top w:val="nil"/>
              <w:left w:val="single" w:sz="8" w:space="0" w:color="auto"/>
              <w:bottom w:val="single" w:sz="8" w:space="0" w:color="auto"/>
              <w:right w:val="single" w:sz="8" w:space="0" w:color="auto"/>
            </w:tcBorders>
            <w:vAlign w:val="center"/>
            <w:hideMark/>
          </w:tcPr>
          <w:p w14:paraId="75A897E3" w14:textId="77777777" w:rsidR="00EA6BD3" w:rsidRPr="00EA6BD3" w:rsidRDefault="00EA6BD3" w:rsidP="00EA6BD3">
            <w:pPr>
              <w:spacing w:before="120" w:after="120"/>
              <w:jc w:val="both"/>
              <w:outlineLvl w:val="0"/>
              <w:rPr>
                <w:rFonts w:ascii="Times New Roman" w:hAnsi="Times New Roman"/>
                <w:b/>
                <w:bCs/>
                <w:iCs/>
                <w:color w:val="000000" w:themeColor="text1"/>
              </w:rPr>
            </w:pPr>
          </w:p>
        </w:tc>
        <w:tc>
          <w:tcPr>
            <w:tcW w:w="1752" w:type="pct"/>
            <w:gridSpan w:val="3"/>
            <w:tcBorders>
              <w:top w:val="single" w:sz="4" w:space="0" w:color="auto"/>
              <w:left w:val="single" w:sz="8" w:space="0" w:color="auto"/>
              <w:bottom w:val="single" w:sz="8" w:space="0" w:color="auto"/>
              <w:right w:val="single" w:sz="8" w:space="0" w:color="auto"/>
            </w:tcBorders>
            <w:shd w:val="clear" w:color="auto" w:fill="EAF1DD"/>
            <w:hideMark/>
          </w:tcPr>
          <w:p w14:paraId="5FD7DE51" w14:textId="77777777" w:rsidR="00EA6BD3" w:rsidRPr="00EA6BD3" w:rsidRDefault="00EA6BD3" w:rsidP="00EA6BD3">
            <w:pPr>
              <w:spacing w:before="120" w:after="120"/>
              <w:jc w:val="both"/>
              <w:outlineLvl w:val="0"/>
              <w:rPr>
                <w:rFonts w:ascii="Times New Roman" w:hAnsi="Times New Roman"/>
                <w:b/>
                <w:bCs/>
                <w:iCs/>
                <w:color w:val="000000" w:themeColor="text1"/>
              </w:rPr>
            </w:pPr>
            <w:r w:rsidRPr="00EA6BD3">
              <w:rPr>
                <w:rFonts w:ascii="Times New Roman" w:hAnsi="Times New Roman"/>
                <w:b/>
                <w:bCs/>
                <w:iCs/>
                <w:color w:val="000000" w:themeColor="text1"/>
              </w:rPr>
              <w:t xml:space="preserve"> Total</w:t>
            </w:r>
          </w:p>
        </w:tc>
        <w:tc>
          <w:tcPr>
            <w:tcW w:w="1751" w:type="pct"/>
            <w:tcBorders>
              <w:top w:val="single" w:sz="4" w:space="0" w:color="auto"/>
              <w:left w:val="nil"/>
              <w:bottom w:val="single" w:sz="8" w:space="0" w:color="auto"/>
              <w:right w:val="single" w:sz="8" w:space="0" w:color="auto"/>
            </w:tcBorders>
            <w:shd w:val="clear" w:color="auto" w:fill="EAF1DD"/>
            <w:tcMar>
              <w:top w:w="0" w:type="dxa"/>
              <w:left w:w="108" w:type="dxa"/>
              <w:bottom w:w="0" w:type="dxa"/>
              <w:right w:w="108" w:type="dxa"/>
            </w:tcMar>
            <w:hideMark/>
          </w:tcPr>
          <w:p w14:paraId="7778B731" w14:textId="77777777" w:rsidR="00EA6BD3" w:rsidRPr="00EA6BD3" w:rsidRDefault="00EA6BD3" w:rsidP="00EA6BD3">
            <w:pPr>
              <w:spacing w:before="120" w:after="120"/>
              <w:jc w:val="both"/>
              <w:outlineLvl w:val="0"/>
              <w:rPr>
                <w:rFonts w:ascii="Times New Roman" w:hAnsi="Times New Roman"/>
                <w:b/>
                <w:bCs/>
                <w:iCs/>
                <w:color w:val="000000" w:themeColor="text1"/>
              </w:rPr>
            </w:pPr>
            <w:r w:rsidRPr="00EA6BD3">
              <w:rPr>
                <w:rFonts w:ascii="Times New Roman" w:hAnsi="Times New Roman"/>
                <w:b/>
                <w:bCs/>
                <w:iCs/>
                <w:color w:val="000000" w:themeColor="text1"/>
              </w:rPr>
              <w:t>US$10,000,000</w:t>
            </w:r>
          </w:p>
        </w:tc>
      </w:tr>
      <w:tr w:rsidR="00EA6BD3" w:rsidRPr="00EA6BD3" w14:paraId="01249D51" w14:textId="77777777">
        <w:trPr>
          <w:trHeight w:val="380"/>
        </w:trPr>
        <w:tc>
          <w:tcPr>
            <w:tcW w:w="3249" w:type="pct"/>
            <w:gridSpan w:val="4"/>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6CFBF82E"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
                <w:bCs/>
                <w:iCs/>
                <w:color w:val="000000" w:themeColor="text1"/>
              </w:rPr>
              <w:t>Total Research &amp; Development, Malaysia Expansion and Corporate Development</w:t>
            </w:r>
          </w:p>
        </w:tc>
        <w:tc>
          <w:tcPr>
            <w:tcW w:w="1751" w:type="pct"/>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196CE1F1" w14:textId="77777777" w:rsidR="00EA6BD3" w:rsidRPr="00EA6BD3" w:rsidRDefault="00EA6BD3" w:rsidP="00EA6BD3">
            <w:pPr>
              <w:spacing w:before="120" w:after="120"/>
              <w:jc w:val="both"/>
              <w:outlineLvl w:val="0"/>
              <w:rPr>
                <w:rFonts w:ascii="Times New Roman" w:hAnsi="Times New Roman"/>
                <w:bCs/>
                <w:iCs/>
                <w:color w:val="000000" w:themeColor="text1"/>
              </w:rPr>
            </w:pPr>
            <w:r w:rsidRPr="00EA6BD3">
              <w:rPr>
                <w:rFonts w:ascii="Times New Roman" w:hAnsi="Times New Roman"/>
                <w:b/>
                <w:bCs/>
                <w:iCs/>
                <w:color w:val="000000" w:themeColor="text1"/>
              </w:rPr>
              <w:t>US$36,000,000</w:t>
            </w:r>
          </w:p>
        </w:tc>
      </w:tr>
    </w:tbl>
    <w:p w14:paraId="11704F26" w14:textId="77777777" w:rsidR="00EA6BD3" w:rsidRDefault="00EA6BD3" w:rsidP="00734703">
      <w:pPr>
        <w:spacing w:before="120" w:after="120"/>
        <w:jc w:val="both"/>
        <w:outlineLvl w:val="0"/>
        <w:rPr>
          <w:rFonts w:ascii="Times New Roman" w:hAnsi="Times New Roman"/>
          <w:bCs/>
          <w:iCs/>
          <w:color w:val="000000" w:themeColor="text1"/>
        </w:rPr>
      </w:pPr>
    </w:p>
    <w:p w14:paraId="5BF09134" w14:textId="1965A930" w:rsidR="00734703" w:rsidRPr="00734703" w:rsidRDefault="00734703" w:rsidP="00734703">
      <w:pPr>
        <w:spacing w:before="120" w:after="120"/>
        <w:jc w:val="both"/>
        <w:outlineLvl w:val="0"/>
        <w:rPr>
          <w:rFonts w:ascii="Times New Roman" w:hAnsi="Times New Roman"/>
          <w:bCs/>
          <w:iCs/>
          <w:color w:val="000000" w:themeColor="text1"/>
        </w:rPr>
      </w:pPr>
      <w:r w:rsidRPr="00734703">
        <w:rPr>
          <w:rFonts w:ascii="Times New Roman" w:hAnsi="Times New Roman"/>
          <w:bCs/>
          <w:iCs/>
          <w:color w:val="000000" w:themeColor="text1"/>
        </w:rPr>
        <w:t xml:space="preserve">Readers are cautioned that the above represents the opinions, assumptions and estimates of management considered reasonable at the date the statements are </w:t>
      </w:r>
      <w:r w:rsidR="00C00DAC" w:rsidRPr="00734703">
        <w:rPr>
          <w:rFonts w:ascii="Times New Roman" w:hAnsi="Times New Roman"/>
          <w:bCs/>
          <w:iCs/>
          <w:color w:val="000000" w:themeColor="text1"/>
        </w:rPr>
        <w:t>made and</w:t>
      </w:r>
      <w:r w:rsidRPr="00734703">
        <w:rPr>
          <w:rFonts w:ascii="Times New Roman" w:hAnsi="Times New Roman"/>
          <w:bCs/>
          <w:iCs/>
          <w:color w:val="000000" w:themeColor="text1"/>
        </w:rPr>
        <w:t xml:space="preserve"> are inherently subject to a variety of risks and uncertainties and other known and unknown factors that could cause actual events, achieved milestones or results and product development to differ materially from those described above.</w:t>
      </w:r>
    </w:p>
    <w:p w14:paraId="2B9BCAA1" w14:textId="0CDFEA22" w:rsidR="00505669" w:rsidRDefault="00505669" w:rsidP="0023210C">
      <w:pPr>
        <w:keepNext/>
        <w:widowControl/>
        <w:tabs>
          <w:tab w:val="left" w:pos="360"/>
          <w:tab w:val="left" w:pos="810"/>
        </w:tabs>
        <w:autoSpaceDE w:val="0"/>
        <w:autoSpaceDN w:val="0"/>
        <w:adjustRightInd w:val="0"/>
        <w:spacing w:after="40"/>
        <w:jc w:val="both"/>
        <w:outlineLvl w:val="0"/>
        <w:rPr>
          <w:rFonts w:ascii="Times New Roman" w:eastAsia="Times New Roman" w:hAnsi="Times New Roman"/>
          <w:b/>
          <w:bCs/>
          <w:i/>
          <w:iCs/>
          <w:color w:val="000000"/>
          <w:sz w:val="24"/>
          <w:szCs w:val="24"/>
        </w:rPr>
      </w:pPr>
      <w:r>
        <w:rPr>
          <w:rFonts w:ascii="Times New Roman" w:eastAsia="Times New Roman" w:hAnsi="Times New Roman"/>
          <w:b/>
          <w:bCs/>
          <w:i/>
          <w:iCs/>
          <w:color w:val="000000"/>
          <w:sz w:val="24"/>
          <w:szCs w:val="24"/>
        </w:rPr>
        <w:t xml:space="preserve">Selected Annual Information </w:t>
      </w:r>
    </w:p>
    <w:p w14:paraId="785BA04A" w14:textId="71C55F9B" w:rsidR="007F6536" w:rsidRPr="007F6536" w:rsidRDefault="007F6536" w:rsidP="007F6536">
      <w:pPr>
        <w:spacing w:before="120" w:after="120"/>
        <w:jc w:val="both"/>
        <w:outlineLvl w:val="0"/>
        <w:rPr>
          <w:rFonts w:ascii="Times New Roman" w:hAnsi="Times New Roman"/>
          <w:bCs/>
          <w:iCs/>
          <w:color w:val="000000" w:themeColor="text1"/>
        </w:rPr>
      </w:pPr>
      <w:r w:rsidRPr="007F6536">
        <w:rPr>
          <w:rFonts w:ascii="Times New Roman" w:hAnsi="Times New Roman"/>
          <w:bCs/>
          <w:iCs/>
          <w:color w:val="000000" w:themeColor="text1"/>
        </w:rPr>
        <w:t>The following financial data has been derived from the Co</w:t>
      </w:r>
      <w:r>
        <w:rPr>
          <w:rFonts w:ascii="Times New Roman" w:hAnsi="Times New Roman"/>
          <w:bCs/>
          <w:iCs/>
          <w:color w:val="000000" w:themeColor="text1"/>
        </w:rPr>
        <w:t>mpany</w:t>
      </w:r>
      <w:r w:rsidR="006E3065">
        <w:rPr>
          <w:rFonts w:ascii="Times New Roman" w:hAnsi="Times New Roman"/>
          <w:bCs/>
          <w:iCs/>
          <w:color w:val="000000" w:themeColor="text1"/>
        </w:rPr>
        <w:t>’</w:t>
      </w:r>
      <w:r w:rsidRPr="007F6536">
        <w:rPr>
          <w:rFonts w:ascii="Times New Roman" w:hAnsi="Times New Roman"/>
          <w:bCs/>
          <w:iCs/>
          <w:color w:val="000000" w:themeColor="text1"/>
        </w:rPr>
        <w:t xml:space="preserve">s audited consolidated financial statements prepared in accordance with IFRS for the years ended </w:t>
      </w:r>
      <w:r w:rsidR="0039167C">
        <w:rPr>
          <w:rFonts w:ascii="Times New Roman" w:hAnsi="Times New Roman"/>
          <w:bCs/>
          <w:iCs/>
          <w:color w:val="000000" w:themeColor="text1"/>
        </w:rPr>
        <w:t xml:space="preserve">December </w:t>
      </w:r>
      <w:r w:rsidR="00C949FC">
        <w:rPr>
          <w:rFonts w:ascii="Times New Roman" w:hAnsi="Times New Roman"/>
          <w:bCs/>
          <w:iCs/>
          <w:color w:val="000000" w:themeColor="text1"/>
        </w:rPr>
        <w:t>31, 202</w:t>
      </w:r>
      <w:r w:rsidR="000E1872">
        <w:rPr>
          <w:rFonts w:ascii="Times New Roman" w:hAnsi="Times New Roman"/>
          <w:bCs/>
          <w:iCs/>
          <w:color w:val="000000" w:themeColor="text1"/>
        </w:rPr>
        <w:t>4</w:t>
      </w:r>
      <w:r w:rsidRPr="007F6536">
        <w:rPr>
          <w:rFonts w:ascii="Times New Roman" w:hAnsi="Times New Roman"/>
          <w:bCs/>
          <w:iCs/>
          <w:color w:val="000000" w:themeColor="text1"/>
        </w:rPr>
        <w:t>, 202</w:t>
      </w:r>
      <w:r w:rsidR="000E1872">
        <w:rPr>
          <w:rFonts w:ascii="Times New Roman" w:hAnsi="Times New Roman"/>
          <w:bCs/>
          <w:iCs/>
          <w:color w:val="000000" w:themeColor="text1"/>
        </w:rPr>
        <w:t>3</w:t>
      </w:r>
      <w:r w:rsidRPr="007F6536">
        <w:rPr>
          <w:rFonts w:ascii="Times New Roman" w:hAnsi="Times New Roman"/>
          <w:bCs/>
          <w:iCs/>
          <w:color w:val="000000" w:themeColor="text1"/>
        </w:rPr>
        <w:t xml:space="preserve"> and 202</w:t>
      </w:r>
      <w:r w:rsidR="000E1872">
        <w:rPr>
          <w:rFonts w:ascii="Times New Roman" w:hAnsi="Times New Roman"/>
          <w:bCs/>
          <w:iCs/>
          <w:color w:val="000000" w:themeColor="text1"/>
        </w:rPr>
        <w:t>2</w:t>
      </w:r>
      <w:r w:rsidRPr="007F6536">
        <w:rPr>
          <w:rFonts w:ascii="Times New Roman" w:hAnsi="Times New Roman"/>
          <w:bCs/>
          <w:iCs/>
          <w:color w:val="000000" w:themeColor="text1"/>
        </w:rPr>
        <w:t xml:space="preserve">: </w:t>
      </w:r>
    </w:p>
    <w:tbl>
      <w:tblPr>
        <w:tblW w:w="5000" w:type="pct"/>
        <w:tblLook w:val="04A0" w:firstRow="1" w:lastRow="0" w:firstColumn="1" w:lastColumn="0" w:noHBand="0" w:noVBand="1"/>
      </w:tblPr>
      <w:tblGrid>
        <w:gridCol w:w="3506"/>
        <w:gridCol w:w="2249"/>
        <w:gridCol w:w="1906"/>
        <w:gridCol w:w="2265"/>
      </w:tblGrid>
      <w:tr w:rsidR="0020318C" w:rsidRPr="007F6536" w14:paraId="0CA0FF62" w14:textId="77777777" w:rsidTr="0020318C">
        <w:trPr>
          <w:trHeight w:val="255"/>
          <w:tblHeader/>
        </w:trPr>
        <w:tc>
          <w:tcPr>
            <w:tcW w:w="1766" w:type="pct"/>
            <w:tcBorders>
              <w:top w:val="single" w:sz="4" w:space="0" w:color="auto"/>
              <w:left w:val="single" w:sz="4" w:space="0" w:color="auto"/>
              <w:bottom w:val="single" w:sz="4" w:space="0" w:color="auto"/>
              <w:right w:val="nil"/>
            </w:tcBorders>
            <w:shd w:val="clear" w:color="auto" w:fill="F2F2F2" w:themeFill="background1" w:themeFillShade="F2"/>
            <w:vAlign w:val="bottom"/>
            <w:hideMark/>
          </w:tcPr>
          <w:p w14:paraId="6E2127B9" w14:textId="77777777" w:rsidR="007F6536" w:rsidRPr="007F6536" w:rsidRDefault="007F6536" w:rsidP="0020318C">
            <w:pPr>
              <w:widowControl/>
              <w:spacing w:before="60" w:after="60" w:line="240" w:lineRule="auto"/>
              <w:rPr>
                <w:rFonts w:ascii="Times New Roman" w:eastAsia="Times New Roman" w:hAnsi="Times New Roman"/>
                <w:b/>
                <w:bCs/>
                <w:i/>
                <w:iCs/>
                <w:color w:val="000000"/>
                <w:sz w:val="20"/>
                <w:szCs w:val="20"/>
                <w:lang w:eastAsia="zh-CN"/>
              </w:rPr>
            </w:pPr>
            <w:r w:rsidRPr="007F6536">
              <w:rPr>
                <w:rFonts w:ascii="Times New Roman" w:eastAsia="Times New Roman" w:hAnsi="Times New Roman"/>
                <w:b/>
                <w:bCs/>
                <w:i/>
                <w:iCs/>
                <w:color w:val="000000"/>
                <w:sz w:val="20"/>
                <w:szCs w:val="20"/>
                <w:lang w:eastAsia="zh-CN"/>
              </w:rPr>
              <w:t> </w:t>
            </w:r>
          </w:p>
        </w:tc>
        <w:tc>
          <w:tcPr>
            <w:tcW w:w="3234" w:type="pct"/>
            <w:gridSpan w:val="3"/>
            <w:tcBorders>
              <w:top w:val="single" w:sz="4" w:space="0" w:color="auto"/>
              <w:left w:val="nil"/>
              <w:bottom w:val="single" w:sz="4" w:space="0" w:color="auto"/>
              <w:right w:val="single" w:sz="4" w:space="0" w:color="000000"/>
            </w:tcBorders>
            <w:shd w:val="clear" w:color="auto" w:fill="F2F2F2" w:themeFill="background1" w:themeFillShade="F2"/>
          </w:tcPr>
          <w:p w14:paraId="08FDD354" w14:textId="77777777" w:rsidR="007F6536" w:rsidRPr="007F6536" w:rsidRDefault="007F6536" w:rsidP="0020318C">
            <w:pPr>
              <w:widowControl/>
              <w:spacing w:before="60" w:after="60" w:line="240" w:lineRule="auto"/>
              <w:jc w:val="center"/>
              <w:rPr>
                <w:rFonts w:ascii="Times New Roman" w:eastAsia="Times New Roman" w:hAnsi="Times New Roman"/>
                <w:b/>
                <w:bCs/>
                <w:color w:val="000000"/>
                <w:sz w:val="20"/>
                <w:szCs w:val="20"/>
                <w:lang w:eastAsia="zh-CN"/>
              </w:rPr>
            </w:pPr>
            <w:r w:rsidRPr="007F6536">
              <w:rPr>
                <w:rFonts w:ascii="Times New Roman" w:eastAsia="Times New Roman" w:hAnsi="Times New Roman"/>
                <w:b/>
                <w:bCs/>
                <w:color w:val="000000"/>
                <w:sz w:val="20"/>
                <w:szCs w:val="20"/>
                <w:lang w:eastAsia="zh-CN"/>
              </w:rPr>
              <w:t xml:space="preserve">Year ended </w:t>
            </w:r>
          </w:p>
        </w:tc>
      </w:tr>
      <w:tr w:rsidR="000E1872" w:rsidRPr="0020318C" w14:paraId="56ABC630" w14:textId="77777777" w:rsidTr="007F2D95">
        <w:trPr>
          <w:trHeight w:val="255"/>
          <w:tblHeader/>
        </w:trPr>
        <w:tc>
          <w:tcPr>
            <w:tcW w:w="1766" w:type="pct"/>
            <w:tcBorders>
              <w:top w:val="nil"/>
              <w:left w:val="single" w:sz="4" w:space="0" w:color="auto"/>
              <w:bottom w:val="single" w:sz="4" w:space="0" w:color="auto"/>
              <w:right w:val="nil"/>
            </w:tcBorders>
            <w:shd w:val="clear" w:color="auto" w:fill="F2F2F2" w:themeFill="background1" w:themeFillShade="F2"/>
            <w:vAlign w:val="bottom"/>
            <w:hideMark/>
          </w:tcPr>
          <w:p w14:paraId="1771F91E" w14:textId="77777777" w:rsidR="000E1872" w:rsidRPr="007F6536" w:rsidRDefault="000E1872" w:rsidP="000E1872">
            <w:pPr>
              <w:widowControl/>
              <w:spacing w:before="60" w:after="60" w:line="240" w:lineRule="auto"/>
              <w:rPr>
                <w:rFonts w:ascii="Times New Roman" w:eastAsia="Times New Roman" w:hAnsi="Times New Roman"/>
                <w:b/>
                <w:bCs/>
                <w:i/>
                <w:iCs/>
                <w:color w:val="000000"/>
                <w:sz w:val="20"/>
                <w:szCs w:val="20"/>
                <w:lang w:eastAsia="zh-CN"/>
              </w:rPr>
            </w:pPr>
          </w:p>
        </w:tc>
        <w:tc>
          <w:tcPr>
            <w:tcW w:w="1133" w:type="pct"/>
            <w:tcBorders>
              <w:top w:val="nil"/>
              <w:left w:val="nil"/>
              <w:bottom w:val="single" w:sz="4" w:space="0" w:color="auto"/>
              <w:right w:val="single" w:sz="4" w:space="0" w:color="auto"/>
            </w:tcBorders>
            <w:shd w:val="clear" w:color="auto" w:fill="F2F2F2" w:themeFill="background1" w:themeFillShade="F2"/>
            <w:vAlign w:val="bottom"/>
            <w:hideMark/>
          </w:tcPr>
          <w:p w14:paraId="0A6EB550" w14:textId="61154272" w:rsidR="000E1872" w:rsidRPr="007F6536" w:rsidRDefault="000E1872" w:rsidP="000E1872">
            <w:pPr>
              <w:widowControl/>
              <w:spacing w:before="60" w:after="60" w:line="240" w:lineRule="auto"/>
              <w:jc w:val="center"/>
              <w:rPr>
                <w:rFonts w:ascii="Times New Roman" w:eastAsia="Times New Roman" w:hAnsi="Times New Roman"/>
                <w:b/>
                <w:bCs/>
                <w:color w:val="000000"/>
                <w:sz w:val="20"/>
                <w:szCs w:val="20"/>
                <w:lang w:eastAsia="zh-CN"/>
              </w:rPr>
            </w:pPr>
            <w:r>
              <w:rPr>
                <w:rFonts w:ascii="Times New Roman" w:eastAsia="Times New Roman" w:hAnsi="Times New Roman"/>
                <w:b/>
                <w:bCs/>
                <w:color w:val="000000"/>
                <w:sz w:val="20"/>
                <w:szCs w:val="20"/>
                <w:lang w:eastAsia="zh-CN"/>
              </w:rPr>
              <w:t>December 31, 2024</w:t>
            </w:r>
          </w:p>
        </w:tc>
        <w:tc>
          <w:tcPr>
            <w:tcW w:w="960" w:type="pct"/>
            <w:tcBorders>
              <w:top w:val="nil"/>
              <w:left w:val="nil"/>
              <w:bottom w:val="single" w:sz="4" w:space="0" w:color="auto"/>
              <w:right w:val="single" w:sz="4" w:space="0" w:color="auto"/>
            </w:tcBorders>
            <w:shd w:val="clear" w:color="auto" w:fill="F2F2F2" w:themeFill="background1" w:themeFillShade="F2"/>
            <w:vAlign w:val="bottom"/>
          </w:tcPr>
          <w:p w14:paraId="542E877E" w14:textId="2F5ED6AC" w:rsidR="000E1872" w:rsidRPr="007F6536" w:rsidRDefault="000E1872" w:rsidP="000E1872">
            <w:pPr>
              <w:widowControl/>
              <w:spacing w:before="60" w:after="60" w:line="240" w:lineRule="auto"/>
              <w:jc w:val="center"/>
              <w:rPr>
                <w:rFonts w:ascii="Times New Roman" w:eastAsia="Times New Roman" w:hAnsi="Times New Roman"/>
                <w:b/>
                <w:bCs/>
                <w:color w:val="000000"/>
                <w:sz w:val="20"/>
                <w:szCs w:val="20"/>
                <w:lang w:eastAsia="zh-CN"/>
              </w:rPr>
            </w:pPr>
            <w:r>
              <w:rPr>
                <w:rFonts w:ascii="Times New Roman" w:eastAsia="Times New Roman" w:hAnsi="Times New Roman"/>
                <w:b/>
                <w:bCs/>
                <w:color w:val="000000"/>
                <w:sz w:val="20"/>
                <w:szCs w:val="20"/>
                <w:lang w:eastAsia="zh-CN"/>
              </w:rPr>
              <w:t>December 31, 2023</w:t>
            </w:r>
          </w:p>
        </w:tc>
        <w:tc>
          <w:tcPr>
            <w:tcW w:w="1141" w:type="pct"/>
            <w:tcBorders>
              <w:top w:val="nil"/>
              <w:left w:val="single" w:sz="4" w:space="0" w:color="auto"/>
              <w:bottom w:val="single" w:sz="4" w:space="0" w:color="auto"/>
              <w:right w:val="single" w:sz="4" w:space="0" w:color="auto"/>
            </w:tcBorders>
            <w:shd w:val="clear" w:color="auto" w:fill="F2F2F2" w:themeFill="background1" w:themeFillShade="F2"/>
            <w:vAlign w:val="bottom"/>
          </w:tcPr>
          <w:p w14:paraId="1810C6EA" w14:textId="2FC0E768" w:rsidR="000E1872" w:rsidRPr="007F6536" w:rsidRDefault="000E1872" w:rsidP="000E1872">
            <w:pPr>
              <w:widowControl/>
              <w:spacing w:before="60" w:after="60" w:line="240" w:lineRule="auto"/>
              <w:jc w:val="center"/>
              <w:rPr>
                <w:rFonts w:ascii="Times New Roman" w:eastAsia="Times New Roman" w:hAnsi="Times New Roman"/>
                <w:b/>
                <w:bCs/>
                <w:color w:val="000000"/>
                <w:sz w:val="20"/>
                <w:szCs w:val="20"/>
                <w:lang w:eastAsia="zh-CN"/>
              </w:rPr>
            </w:pPr>
            <w:r w:rsidRPr="007F6536">
              <w:rPr>
                <w:rFonts w:ascii="Times New Roman" w:eastAsia="Times New Roman" w:hAnsi="Times New Roman"/>
                <w:b/>
                <w:bCs/>
                <w:color w:val="000000"/>
                <w:sz w:val="20"/>
                <w:szCs w:val="20"/>
                <w:lang w:eastAsia="zh-CN"/>
              </w:rPr>
              <w:t>December 31, 2022</w:t>
            </w:r>
          </w:p>
        </w:tc>
      </w:tr>
      <w:tr w:rsidR="000E1872" w:rsidRPr="0020318C" w14:paraId="5E49017E" w14:textId="77777777" w:rsidTr="007F2D95">
        <w:trPr>
          <w:trHeight w:val="240"/>
        </w:trPr>
        <w:tc>
          <w:tcPr>
            <w:tcW w:w="1766" w:type="pct"/>
            <w:tcBorders>
              <w:top w:val="nil"/>
              <w:left w:val="single" w:sz="4" w:space="0" w:color="auto"/>
              <w:bottom w:val="single" w:sz="4" w:space="0" w:color="auto"/>
              <w:right w:val="single" w:sz="4" w:space="0" w:color="auto"/>
            </w:tcBorders>
          </w:tcPr>
          <w:p w14:paraId="205F5ECC" w14:textId="3910FF05" w:rsidR="000E1872" w:rsidRPr="007F6536" w:rsidRDefault="000E1872" w:rsidP="000E1872">
            <w:pPr>
              <w:widowControl/>
              <w:spacing w:before="60" w:after="60" w:line="240" w:lineRule="auto"/>
              <w:rPr>
                <w:rFonts w:ascii="Times New Roman" w:eastAsia="Times New Roman" w:hAnsi="Times New Roman"/>
                <w:color w:val="000000"/>
                <w:sz w:val="20"/>
                <w:szCs w:val="20"/>
                <w:lang w:eastAsia="zh-CN"/>
              </w:rPr>
            </w:pPr>
            <w:r w:rsidRPr="0020318C">
              <w:rPr>
                <w:rFonts w:ascii="Times New Roman" w:eastAsia="Times New Roman" w:hAnsi="Times New Roman"/>
                <w:color w:val="000000"/>
                <w:sz w:val="20"/>
                <w:szCs w:val="20"/>
                <w:lang w:eastAsia="zh-CN"/>
              </w:rPr>
              <w:t xml:space="preserve">Total Revenue </w:t>
            </w:r>
          </w:p>
        </w:tc>
        <w:tc>
          <w:tcPr>
            <w:tcW w:w="1133" w:type="pct"/>
            <w:tcBorders>
              <w:top w:val="nil"/>
              <w:left w:val="nil"/>
              <w:bottom w:val="single" w:sz="4" w:space="0" w:color="auto"/>
              <w:right w:val="single" w:sz="4" w:space="0" w:color="auto"/>
            </w:tcBorders>
            <w:noWrap/>
          </w:tcPr>
          <w:p w14:paraId="05C47002" w14:textId="1380BCF6" w:rsidR="000E1872" w:rsidRPr="007F6536" w:rsidRDefault="000E1872" w:rsidP="000E1872">
            <w:pPr>
              <w:widowControl/>
              <w:spacing w:before="60" w:after="60" w:line="240" w:lineRule="auto"/>
              <w:jc w:val="right"/>
              <w:rPr>
                <w:rFonts w:ascii="Times New Roman" w:eastAsia="Times New Roman" w:hAnsi="Times New Roman"/>
                <w:color w:val="000000"/>
                <w:sz w:val="20"/>
                <w:szCs w:val="20"/>
                <w:lang w:eastAsia="zh-CN"/>
              </w:rPr>
            </w:pPr>
            <w:r w:rsidRPr="0020318C">
              <w:rPr>
                <w:rFonts w:ascii="Times New Roman" w:hAnsi="Times New Roman"/>
                <w:sz w:val="20"/>
              </w:rPr>
              <w:t>$</w:t>
            </w:r>
            <w:r>
              <w:rPr>
                <w:rFonts w:ascii="Times New Roman" w:hAnsi="Times New Roman"/>
                <w:sz w:val="20"/>
              </w:rPr>
              <w:t>41,427</w:t>
            </w:r>
          </w:p>
        </w:tc>
        <w:tc>
          <w:tcPr>
            <w:tcW w:w="960" w:type="pct"/>
            <w:tcBorders>
              <w:top w:val="single" w:sz="4" w:space="0" w:color="auto"/>
              <w:left w:val="nil"/>
              <w:bottom w:val="single" w:sz="4" w:space="0" w:color="auto"/>
              <w:right w:val="single" w:sz="4" w:space="0" w:color="auto"/>
            </w:tcBorders>
          </w:tcPr>
          <w:p w14:paraId="5C09C388" w14:textId="140D5F8D" w:rsidR="000E1872" w:rsidRPr="007F6536" w:rsidRDefault="000E1872" w:rsidP="000E1872">
            <w:pPr>
              <w:widowControl/>
              <w:spacing w:before="60" w:after="60" w:line="240" w:lineRule="auto"/>
              <w:jc w:val="right"/>
              <w:rPr>
                <w:rFonts w:ascii="Times New Roman" w:eastAsia="Times New Roman" w:hAnsi="Times New Roman"/>
                <w:color w:val="000000"/>
                <w:sz w:val="20"/>
                <w:szCs w:val="20"/>
              </w:rPr>
            </w:pPr>
            <w:r w:rsidRPr="0020318C">
              <w:rPr>
                <w:rFonts w:ascii="Times New Roman" w:hAnsi="Times New Roman"/>
                <w:sz w:val="20"/>
              </w:rPr>
              <w:t>$</w:t>
            </w:r>
            <w:r>
              <w:rPr>
                <w:rFonts w:ascii="Times New Roman" w:hAnsi="Times New Roman"/>
                <w:sz w:val="20"/>
              </w:rPr>
              <w:t>465,777</w:t>
            </w:r>
          </w:p>
        </w:tc>
        <w:tc>
          <w:tcPr>
            <w:tcW w:w="1141" w:type="pct"/>
            <w:tcBorders>
              <w:top w:val="nil"/>
              <w:left w:val="single" w:sz="4" w:space="0" w:color="auto"/>
              <w:bottom w:val="single" w:sz="4" w:space="0" w:color="auto"/>
              <w:right w:val="single" w:sz="4" w:space="0" w:color="auto"/>
            </w:tcBorders>
            <w:noWrap/>
          </w:tcPr>
          <w:p w14:paraId="7D9F2B31" w14:textId="6E2180DF" w:rsidR="000E1872" w:rsidRPr="007F6536" w:rsidRDefault="000E1872" w:rsidP="000E1872">
            <w:pPr>
              <w:widowControl/>
              <w:spacing w:before="60" w:after="60" w:line="240" w:lineRule="auto"/>
              <w:jc w:val="right"/>
              <w:rPr>
                <w:rFonts w:ascii="Times New Roman" w:eastAsia="Times New Roman" w:hAnsi="Times New Roman"/>
                <w:color w:val="000000"/>
                <w:sz w:val="20"/>
                <w:szCs w:val="20"/>
                <w:lang w:eastAsia="zh-CN"/>
              </w:rPr>
            </w:pPr>
            <w:r w:rsidRPr="0020318C">
              <w:rPr>
                <w:rFonts w:ascii="Times New Roman" w:eastAsia="Times New Roman" w:hAnsi="Times New Roman"/>
                <w:color w:val="000000"/>
                <w:sz w:val="20"/>
                <w:szCs w:val="20"/>
              </w:rPr>
              <w:t>$552,748</w:t>
            </w:r>
          </w:p>
        </w:tc>
      </w:tr>
      <w:tr w:rsidR="000E1872" w:rsidRPr="0020318C" w14:paraId="7E88CB33" w14:textId="77777777" w:rsidTr="007F2D95">
        <w:trPr>
          <w:trHeight w:val="240"/>
        </w:trPr>
        <w:tc>
          <w:tcPr>
            <w:tcW w:w="1766" w:type="pct"/>
            <w:tcBorders>
              <w:top w:val="nil"/>
              <w:left w:val="single" w:sz="4" w:space="0" w:color="auto"/>
              <w:bottom w:val="single" w:sz="4" w:space="0" w:color="auto"/>
              <w:right w:val="single" w:sz="4" w:space="0" w:color="auto"/>
            </w:tcBorders>
          </w:tcPr>
          <w:p w14:paraId="31CB2101" w14:textId="266137A0" w:rsidR="000E1872" w:rsidRPr="007F6536" w:rsidRDefault="000E1872" w:rsidP="000E1872">
            <w:pPr>
              <w:widowControl/>
              <w:spacing w:before="60" w:after="60" w:line="240" w:lineRule="auto"/>
              <w:rPr>
                <w:rFonts w:ascii="Times New Roman" w:eastAsia="Times New Roman" w:hAnsi="Times New Roman"/>
                <w:color w:val="000000"/>
                <w:sz w:val="20"/>
                <w:szCs w:val="20"/>
                <w:lang w:eastAsia="zh-CN"/>
              </w:rPr>
            </w:pPr>
            <w:r w:rsidRPr="0020318C">
              <w:rPr>
                <w:rFonts w:ascii="Times New Roman" w:eastAsia="Times New Roman" w:hAnsi="Times New Roman"/>
                <w:color w:val="000000"/>
                <w:sz w:val="20"/>
                <w:szCs w:val="20"/>
                <w:lang w:eastAsia="zh-CN"/>
              </w:rPr>
              <w:t>Operating Loss</w:t>
            </w:r>
          </w:p>
        </w:tc>
        <w:tc>
          <w:tcPr>
            <w:tcW w:w="1133" w:type="pct"/>
            <w:tcBorders>
              <w:top w:val="nil"/>
              <w:left w:val="nil"/>
              <w:bottom w:val="single" w:sz="4" w:space="0" w:color="auto"/>
              <w:right w:val="single" w:sz="4" w:space="0" w:color="auto"/>
            </w:tcBorders>
            <w:noWrap/>
          </w:tcPr>
          <w:p w14:paraId="58BE0239" w14:textId="0F26D097" w:rsidR="000E1872" w:rsidRPr="007F6536" w:rsidRDefault="000E1872" w:rsidP="000E1872">
            <w:pPr>
              <w:widowControl/>
              <w:spacing w:before="60" w:after="60" w:line="240" w:lineRule="auto"/>
              <w:jc w:val="right"/>
              <w:rPr>
                <w:rFonts w:ascii="Times New Roman" w:eastAsia="Times New Roman" w:hAnsi="Times New Roman"/>
                <w:color w:val="000000"/>
                <w:sz w:val="20"/>
                <w:szCs w:val="20"/>
                <w:lang w:eastAsia="zh-CN"/>
              </w:rPr>
            </w:pPr>
            <w:r>
              <w:rPr>
                <w:rFonts w:ascii="Times New Roman" w:eastAsia="Times New Roman" w:hAnsi="Times New Roman"/>
                <w:color w:val="000000"/>
                <w:sz w:val="20"/>
                <w:lang w:eastAsia="zh-CN"/>
              </w:rPr>
              <w:t>$30,064,635</w:t>
            </w:r>
          </w:p>
        </w:tc>
        <w:tc>
          <w:tcPr>
            <w:tcW w:w="960" w:type="pct"/>
            <w:tcBorders>
              <w:top w:val="single" w:sz="4" w:space="0" w:color="auto"/>
              <w:left w:val="nil"/>
              <w:bottom w:val="single" w:sz="4" w:space="0" w:color="auto"/>
              <w:right w:val="single" w:sz="4" w:space="0" w:color="auto"/>
            </w:tcBorders>
          </w:tcPr>
          <w:p w14:paraId="0C681CE7" w14:textId="7B32F832" w:rsidR="000E1872" w:rsidRPr="007F6536" w:rsidRDefault="000E1872" w:rsidP="000E1872">
            <w:pPr>
              <w:widowControl/>
              <w:spacing w:before="60" w:after="60" w:line="240" w:lineRule="auto"/>
              <w:jc w:val="right"/>
              <w:rPr>
                <w:rFonts w:ascii="Times New Roman" w:eastAsia="Times New Roman" w:hAnsi="Times New Roman"/>
                <w:color w:val="000000"/>
                <w:sz w:val="20"/>
                <w:szCs w:val="20"/>
              </w:rPr>
            </w:pPr>
            <w:r w:rsidRPr="0020318C">
              <w:rPr>
                <w:rFonts w:ascii="Times New Roman" w:hAnsi="Times New Roman"/>
                <w:sz w:val="20"/>
              </w:rPr>
              <w:t>$</w:t>
            </w:r>
            <w:r>
              <w:rPr>
                <w:rFonts w:ascii="Times New Roman" w:hAnsi="Times New Roman"/>
                <w:sz w:val="20"/>
              </w:rPr>
              <w:t>20,407,308</w:t>
            </w:r>
          </w:p>
        </w:tc>
        <w:tc>
          <w:tcPr>
            <w:tcW w:w="1141" w:type="pct"/>
            <w:tcBorders>
              <w:top w:val="nil"/>
              <w:left w:val="single" w:sz="4" w:space="0" w:color="auto"/>
              <w:bottom w:val="single" w:sz="4" w:space="0" w:color="auto"/>
              <w:right w:val="single" w:sz="4" w:space="0" w:color="auto"/>
            </w:tcBorders>
            <w:noWrap/>
          </w:tcPr>
          <w:p w14:paraId="11297561" w14:textId="11A759E8" w:rsidR="000E1872" w:rsidRPr="007F6536" w:rsidRDefault="000E1872" w:rsidP="000E1872">
            <w:pPr>
              <w:widowControl/>
              <w:spacing w:before="60" w:after="60" w:line="240" w:lineRule="auto"/>
              <w:jc w:val="right"/>
              <w:rPr>
                <w:rFonts w:ascii="Times New Roman" w:eastAsia="Times New Roman" w:hAnsi="Times New Roman"/>
                <w:color w:val="000000"/>
                <w:sz w:val="20"/>
                <w:szCs w:val="20"/>
                <w:lang w:eastAsia="zh-CN"/>
              </w:rPr>
            </w:pPr>
            <w:r w:rsidRPr="0020318C">
              <w:rPr>
                <w:rFonts w:ascii="Times New Roman" w:eastAsia="Times New Roman" w:hAnsi="Times New Roman"/>
                <w:color w:val="000000"/>
                <w:sz w:val="20"/>
                <w:szCs w:val="20"/>
              </w:rPr>
              <w:t>$19,710,226</w:t>
            </w:r>
          </w:p>
        </w:tc>
      </w:tr>
      <w:tr w:rsidR="000E1872" w:rsidRPr="0020318C" w14:paraId="4527A6FD" w14:textId="77777777" w:rsidTr="007F2D95">
        <w:trPr>
          <w:trHeight w:val="270"/>
        </w:trPr>
        <w:tc>
          <w:tcPr>
            <w:tcW w:w="1766" w:type="pct"/>
            <w:tcBorders>
              <w:top w:val="nil"/>
              <w:left w:val="single" w:sz="4" w:space="0" w:color="auto"/>
              <w:bottom w:val="single" w:sz="4" w:space="0" w:color="auto"/>
              <w:right w:val="single" w:sz="4" w:space="0" w:color="auto"/>
            </w:tcBorders>
          </w:tcPr>
          <w:p w14:paraId="60E84FDF" w14:textId="121E17AB" w:rsidR="000E1872" w:rsidRPr="007F6536" w:rsidRDefault="000E1872" w:rsidP="000E1872">
            <w:pPr>
              <w:widowControl/>
              <w:spacing w:before="60" w:after="60" w:line="240" w:lineRule="auto"/>
              <w:rPr>
                <w:rFonts w:ascii="Times New Roman" w:eastAsia="Times New Roman" w:hAnsi="Times New Roman"/>
                <w:color w:val="000000"/>
                <w:sz w:val="20"/>
                <w:szCs w:val="20"/>
                <w:lang w:eastAsia="zh-CN"/>
              </w:rPr>
            </w:pPr>
            <w:r w:rsidRPr="0020318C">
              <w:rPr>
                <w:rFonts w:ascii="Times New Roman" w:eastAsia="Times New Roman" w:hAnsi="Times New Roman"/>
                <w:color w:val="000000"/>
                <w:sz w:val="20"/>
                <w:szCs w:val="20"/>
                <w:lang w:eastAsia="zh-CN"/>
              </w:rPr>
              <w:t xml:space="preserve">Net Loss </w:t>
            </w:r>
          </w:p>
        </w:tc>
        <w:tc>
          <w:tcPr>
            <w:tcW w:w="1133" w:type="pct"/>
            <w:tcBorders>
              <w:top w:val="nil"/>
              <w:left w:val="nil"/>
              <w:bottom w:val="single" w:sz="4" w:space="0" w:color="auto"/>
              <w:right w:val="single" w:sz="4" w:space="0" w:color="auto"/>
            </w:tcBorders>
            <w:noWrap/>
          </w:tcPr>
          <w:p w14:paraId="4B4D1107" w14:textId="37C72AF1" w:rsidR="000E1872" w:rsidRPr="007F6536" w:rsidRDefault="000E1872" w:rsidP="000E1872">
            <w:pPr>
              <w:widowControl/>
              <w:spacing w:before="60" w:after="60" w:line="240" w:lineRule="auto"/>
              <w:jc w:val="right"/>
              <w:rPr>
                <w:rFonts w:ascii="Times New Roman" w:eastAsia="Times New Roman" w:hAnsi="Times New Roman"/>
                <w:color w:val="000000"/>
                <w:sz w:val="20"/>
                <w:szCs w:val="20"/>
                <w:lang w:eastAsia="zh-CN"/>
              </w:rPr>
            </w:pPr>
            <w:r>
              <w:rPr>
                <w:rFonts w:ascii="Times New Roman" w:hAnsi="Times New Roman"/>
                <w:sz w:val="20"/>
              </w:rPr>
              <w:t>$56,695,823</w:t>
            </w:r>
          </w:p>
        </w:tc>
        <w:tc>
          <w:tcPr>
            <w:tcW w:w="960" w:type="pct"/>
            <w:tcBorders>
              <w:top w:val="single" w:sz="4" w:space="0" w:color="auto"/>
              <w:left w:val="nil"/>
              <w:bottom w:val="single" w:sz="4" w:space="0" w:color="auto"/>
              <w:right w:val="single" w:sz="4" w:space="0" w:color="auto"/>
            </w:tcBorders>
          </w:tcPr>
          <w:p w14:paraId="66930C69" w14:textId="5EF8F5EE" w:rsidR="000E1872" w:rsidRPr="007F6536" w:rsidRDefault="000E1872" w:rsidP="000E1872">
            <w:pPr>
              <w:widowControl/>
              <w:spacing w:before="60" w:after="60" w:line="240" w:lineRule="auto"/>
              <w:jc w:val="right"/>
              <w:rPr>
                <w:rFonts w:ascii="Times New Roman" w:eastAsia="Times New Roman" w:hAnsi="Times New Roman"/>
                <w:color w:val="000000"/>
                <w:sz w:val="20"/>
                <w:szCs w:val="20"/>
              </w:rPr>
            </w:pPr>
            <w:r w:rsidRPr="0020318C">
              <w:rPr>
                <w:rFonts w:ascii="Times New Roman" w:hAnsi="Times New Roman"/>
                <w:sz w:val="20"/>
              </w:rPr>
              <w:t>$</w:t>
            </w:r>
            <w:r>
              <w:rPr>
                <w:rFonts w:ascii="Times New Roman" w:hAnsi="Times New Roman"/>
                <w:sz w:val="20"/>
              </w:rPr>
              <w:t>20,267,365</w:t>
            </w:r>
          </w:p>
        </w:tc>
        <w:tc>
          <w:tcPr>
            <w:tcW w:w="1141" w:type="pct"/>
            <w:tcBorders>
              <w:top w:val="nil"/>
              <w:left w:val="single" w:sz="4" w:space="0" w:color="auto"/>
              <w:bottom w:val="single" w:sz="4" w:space="0" w:color="auto"/>
              <w:right w:val="single" w:sz="4" w:space="0" w:color="auto"/>
            </w:tcBorders>
            <w:noWrap/>
          </w:tcPr>
          <w:p w14:paraId="3250144D" w14:textId="59178A08" w:rsidR="000E1872" w:rsidRPr="007F6536" w:rsidRDefault="000E1872" w:rsidP="000E1872">
            <w:pPr>
              <w:widowControl/>
              <w:spacing w:before="60" w:after="60" w:line="240" w:lineRule="auto"/>
              <w:jc w:val="right"/>
              <w:rPr>
                <w:rFonts w:ascii="Times New Roman" w:eastAsia="Times New Roman" w:hAnsi="Times New Roman"/>
                <w:color w:val="000000"/>
                <w:sz w:val="20"/>
                <w:szCs w:val="20"/>
                <w:lang w:eastAsia="zh-CN"/>
              </w:rPr>
            </w:pPr>
            <w:r w:rsidRPr="0020318C">
              <w:rPr>
                <w:rFonts w:ascii="Times New Roman" w:eastAsia="Times New Roman" w:hAnsi="Times New Roman"/>
                <w:color w:val="000000"/>
                <w:sz w:val="20"/>
                <w:szCs w:val="20"/>
              </w:rPr>
              <w:t>$21,036,690</w:t>
            </w:r>
          </w:p>
        </w:tc>
      </w:tr>
      <w:tr w:rsidR="000E1872" w:rsidRPr="0020318C" w14:paraId="454D1078" w14:textId="77777777" w:rsidTr="007F2D95">
        <w:trPr>
          <w:trHeight w:val="233"/>
        </w:trPr>
        <w:tc>
          <w:tcPr>
            <w:tcW w:w="1766" w:type="pct"/>
            <w:tcBorders>
              <w:top w:val="nil"/>
              <w:left w:val="single" w:sz="4" w:space="0" w:color="auto"/>
              <w:bottom w:val="single" w:sz="4" w:space="0" w:color="auto"/>
              <w:right w:val="single" w:sz="4" w:space="0" w:color="auto"/>
            </w:tcBorders>
          </w:tcPr>
          <w:p w14:paraId="1D3E09A9" w14:textId="1CC22756" w:rsidR="000E1872" w:rsidRPr="007F6536" w:rsidRDefault="000E1872" w:rsidP="000E1872">
            <w:pPr>
              <w:widowControl/>
              <w:spacing w:before="60" w:after="60" w:line="240" w:lineRule="auto"/>
              <w:rPr>
                <w:rFonts w:ascii="Times New Roman" w:eastAsia="Times New Roman" w:hAnsi="Times New Roman"/>
                <w:color w:val="000000"/>
                <w:sz w:val="20"/>
                <w:szCs w:val="20"/>
                <w:lang w:eastAsia="zh-CN"/>
              </w:rPr>
            </w:pPr>
            <w:r w:rsidRPr="0020318C">
              <w:rPr>
                <w:rFonts w:ascii="Times New Roman" w:eastAsia="Times New Roman" w:hAnsi="Times New Roman"/>
                <w:color w:val="000000"/>
                <w:sz w:val="20"/>
                <w:szCs w:val="20"/>
                <w:lang w:eastAsia="zh-CN"/>
              </w:rPr>
              <w:t>Net Loss per Share (Basic and Diluted)</w:t>
            </w:r>
          </w:p>
        </w:tc>
        <w:tc>
          <w:tcPr>
            <w:tcW w:w="1133" w:type="pct"/>
            <w:tcBorders>
              <w:top w:val="nil"/>
              <w:left w:val="nil"/>
              <w:bottom w:val="single" w:sz="4" w:space="0" w:color="auto"/>
              <w:right w:val="single" w:sz="4" w:space="0" w:color="auto"/>
            </w:tcBorders>
            <w:noWrap/>
          </w:tcPr>
          <w:p w14:paraId="70055263" w14:textId="6A703FA3" w:rsidR="000E1872" w:rsidRPr="007F6536" w:rsidRDefault="000E1872" w:rsidP="000E1872">
            <w:pPr>
              <w:widowControl/>
              <w:spacing w:before="60" w:after="60" w:line="240" w:lineRule="auto"/>
              <w:jc w:val="right"/>
              <w:rPr>
                <w:rFonts w:ascii="Times New Roman" w:eastAsia="Times New Roman" w:hAnsi="Times New Roman"/>
                <w:color w:val="000000"/>
                <w:sz w:val="20"/>
                <w:szCs w:val="20"/>
                <w:lang w:eastAsia="zh-CN"/>
              </w:rPr>
            </w:pPr>
            <w:r w:rsidRPr="0020318C">
              <w:rPr>
                <w:rFonts w:ascii="Times New Roman" w:hAnsi="Times New Roman"/>
                <w:sz w:val="20"/>
              </w:rPr>
              <w:t>$</w:t>
            </w:r>
            <w:r>
              <w:rPr>
                <w:rFonts w:ascii="Times New Roman" w:hAnsi="Times New Roman"/>
                <w:sz w:val="20"/>
              </w:rPr>
              <w:t>0.94</w:t>
            </w:r>
          </w:p>
        </w:tc>
        <w:tc>
          <w:tcPr>
            <w:tcW w:w="960" w:type="pct"/>
            <w:tcBorders>
              <w:top w:val="single" w:sz="4" w:space="0" w:color="auto"/>
              <w:left w:val="nil"/>
              <w:bottom w:val="single" w:sz="4" w:space="0" w:color="auto"/>
              <w:right w:val="single" w:sz="4" w:space="0" w:color="auto"/>
            </w:tcBorders>
          </w:tcPr>
          <w:p w14:paraId="1736906F" w14:textId="5B7E0C0E" w:rsidR="000E1872" w:rsidRPr="007F6536" w:rsidRDefault="000E1872" w:rsidP="000E1872">
            <w:pPr>
              <w:widowControl/>
              <w:spacing w:before="60" w:after="60" w:line="240" w:lineRule="auto"/>
              <w:jc w:val="right"/>
              <w:rPr>
                <w:rFonts w:ascii="Times New Roman" w:eastAsia="Times New Roman" w:hAnsi="Times New Roman"/>
                <w:color w:val="000000"/>
                <w:sz w:val="20"/>
                <w:szCs w:val="20"/>
              </w:rPr>
            </w:pPr>
            <w:r w:rsidRPr="0020318C">
              <w:rPr>
                <w:rFonts w:ascii="Times New Roman" w:hAnsi="Times New Roman"/>
                <w:sz w:val="20"/>
              </w:rPr>
              <w:t>$</w:t>
            </w:r>
            <w:r>
              <w:rPr>
                <w:rFonts w:ascii="Times New Roman" w:hAnsi="Times New Roman"/>
                <w:sz w:val="20"/>
              </w:rPr>
              <w:t>0.51</w:t>
            </w:r>
          </w:p>
        </w:tc>
        <w:tc>
          <w:tcPr>
            <w:tcW w:w="1141" w:type="pct"/>
            <w:tcBorders>
              <w:top w:val="nil"/>
              <w:left w:val="single" w:sz="4" w:space="0" w:color="auto"/>
              <w:bottom w:val="single" w:sz="4" w:space="0" w:color="auto"/>
              <w:right w:val="single" w:sz="4" w:space="0" w:color="auto"/>
            </w:tcBorders>
            <w:noWrap/>
          </w:tcPr>
          <w:p w14:paraId="234FBE87" w14:textId="52F85E10" w:rsidR="000E1872" w:rsidRPr="007F6536" w:rsidRDefault="000E1872" w:rsidP="000E1872">
            <w:pPr>
              <w:widowControl/>
              <w:spacing w:before="60" w:after="60" w:line="240" w:lineRule="auto"/>
              <w:jc w:val="right"/>
              <w:rPr>
                <w:rFonts w:ascii="Times New Roman" w:eastAsia="Times New Roman" w:hAnsi="Times New Roman"/>
                <w:color w:val="000000"/>
                <w:sz w:val="20"/>
                <w:szCs w:val="20"/>
                <w:lang w:eastAsia="zh-CN"/>
              </w:rPr>
            </w:pPr>
            <w:r w:rsidRPr="0020318C">
              <w:rPr>
                <w:rFonts w:ascii="Times New Roman" w:eastAsia="Times New Roman" w:hAnsi="Times New Roman"/>
                <w:color w:val="000000"/>
                <w:sz w:val="20"/>
                <w:szCs w:val="20"/>
              </w:rPr>
              <w:t>$0.57</w:t>
            </w:r>
          </w:p>
        </w:tc>
      </w:tr>
      <w:tr w:rsidR="000E1872" w:rsidRPr="0020318C" w14:paraId="7D917C3C" w14:textId="77777777" w:rsidTr="007F2D95">
        <w:trPr>
          <w:trHeight w:val="255"/>
        </w:trPr>
        <w:tc>
          <w:tcPr>
            <w:tcW w:w="1766" w:type="pct"/>
            <w:tcBorders>
              <w:top w:val="nil"/>
              <w:left w:val="single" w:sz="4" w:space="0" w:color="auto"/>
              <w:bottom w:val="single" w:sz="4" w:space="0" w:color="auto"/>
              <w:right w:val="single" w:sz="4" w:space="0" w:color="auto"/>
            </w:tcBorders>
          </w:tcPr>
          <w:p w14:paraId="387D93C0" w14:textId="58967665" w:rsidR="000E1872" w:rsidRPr="007F6536" w:rsidRDefault="000E1872" w:rsidP="000E1872">
            <w:pPr>
              <w:widowControl/>
              <w:spacing w:before="60" w:after="60" w:line="240" w:lineRule="auto"/>
              <w:rPr>
                <w:rFonts w:ascii="Times New Roman" w:eastAsia="Times New Roman" w:hAnsi="Times New Roman"/>
                <w:color w:val="000000"/>
                <w:sz w:val="20"/>
                <w:szCs w:val="20"/>
                <w:lang w:eastAsia="zh-CN"/>
              </w:rPr>
            </w:pPr>
            <w:r w:rsidRPr="0020318C">
              <w:rPr>
                <w:rFonts w:ascii="Times New Roman" w:eastAsia="Times New Roman" w:hAnsi="Times New Roman"/>
                <w:color w:val="000000"/>
                <w:sz w:val="20"/>
                <w:szCs w:val="20"/>
                <w:lang w:eastAsia="zh-CN"/>
              </w:rPr>
              <w:t>Total Assets</w:t>
            </w:r>
          </w:p>
        </w:tc>
        <w:tc>
          <w:tcPr>
            <w:tcW w:w="1133" w:type="pct"/>
            <w:tcBorders>
              <w:top w:val="nil"/>
              <w:left w:val="nil"/>
              <w:bottom w:val="single" w:sz="4" w:space="0" w:color="auto"/>
              <w:right w:val="single" w:sz="4" w:space="0" w:color="auto"/>
            </w:tcBorders>
            <w:noWrap/>
          </w:tcPr>
          <w:p w14:paraId="449A0384" w14:textId="3210EB7A" w:rsidR="000E1872" w:rsidRPr="007F6536" w:rsidRDefault="000E1872" w:rsidP="000E1872">
            <w:pPr>
              <w:widowControl/>
              <w:spacing w:before="60" w:after="60" w:line="240" w:lineRule="auto"/>
              <w:jc w:val="right"/>
              <w:rPr>
                <w:rFonts w:ascii="Times New Roman" w:eastAsia="Times New Roman" w:hAnsi="Times New Roman"/>
                <w:color w:val="000000"/>
                <w:sz w:val="20"/>
                <w:szCs w:val="20"/>
                <w:lang w:eastAsia="zh-CN"/>
              </w:rPr>
            </w:pPr>
            <w:r>
              <w:rPr>
                <w:rFonts w:ascii="Times New Roman" w:hAnsi="Times New Roman"/>
                <w:sz w:val="20"/>
              </w:rPr>
              <w:t>$69,652,449</w:t>
            </w:r>
          </w:p>
        </w:tc>
        <w:tc>
          <w:tcPr>
            <w:tcW w:w="960" w:type="pct"/>
            <w:tcBorders>
              <w:top w:val="single" w:sz="4" w:space="0" w:color="auto"/>
              <w:left w:val="nil"/>
              <w:bottom w:val="single" w:sz="4" w:space="0" w:color="auto"/>
              <w:right w:val="single" w:sz="4" w:space="0" w:color="auto"/>
            </w:tcBorders>
          </w:tcPr>
          <w:p w14:paraId="6385C5D4" w14:textId="7FE4F133" w:rsidR="000E1872" w:rsidRPr="007F6536" w:rsidRDefault="000E1872" w:rsidP="000E1872">
            <w:pPr>
              <w:widowControl/>
              <w:spacing w:before="60" w:after="60" w:line="240" w:lineRule="auto"/>
              <w:jc w:val="right"/>
              <w:rPr>
                <w:rFonts w:ascii="Times New Roman" w:eastAsia="Times New Roman" w:hAnsi="Times New Roman"/>
                <w:color w:val="000000"/>
                <w:sz w:val="20"/>
                <w:szCs w:val="20"/>
              </w:rPr>
            </w:pPr>
            <w:r w:rsidRPr="0020318C">
              <w:rPr>
                <w:rFonts w:ascii="Times New Roman" w:hAnsi="Times New Roman"/>
                <w:sz w:val="20"/>
              </w:rPr>
              <w:t>$</w:t>
            </w:r>
            <w:r>
              <w:rPr>
                <w:rFonts w:ascii="Times New Roman" w:hAnsi="Times New Roman"/>
                <w:sz w:val="20"/>
              </w:rPr>
              <w:t>8,777,417</w:t>
            </w:r>
          </w:p>
        </w:tc>
        <w:tc>
          <w:tcPr>
            <w:tcW w:w="1141" w:type="pct"/>
            <w:tcBorders>
              <w:top w:val="nil"/>
              <w:left w:val="single" w:sz="4" w:space="0" w:color="auto"/>
              <w:bottom w:val="single" w:sz="4" w:space="0" w:color="auto"/>
              <w:right w:val="single" w:sz="4" w:space="0" w:color="auto"/>
            </w:tcBorders>
            <w:noWrap/>
          </w:tcPr>
          <w:p w14:paraId="1E033EEB" w14:textId="57158D7A" w:rsidR="000E1872" w:rsidRPr="007F6536" w:rsidRDefault="000E1872" w:rsidP="000E1872">
            <w:pPr>
              <w:widowControl/>
              <w:spacing w:before="60" w:after="60" w:line="240" w:lineRule="auto"/>
              <w:jc w:val="right"/>
              <w:rPr>
                <w:rFonts w:ascii="Times New Roman" w:eastAsia="Times New Roman" w:hAnsi="Times New Roman"/>
                <w:color w:val="000000"/>
                <w:sz w:val="20"/>
                <w:szCs w:val="20"/>
                <w:lang w:eastAsia="zh-CN"/>
              </w:rPr>
            </w:pPr>
            <w:r w:rsidRPr="0020318C">
              <w:rPr>
                <w:rFonts w:ascii="Times New Roman" w:eastAsia="Times New Roman" w:hAnsi="Times New Roman"/>
                <w:color w:val="000000"/>
                <w:sz w:val="20"/>
                <w:szCs w:val="20"/>
              </w:rPr>
              <w:t>$15,390,453</w:t>
            </w:r>
          </w:p>
        </w:tc>
      </w:tr>
      <w:tr w:rsidR="000E1872" w:rsidRPr="0020318C" w14:paraId="703FE679" w14:textId="77777777" w:rsidTr="007F2D95">
        <w:trPr>
          <w:trHeight w:val="255"/>
        </w:trPr>
        <w:tc>
          <w:tcPr>
            <w:tcW w:w="1766" w:type="pct"/>
            <w:tcBorders>
              <w:top w:val="nil"/>
              <w:left w:val="single" w:sz="4" w:space="0" w:color="auto"/>
              <w:bottom w:val="single" w:sz="4" w:space="0" w:color="auto"/>
              <w:right w:val="single" w:sz="4" w:space="0" w:color="auto"/>
            </w:tcBorders>
          </w:tcPr>
          <w:p w14:paraId="5DABBDD9" w14:textId="59EA84F3" w:rsidR="000E1872" w:rsidRPr="002214D7" w:rsidRDefault="000E1872" w:rsidP="000E1872">
            <w:pPr>
              <w:widowControl/>
              <w:spacing w:before="60" w:after="60" w:line="240" w:lineRule="auto"/>
              <w:rPr>
                <w:rFonts w:ascii="Times New Roman" w:eastAsia="Times New Roman" w:hAnsi="Times New Roman"/>
                <w:color w:val="000000"/>
                <w:sz w:val="20"/>
                <w:szCs w:val="20"/>
                <w:lang w:val="fr-FR" w:eastAsia="zh-CN"/>
              </w:rPr>
            </w:pPr>
            <w:r w:rsidRPr="002214D7">
              <w:rPr>
                <w:rFonts w:ascii="Times New Roman" w:eastAsia="Times New Roman" w:hAnsi="Times New Roman"/>
                <w:color w:val="000000"/>
                <w:sz w:val="20"/>
                <w:szCs w:val="20"/>
                <w:lang w:val="fr-FR" w:eastAsia="zh-CN"/>
              </w:rPr>
              <w:t>Total Non-</w:t>
            </w:r>
            <w:r w:rsidR="00675574">
              <w:rPr>
                <w:rFonts w:ascii="Times New Roman" w:eastAsia="Times New Roman" w:hAnsi="Times New Roman"/>
                <w:color w:val="000000"/>
                <w:sz w:val="20"/>
                <w:szCs w:val="20"/>
                <w:lang w:val="fr-FR" w:eastAsia="zh-CN"/>
              </w:rPr>
              <w:t>Cash</w:t>
            </w:r>
            <w:r w:rsidRPr="002214D7">
              <w:rPr>
                <w:rFonts w:ascii="Times New Roman" w:eastAsia="Times New Roman" w:hAnsi="Times New Roman"/>
                <w:color w:val="000000"/>
                <w:sz w:val="20"/>
                <w:szCs w:val="20"/>
                <w:lang w:val="fr-FR" w:eastAsia="zh-CN"/>
              </w:rPr>
              <w:t xml:space="preserve"> Financial </w:t>
            </w:r>
            <w:proofErr w:type="spellStart"/>
            <w:r w:rsidRPr="002214D7">
              <w:rPr>
                <w:rFonts w:ascii="Times New Roman" w:eastAsia="Times New Roman" w:hAnsi="Times New Roman"/>
                <w:color w:val="000000"/>
                <w:sz w:val="20"/>
                <w:szCs w:val="20"/>
                <w:lang w:val="fr-FR" w:eastAsia="zh-CN"/>
              </w:rPr>
              <w:t>Liabilities</w:t>
            </w:r>
            <w:proofErr w:type="spellEnd"/>
          </w:p>
        </w:tc>
        <w:tc>
          <w:tcPr>
            <w:tcW w:w="1133" w:type="pct"/>
            <w:tcBorders>
              <w:top w:val="nil"/>
              <w:left w:val="nil"/>
              <w:bottom w:val="single" w:sz="4" w:space="0" w:color="auto"/>
              <w:right w:val="single" w:sz="4" w:space="0" w:color="auto"/>
            </w:tcBorders>
            <w:noWrap/>
          </w:tcPr>
          <w:p w14:paraId="209F1B14" w14:textId="07A1462C" w:rsidR="000E1872" w:rsidRPr="0020318C" w:rsidRDefault="00675574" w:rsidP="000E1872">
            <w:pPr>
              <w:widowControl/>
              <w:spacing w:before="60" w:after="60" w:line="240" w:lineRule="auto"/>
              <w:jc w:val="right"/>
              <w:rPr>
                <w:rFonts w:ascii="Times New Roman" w:hAnsi="Times New Roman"/>
                <w:sz w:val="20"/>
              </w:rPr>
            </w:pPr>
            <w:r>
              <w:rPr>
                <w:rFonts w:ascii="Times New Roman" w:hAnsi="Times New Roman"/>
                <w:sz w:val="20"/>
              </w:rPr>
              <w:t>35,750,607</w:t>
            </w:r>
            <w:r w:rsidR="000E1872">
              <w:rPr>
                <w:rFonts w:ascii="Times New Roman" w:hAnsi="Times New Roman"/>
                <w:sz w:val="20"/>
              </w:rPr>
              <w:t xml:space="preserve"> </w:t>
            </w:r>
          </w:p>
        </w:tc>
        <w:tc>
          <w:tcPr>
            <w:tcW w:w="960" w:type="pct"/>
            <w:tcBorders>
              <w:top w:val="single" w:sz="4" w:space="0" w:color="auto"/>
              <w:left w:val="nil"/>
              <w:bottom w:val="single" w:sz="4" w:space="0" w:color="auto"/>
              <w:right w:val="single" w:sz="4" w:space="0" w:color="auto"/>
            </w:tcBorders>
          </w:tcPr>
          <w:p w14:paraId="12DEA1AA" w14:textId="510DC958" w:rsidR="000E1872" w:rsidRPr="0020318C" w:rsidRDefault="000E1872" w:rsidP="000E1872">
            <w:pPr>
              <w:widowControl/>
              <w:spacing w:before="60" w:after="60" w:line="240" w:lineRule="auto"/>
              <w:jc w:val="right"/>
              <w:rPr>
                <w:rFonts w:ascii="Times New Roman" w:eastAsia="Times New Roman" w:hAnsi="Times New Roman"/>
                <w:color w:val="000000"/>
                <w:sz w:val="20"/>
                <w:szCs w:val="20"/>
              </w:rPr>
            </w:pPr>
            <w:r>
              <w:rPr>
                <w:rFonts w:ascii="Times New Roman" w:hAnsi="Times New Roman"/>
                <w:sz w:val="20"/>
              </w:rPr>
              <w:t xml:space="preserve">$ </w:t>
            </w:r>
            <w:r w:rsidR="00675574">
              <w:rPr>
                <w:rFonts w:ascii="Times New Roman" w:hAnsi="Times New Roman"/>
                <w:sz w:val="20"/>
              </w:rPr>
              <w:t>1,002,264</w:t>
            </w:r>
          </w:p>
        </w:tc>
        <w:tc>
          <w:tcPr>
            <w:tcW w:w="1141" w:type="pct"/>
            <w:tcBorders>
              <w:top w:val="nil"/>
              <w:left w:val="single" w:sz="4" w:space="0" w:color="auto"/>
              <w:bottom w:val="single" w:sz="4" w:space="0" w:color="auto"/>
              <w:right w:val="single" w:sz="4" w:space="0" w:color="auto"/>
            </w:tcBorders>
            <w:noWrap/>
          </w:tcPr>
          <w:p w14:paraId="01ECB09B" w14:textId="12E5A960" w:rsidR="000E1872" w:rsidRPr="0020318C" w:rsidRDefault="000E1872" w:rsidP="000E1872">
            <w:pPr>
              <w:widowControl/>
              <w:spacing w:before="60" w:after="60" w:line="240" w:lineRule="auto"/>
              <w:jc w:val="right"/>
              <w:rPr>
                <w:rFonts w:ascii="Times New Roman" w:eastAsia="Times New Roman" w:hAnsi="Times New Roman"/>
                <w:color w:val="000000"/>
                <w:sz w:val="20"/>
                <w:szCs w:val="20"/>
                <w:lang w:eastAsia="zh-CN"/>
              </w:rPr>
            </w:pPr>
            <w:r>
              <w:rPr>
                <w:rFonts w:ascii="Times New Roman" w:eastAsia="Times New Roman" w:hAnsi="Times New Roman"/>
                <w:color w:val="000000"/>
                <w:sz w:val="20"/>
                <w:szCs w:val="20"/>
              </w:rPr>
              <w:t xml:space="preserve">$ - </w:t>
            </w:r>
          </w:p>
        </w:tc>
      </w:tr>
      <w:tr w:rsidR="000E1872" w:rsidRPr="0020318C" w14:paraId="3BAF2416" w14:textId="77777777" w:rsidTr="007F2D95">
        <w:trPr>
          <w:trHeight w:val="270"/>
        </w:trPr>
        <w:tc>
          <w:tcPr>
            <w:tcW w:w="1766" w:type="pct"/>
            <w:tcBorders>
              <w:top w:val="single" w:sz="4" w:space="0" w:color="auto"/>
              <w:left w:val="single" w:sz="4" w:space="0" w:color="auto"/>
              <w:bottom w:val="single" w:sz="4" w:space="0" w:color="auto"/>
              <w:right w:val="single" w:sz="4" w:space="0" w:color="auto"/>
            </w:tcBorders>
          </w:tcPr>
          <w:p w14:paraId="5157F2D8" w14:textId="5251BD35" w:rsidR="000E1872" w:rsidRPr="007F6536" w:rsidRDefault="000E1872" w:rsidP="000E1872">
            <w:pPr>
              <w:widowControl/>
              <w:spacing w:before="60" w:after="60" w:line="240" w:lineRule="auto"/>
              <w:rPr>
                <w:rFonts w:ascii="Times New Roman" w:eastAsia="Times New Roman" w:hAnsi="Times New Roman"/>
                <w:color w:val="000000"/>
                <w:sz w:val="20"/>
                <w:szCs w:val="20"/>
                <w:lang w:eastAsia="zh-CN"/>
              </w:rPr>
            </w:pPr>
            <w:r w:rsidRPr="0020318C">
              <w:rPr>
                <w:rFonts w:ascii="Times New Roman" w:eastAsia="Times New Roman" w:hAnsi="Times New Roman"/>
                <w:color w:val="000000"/>
                <w:sz w:val="20"/>
                <w:szCs w:val="20"/>
                <w:lang w:eastAsia="zh-CN"/>
              </w:rPr>
              <w:lastRenderedPageBreak/>
              <w:t>Total Liabilities</w:t>
            </w:r>
          </w:p>
        </w:tc>
        <w:tc>
          <w:tcPr>
            <w:tcW w:w="1133" w:type="pct"/>
            <w:tcBorders>
              <w:top w:val="single" w:sz="4" w:space="0" w:color="auto"/>
              <w:left w:val="nil"/>
              <w:bottom w:val="single" w:sz="4" w:space="0" w:color="auto"/>
              <w:right w:val="single" w:sz="4" w:space="0" w:color="auto"/>
            </w:tcBorders>
            <w:noWrap/>
          </w:tcPr>
          <w:p w14:paraId="360C3BC9" w14:textId="347DFBA0" w:rsidR="000E1872" w:rsidRPr="007F6536" w:rsidRDefault="004E78F0" w:rsidP="000E1872">
            <w:pPr>
              <w:widowControl/>
              <w:spacing w:before="60" w:after="60" w:line="240" w:lineRule="auto"/>
              <w:jc w:val="right"/>
              <w:rPr>
                <w:rFonts w:ascii="Times New Roman" w:eastAsia="Times New Roman" w:hAnsi="Times New Roman"/>
                <w:color w:val="000000"/>
                <w:sz w:val="20"/>
                <w:szCs w:val="20"/>
                <w:lang w:eastAsia="zh-CN"/>
              </w:rPr>
            </w:pPr>
            <w:r>
              <w:rPr>
                <w:rFonts w:ascii="Times New Roman" w:hAnsi="Times New Roman"/>
                <w:sz w:val="20"/>
              </w:rPr>
              <w:t>$48,963,562</w:t>
            </w:r>
          </w:p>
        </w:tc>
        <w:tc>
          <w:tcPr>
            <w:tcW w:w="960" w:type="pct"/>
            <w:tcBorders>
              <w:top w:val="single" w:sz="4" w:space="0" w:color="auto"/>
              <w:left w:val="nil"/>
              <w:bottom w:val="single" w:sz="4" w:space="0" w:color="auto"/>
              <w:right w:val="single" w:sz="4" w:space="0" w:color="auto"/>
            </w:tcBorders>
          </w:tcPr>
          <w:p w14:paraId="0E5E5667" w14:textId="513D823C" w:rsidR="000E1872" w:rsidRPr="007F6536" w:rsidRDefault="000E1872" w:rsidP="000E1872">
            <w:pPr>
              <w:widowControl/>
              <w:spacing w:before="60" w:after="60" w:line="240" w:lineRule="auto"/>
              <w:jc w:val="right"/>
              <w:rPr>
                <w:rFonts w:ascii="Times New Roman" w:eastAsia="Times New Roman" w:hAnsi="Times New Roman"/>
                <w:color w:val="000000"/>
                <w:sz w:val="20"/>
                <w:szCs w:val="20"/>
              </w:rPr>
            </w:pPr>
            <w:r w:rsidRPr="0020318C">
              <w:rPr>
                <w:rFonts w:ascii="Times New Roman" w:hAnsi="Times New Roman"/>
                <w:sz w:val="20"/>
              </w:rPr>
              <w:t>$</w:t>
            </w:r>
            <w:r>
              <w:rPr>
                <w:rFonts w:ascii="Times New Roman" w:hAnsi="Times New Roman"/>
                <w:sz w:val="20"/>
              </w:rPr>
              <w:t>3,846,001</w:t>
            </w:r>
          </w:p>
        </w:tc>
        <w:tc>
          <w:tcPr>
            <w:tcW w:w="1141" w:type="pct"/>
            <w:tcBorders>
              <w:top w:val="single" w:sz="4" w:space="0" w:color="auto"/>
              <w:left w:val="single" w:sz="4" w:space="0" w:color="auto"/>
              <w:bottom w:val="single" w:sz="4" w:space="0" w:color="auto"/>
              <w:right w:val="single" w:sz="4" w:space="0" w:color="auto"/>
            </w:tcBorders>
            <w:noWrap/>
          </w:tcPr>
          <w:p w14:paraId="542572BA" w14:textId="7793579A" w:rsidR="000E1872" w:rsidRPr="007F6536" w:rsidRDefault="000E1872" w:rsidP="000E1872">
            <w:pPr>
              <w:widowControl/>
              <w:spacing w:before="60" w:after="60" w:line="240" w:lineRule="auto"/>
              <w:jc w:val="right"/>
              <w:rPr>
                <w:rFonts w:ascii="Times New Roman" w:eastAsia="Times New Roman" w:hAnsi="Times New Roman"/>
                <w:color w:val="000000"/>
                <w:sz w:val="20"/>
                <w:szCs w:val="20"/>
                <w:lang w:eastAsia="zh-CN"/>
              </w:rPr>
            </w:pPr>
            <w:r w:rsidRPr="0020318C">
              <w:rPr>
                <w:rFonts w:ascii="Times New Roman" w:eastAsia="Times New Roman" w:hAnsi="Times New Roman"/>
                <w:color w:val="000000"/>
                <w:sz w:val="20"/>
                <w:szCs w:val="20"/>
              </w:rPr>
              <w:t>$3,945,40</w:t>
            </w:r>
            <w:r>
              <w:rPr>
                <w:rFonts w:ascii="Times New Roman" w:eastAsia="Times New Roman" w:hAnsi="Times New Roman"/>
                <w:color w:val="000000"/>
                <w:sz w:val="20"/>
                <w:szCs w:val="20"/>
              </w:rPr>
              <w:t>5</w:t>
            </w:r>
          </w:p>
        </w:tc>
      </w:tr>
    </w:tbl>
    <w:p w14:paraId="10FB82F4" w14:textId="68554DEF" w:rsidR="00921634" w:rsidRPr="00B17679" w:rsidRDefault="004928E7" w:rsidP="007F6536">
      <w:pPr>
        <w:keepNext/>
        <w:widowControl/>
        <w:tabs>
          <w:tab w:val="left" w:pos="360"/>
          <w:tab w:val="left" w:pos="810"/>
        </w:tabs>
        <w:autoSpaceDE w:val="0"/>
        <w:autoSpaceDN w:val="0"/>
        <w:adjustRightInd w:val="0"/>
        <w:spacing w:before="240" w:after="40"/>
        <w:jc w:val="both"/>
        <w:outlineLvl w:val="0"/>
        <w:rPr>
          <w:rFonts w:ascii="Times New Roman" w:eastAsia="Times New Roman" w:hAnsi="Times New Roman"/>
          <w:b/>
          <w:i/>
          <w:color w:val="000000"/>
          <w:sz w:val="24"/>
          <w:szCs w:val="24"/>
        </w:rPr>
      </w:pPr>
      <w:r w:rsidRPr="00B17679">
        <w:rPr>
          <w:rFonts w:ascii="Times New Roman" w:eastAsia="Times New Roman" w:hAnsi="Times New Roman"/>
          <w:b/>
          <w:bCs/>
          <w:i/>
          <w:iCs/>
          <w:color w:val="000000"/>
          <w:sz w:val="24"/>
          <w:szCs w:val="24"/>
        </w:rPr>
        <w:t>Summary</w:t>
      </w:r>
      <w:r w:rsidRPr="00B17679">
        <w:rPr>
          <w:rFonts w:ascii="Times New Roman" w:eastAsia="Times New Roman" w:hAnsi="Times New Roman"/>
          <w:b/>
          <w:i/>
          <w:color w:val="000000"/>
          <w:sz w:val="24"/>
          <w:szCs w:val="24"/>
        </w:rPr>
        <w:t xml:space="preserve"> of Quarterly Results</w:t>
      </w:r>
    </w:p>
    <w:p w14:paraId="1BDB79A0" w14:textId="77777777" w:rsidR="00682A99" w:rsidRDefault="004928E7" w:rsidP="0023210C">
      <w:pPr>
        <w:widowControl/>
        <w:spacing w:after="80"/>
        <w:jc w:val="both"/>
        <w:rPr>
          <w:rFonts w:ascii="Times New Roman" w:hAnsi="Times New Roman"/>
          <w:color w:val="000000" w:themeColor="text1"/>
        </w:rPr>
      </w:pPr>
      <w:r w:rsidRPr="009140DE">
        <w:rPr>
          <w:rFonts w:ascii="Times New Roman" w:hAnsi="Times New Roman"/>
          <w:color w:val="000000" w:themeColor="text1"/>
        </w:rPr>
        <w:t xml:space="preserve">Following are the highlights of financial data of the Company for the most recently completed eight </w:t>
      </w:r>
      <w:r w:rsidR="00EE4046" w:rsidRPr="009140DE">
        <w:rPr>
          <w:rFonts w:ascii="Times New Roman" w:hAnsi="Times New Roman"/>
          <w:color w:val="000000" w:themeColor="text1"/>
        </w:rPr>
        <w:t>quarters,</w:t>
      </w:r>
      <w:r w:rsidR="00EE4046" w:rsidRPr="00B17679">
        <w:rPr>
          <w:rFonts w:ascii="Times New Roman" w:hAnsi="Times New Roman"/>
          <w:color w:val="404040"/>
        </w:rPr>
        <w:t xml:space="preserve"> </w:t>
      </w:r>
      <w:r w:rsidR="00EE4046" w:rsidRPr="009140DE">
        <w:rPr>
          <w:rFonts w:ascii="Times New Roman" w:hAnsi="Times New Roman"/>
          <w:color w:val="000000" w:themeColor="text1"/>
        </w:rPr>
        <w:t>which</w:t>
      </w:r>
      <w:r w:rsidRPr="009140DE">
        <w:rPr>
          <w:rFonts w:ascii="Times New Roman" w:hAnsi="Times New Roman"/>
          <w:color w:val="000000" w:themeColor="text1"/>
        </w:rPr>
        <w:t xml:space="preserve"> have been derived from the Company’s consolidated financial statements prepared in accordance with IFRS:</w:t>
      </w:r>
    </w:p>
    <w:p w14:paraId="21579693" w14:textId="77777777" w:rsidR="002B5A1C" w:rsidRDefault="002B5A1C" w:rsidP="0023210C">
      <w:pPr>
        <w:widowControl/>
        <w:spacing w:after="80"/>
        <w:jc w:val="both"/>
        <w:rPr>
          <w:rFonts w:ascii="Times New Roman" w:hAnsi="Times New Roman"/>
          <w:color w:val="000000" w:themeColor="text1"/>
        </w:rPr>
      </w:pPr>
    </w:p>
    <w:tbl>
      <w:tblPr>
        <w:tblW w:w="10927" w:type="dxa"/>
        <w:tblLook w:val="04A0" w:firstRow="1" w:lastRow="0" w:firstColumn="1" w:lastColumn="0" w:noHBand="0" w:noVBand="1"/>
      </w:tblPr>
      <w:tblGrid>
        <w:gridCol w:w="2357"/>
        <w:gridCol w:w="222"/>
        <w:gridCol w:w="222"/>
        <w:gridCol w:w="1046"/>
        <w:gridCol w:w="1046"/>
        <w:gridCol w:w="1041"/>
        <w:gridCol w:w="1042"/>
        <w:gridCol w:w="1042"/>
        <w:gridCol w:w="961"/>
        <w:gridCol w:w="961"/>
        <w:gridCol w:w="987"/>
      </w:tblGrid>
      <w:tr w:rsidR="003107B5" w:rsidRPr="003107B5" w14:paraId="185AF5AD" w14:textId="77777777" w:rsidTr="003107B5">
        <w:trPr>
          <w:trHeight w:val="272"/>
        </w:trPr>
        <w:tc>
          <w:tcPr>
            <w:tcW w:w="2357" w:type="dxa"/>
            <w:tcBorders>
              <w:top w:val="nil"/>
              <w:left w:val="nil"/>
              <w:bottom w:val="nil"/>
              <w:right w:val="nil"/>
            </w:tcBorders>
            <w:noWrap/>
            <w:vAlign w:val="bottom"/>
            <w:hideMark/>
          </w:tcPr>
          <w:p w14:paraId="1A3BCA1B" w14:textId="77777777" w:rsidR="003107B5" w:rsidRPr="003107B5" w:rsidRDefault="003107B5" w:rsidP="003107B5">
            <w:pPr>
              <w:widowControl/>
              <w:spacing w:after="0" w:line="240" w:lineRule="auto"/>
              <w:rPr>
                <w:rFonts w:eastAsia="Times New Roman" w:cs="Calibri"/>
                <w:color w:val="000000"/>
                <w:sz w:val="16"/>
                <w:szCs w:val="16"/>
                <w:u w:val="single"/>
                <w:lang w:val="en-CA" w:eastAsia="zh-CN"/>
              </w:rPr>
            </w:pPr>
            <w:r w:rsidRPr="003107B5">
              <w:rPr>
                <w:rFonts w:eastAsia="Times New Roman" w:cs="Calibri"/>
                <w:color w:val="000000"/>
                <w:sz w:val="16"/>
                <w:szCs w:val="16"/>
                <w:u w:val="single"/>
                <w:lang w:val="en-CA" w:eastAsia="zh-CN"/>
              </w:rPr>
              <w:t>For the Quarter ended:</w:t>
            </w:r>
          </w:p>
        </w:tc>
        <w:tc>
          <w:tcPr>
            <w:tcW w:w="222" w:type="dxa"/>
            <w:tcBorders>
              <w:top w:val="nil"/>
              <w:left w:val="nil"/>
              <w:bottom w:val="nil"/>
              <w:right w:val="nil"/>
            </w:tcBorders>
            <w:noWrap/>
            <w:vAlign w:val="bottom"/>
            <w:hideMark/>
          </w:tcPr>
          <w:p w14:paraId="02C524F6" w14:textId="77777777" w:rsidR="003107B5" w:rsidRPr="003107B5" w:rsidRDefault="003107B5" w:rsidP="003107B5">
            <w:pPr>
              <w:widowControl/>
              <w:spacing w:after="0" w:line="240" w:lineRule="auto"/>
              <w:rPr>
                <w:rFonts w:eastAsia="Times New Roman" w:cs="Calibri"/>
                <w:color w:val="000000"/>
                <w:sz w:val="16"/>
                <w:szCs w:val="16"/>
                <w:u w:val="single"/>
                <w:lang w:val="en-CA" w:eastAsia="zh-CN"/>
              </w:rPr>
            </w:pPr>
          </w:p>
        </w:tc>
        <w:tc>
          <w:tcPr>
            <w:tcW w:w="222" w:type="dxa"/>
            <w:tcBorders>
              <w:top w:val="nil"/>
              <w:left w:val="nil"/>
              <w:bottom w:val="nil"/>
              <w:right w:val="nil"/>
            </w:tcBorders>
            <w:noWrap/>
            <w:vAlign w:val="bottom"/>
            <w:hideMark/>
          </w:tcPr>
          <w:p w14:paraId="602798DA" w14:textId="77777777" w:rsidR="003107B5" w:rsidRPr="003107B5" w:rsidRDefault="003107B5" w:rsidP="003107B5">
            <w:pPr>
              <w:widowControl/>
              <w:spacing w:after="0" w:line="240" w:lineRule="auto"/>
              <w:rPr>
                <w:rFonts w:ascii="Times New Roman" w:eastAsia="Times New Roman" w:hAnsi="Times New Roman"/>
                <w:sz w:val="20"/>
                <w:szCs w:val="20"/>
                <w:lang w:val="en-CA" w:eastAsia="zh-CN"/>
              </w:rPr>
            </w:pPr>
          </w:p>
        </w:tc>
        <w:tc>
          <w:tcPr>
            <w:tcW w:w="1046" w:type="dxa"/>
            <w:tcBorders>
              <w:top w:val="nil"/>
              <w:left w:val="nil"/>
              <w:bottom w:val="single" w:sz="8" w:space="0" w:color="auto"/>
              <w:right w:val="nil"/>
            </w:tcBorders>
            <w:noWrap/>
            <w:vAlign w:val="bottom"/>
            <w:hideMark/>
          </w:tcPr>
          <w:p w14:paraId="6A1FD8D5"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30-Sep-25</w:t>
            </w:r>
          </w:p>
        </w:tc>
        <w:tc>
          <w:tcPr>
            <w:tcW w:w="1046" w:type="dxa"/>
            <w:tcBorders>
              <w:top w:val="nil"/>
              <w:left w:val="nil"/>
              <w:bottom w:val="single" w:sz="8" w:space="0" w:color="auto"/>
              <w:right w:val="nil"/>
            </w:tcBorders>
            <w:noWrap/>
            <w:vAlign w:val="bottom"/>
            <w:hideMark/>
          </w:tcPr>
          <w:p w14:paraId="62CE5AF6"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30-Jun-25</w:t>
            </w:r>
          </w:p>
        </w:tc>
        <w:tc>
          <w:tcPr>
            <w:tcW w:w="1041" w:type="dxa"/>
            <w:tcBorders>
              <w:top w:val="nil"/>
              <w:left w:val="nil"/>
              <w:bottom w:val="single" w:sz="8" w:space="0" w:color="auto"/>
              <w:right w:val="nil"/>
            </w:tcBorders>
            <w:noWrap/>
            <w:vAlign w:val="bottom"/>
            <w:hideMark/>
          </w:tcPr>
          <w:p w14:paraId="21848BAD"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31-Mar-25</w:t>
            </w:r>
          </w:p>
        </w:tc>
        <w:tc>
          <w:tcPr>
            <w:tcW w:w="1042" w:type="dxa"/>
            <w:tcBorders>
              <w:top w:val="nil"/>
              <w:left w:val="nil"/>
              <w:bottom w:val="single" w:sz="8" w:space="0" w:color="auto"/>
              <w:right w:val="nil"/>
            </w:tcBorders>
            <w:noWrap/>
            <w:vAlign w:val="bottom"/>
            <w:hideMark/>
          </w:tcPr>
          <w:p w14:paraId="74EF2C6F"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31-Dec-24</w:t>
            </w:r>
          </w:p>
        </w:tc>
        <w:tc>
          <w:tcPr>
            <w:tcW w:w="1042" w:type="dxa"/>
            <w:tcBorders>
              <w:top w:val="nil"/>
              <w:left w:val="nil"/>
              <w:bottom w:val="single" w:sz="8" w:space="0" w:color="auto"/>
              <w:right w:val="nil"/>
            </w:tcBorders>
            <w:noWrap/>
            <w:vAlign w:val="bottom"/>
            <w:hideMark/>
          </w:tcPr>
          <w:p w14:paraId="16888E32"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30-Sep-24</w:t>
            </w:r>
          </w:p>
        </w:tc>
        <w:tc>
          <w:tcPr>
            <w:tcW w:w="961" w:type="dxa"/>
            <w:tcBorders>
              <w:top w:val="nil"/>
              <w:left w:val="nil"/>
              <w:bottom w:val="single" w:sz="8" w:space="0" w:color="auto"/>
              <w:right w:val="nil"/>
            </w:tcBorders>
            <w:noWrap/>
            <w:vAlign w:val="bottom"/>
            <w:hideMark/>
          </w:tcPr>
          <w:p w14:paraId="0FC3CEFC"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30-Jun-24</w:t>
            </w:r>
          </w:p>
        </w:tc>
        <w:tc>
          <w:tcPr>
            <w:tcW w:w="961" w:type="dxa"/>
            <w:tcBorders>
              <w:top w:val="nil"/>
              <w:left w:val="nil"/>
              <w:bottom w:val="single" w:sz="8" w:space="0" w:color="auto"/>
              <w:right w:val="nil"/>
            </w:tcBorders>
            <w:noWrap/>
            <w:vAlign w:val="bottom"/>
            <w:hideMark/>
          </w:tcPr>
          <w:p w14:paraId="65E86393"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31-Mar-24</w:t>
            </w:r>
          </w:p>
        </w:tc>
        <w:tc>
          <w:tcPr>
            <w:tcW w:w="987" w:type="dxa"/>
            <w:tcBorders>
              <w:top w:val="nil"/>
              <w:left w:val="nil"/>
              <w:bottom w:val="single" w:sz="8" w:space="0" w:color="auto"/>
              <w:right w:val="nil"/>
            </w:tcBorders>
            <w:noWrap/>
            <w:vAlign w:val="bottom"/>
            <w:hideMark/>
          </w:tcPr>
          <w:p w14:paraId="1F40E9ED"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31-Dec-23</w:t>
            </w:r>
          </w:p>
        </w:tc>
      </w:tr>
      <w:tr w:rsidR="003107B5" w:rsidRPr="003107B5" w14:paraId="0D96CB43" w14:textId="77777777" w:rsidTr="003107B5">
        <w:trPr>
          <w:trHeight w:val="259"/>
        </w:trPr>
        <w:tc>
          <w:tcPr>
            <w:tcW w:w="2357" w:type="dxa"/>
            <w:tcBorders>
              <w:top w:val="nil"/>
              <w:left w:val="nil"/>
              <w:bottom w:val="nil"/>
              <w:right w:val="nil"/>
            </w:tcBorders>
            <w:noWrap/>
            <w:vAlign w:val="bottom"/>
            <w:hideMark/>
          </w:tcPr>
          <w:p w14:paraId="748FB9BF"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p>
        </w:tc>
        <w:tc>
          <w:tcPr>
            <w:tcW w:w="222" w:type="dxa"/>
            <w:tcBorders>
              <w:top w:val="nil"/>
              <w:left w:val="nil"/>
              <w:bottom w:val="nil"/>
              <w:right w:val="nil"/>
            </w:tcBorders>
            <w:noWrap/>
            <w:vAlign w:val="bottom"/>
            <w:hideMark/>
          </w:tcPr>
          <w:p w14:paraId="48D5D4AA" w14:textId="77777777" w:rsidR="003107B5" w:rsidRPr="003107B5" w:rsidRDefault="003107B5" w:rsidP="003107B5">
            <w:pPr>
              <w:widowControl/>
              <w:spacing w:after="0" w:line="240" w:lineRule="auto"/>
              <w:rPr>
                <w:rFonts w:ascii="Times New Roman" w:eastAsia="Times New Roman" w:hAnsi="Times New Roman"/>
                <w:sz w:val="20"/>
                <w:szCs w:val="20"/>
                <w:lang w:val="en-CA" w:eastAsia="zh-CN"/>
              </w:rPr>
            </w:pPr>
          </w:p>
        </w:tc>
        <w:tc>
          <w:tcPr>
            <w:tcW w:w="222" w:type="dxa"/>
            <w:tcBorders>
              <w:top w:val="nil"/>
              <w:left w:val="nil"/>
              <w:bottom w:val="nil"/>
              <w:right w:val="nil"/>
            </w:tcBorders>
            <w:noWrap/>
            <w:vAlign w:val="bottom"/>
            <w:hideMark/>
          </w:tcPr>
          <w:p w14:paraId="4E4C5666" w14:textId="77777777" w:rsidR="003107B5" w:rsidRPr="003107B5" w:rsidRDefault="003107B5" w:rsidP="003107B5">
            <w:pPr>
              <w:widowControl/>
              <w:spacing w:after="0" w:line="240" w:lineRule="auto"/>
              <w:rPr>
                <w:rFonts w:ascii="Times New Roman" w:eastAsia="Times New Roman" w:hAnsi="Times New Roman"/>
                <w:sz w:val="20"/>
                <w:szCs w:val="20"/>
                <w:lang w:val="en-CA" w:eastAsia="zh-CN"/>
              </w:rPr>
            </w:pPr>
          </w:p>
        </w:tc>
        <w:tc>
          <w:tcPr>
            <w:tcW w:w="1046" w:type="dxa"/>
            <w:tcBorders>
              <w:top w:val="nil"/>
              <w:left w:val="nil"/>
              <w:bottom w:val="nil"/>
              <w:right w:val="nil"/>
            </w:tcBorders>
            <w:noWrap/>
            <w:vAlign w:val="bottom"/>
            <w:hideMark/>
          </w:tcPr>
          <w:p w14:paraId="619B5C52" w14:textId="77777777" w:rsidR="003107B5" w:rsidRPr="003107B5" w:rsidRDefault="003107B5" w:rsidP="003107B5">
            <w:pPr>
              <w:widowControl/>
              <w:spacing w:after="0" w:line="240" w:lineRule="auto"/>
              <w:rPr>
                <w:rFonts w:ascii="Times New Roman" w:eastAsia="Times New Roman" w:hAnsi="Times New Roman"/>
                <w:sz w:val="20"/>
                <w:szCs w:val="20"/>
                <w:lang w:val="en-CA" w:eastAsia="zh-CN"/>
              </w:rPr>
            </w:pPr>
          </w:p>
        </w:tc>
        <w:tc>
          <w:tcPr>
            <w:tcW w:w="1046" w:type="dxa"/>
            <w:tcBorders>
              <w:top w:val="nil"/>
              <w:left w:val="nil"/>
              <w:bottom w:val="nil"/>
              <w:right w:val="nil"/>
            </w:tcBorders>
            <w:noWrap/>
            <w:vAlign w:val="bottom"/>
            <w:hideMark/>
          </w:tcPr>
          <w:p w14:paraId="2031AAC1" w14:textId="77777777" w:rsidR="003107B5" w:rsidRPr="003107B5" w:rsidRDefault="003107B5" w:rsidP="003107B5">
            <w:pPr>
              <w:widowControl/>
              <w:spacing w:after="0" w:line="240" w:lineRule="auto"/>
              <w:rPr>
                <w:rFonts w:ascii="Times New Roman" w:eastAsia="Times New Roman" w:hAnsi="Times New Roman"/>
                <w:sz w:val="20"/>
                <w:szCs w:val="20"/>
                <w:lang w:val="en-CA" w:eastAsia="zh-CN"/>
              </w:rPr>
            </w:pPr>
          </w:p>
        </w:tc>
        <w:tc>
          <w:tcPr>
            <w:tcW w:w="1041" w:type="dxa"/>
            <w:tcBorders>
              <w:top w:val="nil"/>
              <w:left w:val="nil"/>
              <w:bottom w:val="nil"/>
              <w:right w:val="nil"/>
            </w:tcBorders>
            <w:noWrap/>
            <w:vAlign w:val="bottom"/>
            <w:hideMark/>
          </w:tcPr>
          <w:p w14:paraId="2C707658" w14:textId="77777777" w:rsidR="003107B5" w:rsidRPr="003107B5" w:rsidRDefault="003107B5" w:rsidP="003107B5">
            <w:pPr>
              <w:widowControl/>
              <w:spacing w:after="0" w:line="240" w:lineRule="auto"/>
              <w:rPr>
                <w:rFonts w:ascii="Times New Roman" w:eastAsia="Times New Roman" w:hAnsi="Times New Roman"/>
                <w:sz w:val="20"/>
                <w:szCs w:val="20"/>
                <w:lang w:val="en-CA" w:eastAsia="zh-CN"/>
              </w:rPr>
            </w:pPr>
          </w:p>
        </w:tc>
        <w:tc>
          <w:tcPr>
            <w:tcW w:w="1042" w:type="dxa"/>
            <w:tcBorders>
              <w:top w:val="nil"/>
              <w:left w:val="nil"/>
              <w:bottom w:val="nil"/>
              <w:right w:val="nil"/>
            </w:tcBorders>
            <w:noWrap/>
            <w:vAlign w:val="bottom"/>
            <w:hideMark/>
          </w:tcPr>
          <w:p w14:paraId="7178EBB4" w14:textId="77777777" w:rsidR="003107B5" w:rsidRPr="003107B5" w:rsidRDefault="003107B5" w:rsidP="003107B5">
            <w:pPr>
              <w:widowControl/>
              <w:spacing w:after="0" w:line="240" w:lineRule="auto"/>
              <w:rPr>
                <w:rFonts w:ascii="Times New Roman" w:eastAsia="Times New Roman" w:hAnsi="Times New Roman"/>
                <w:sz w:val="20"/>
                <w:szCs w:val="20"/>
                <w:lang w:val="en-CA" w:eastAsia="zh-CN"/>
              </w:rPr>
            </w:pPr>
          </w:p>
        </w:tc>
        <w:tc>
          <w:tcPr>
            <w:tcW w:w="1042" w:type="dxa"/>
            <w:tcBorders>
              <w:top w:val="nil"/>
              <w:left w:val="nil"/>
              <w:bottom w:val="nil"/>
              <w:right w:val="nil"/>
            </w:tcBorders>
            <w:noWrap/>
            <w:vAlign w:val="bottom"/>
            <w:hideMark/>
          </w:tcPr>
          <w:p w14:paraId="46F73B25" w14:textId="77777777" w:rsidR="003107B5" w:rsidRPr="003107B5" w:rsidRDefault="003107B5" w:rsidP="003107B5">
            <w:pPr>
              <w:widowControl/>
              <w:spacing w:after="0" w:line="240" w:lineRule="auto"/>
              <w:rPr>
                <w:rFonts w:ascii="Times New Roman" w:eastAsia="Times New Roman" w:hAnsi="Times New Roman"/>
                <w:sz w:val="20"/>
                <w:szCs w:val="20"/>
                <w:lang w:val="en-CA" w:eastAsia="zh-CN"/>
              </w:rPr>
            </w:pPr>
          </w:p>
        </w:tc>
        <w:tc>
          <w:tcPr>
            <w:tcW w:w="961" w:type="dxa"/>
            <w:tcBorders>
              <w:top w:val="nil"/>
              <w:left w:val="nil"/>
              <w:bottom w:val="nil"/>
              <w:right w:val="nil"/>
            </w:tcBorders>
            <w:noWrap/>
            <w:vAlign w:val="bottom"/>
            <w:hideMark/>
          </w:tcPr>
          <w:p w14:paraId="15A4E3DE" w14:textId="77777777" w:rsidR="003107B5" w:rsidRPr="003107B5" w:rsidRDefault="003107B5" w:rsidP="003107B5">
            <w:pPr>
              <w:widowControl/>
              <w:spacing w:after="0" w:line="240" w:lineRule="auto"/>
              <w:rPr>
                <w:rFonts w:ascii="Times New Roman" w:eastAsia="Times New Roman" w:hAnsi="Times New Roman"/>
                <w:sz w:val="20"/>
                <w:szCs w:val="20"/>
                <w:lang w:val="en-CA" w:eastAsia="zh-CN"/>
              </w:rPr>
            </w:pPr>
          </w:p>
        </w:tc>
        <w:tc>
          <w:tcPr>
            <w:tcW w:w="961" w:type="dxa"/>
            <w:tcBorders>
              <w:top w:val="nil"/>
              <w:left w:val="nil"/>
              <w:bottom w:val="nil"/>
              <w:right w:val="nil"/>
            </w:tcBorders>
            <w:noWrap/>
            <w:vAlign w:val="bottom"/>
            <w:hideMark/>
          </w:tcPr>
          <w:p w14:paraId="71C684ED" w14:textId="77777777" w:rsidR="003107B5" w:rsidRPr="003107B5" w:rsidRDefault="003107B5" w:rsidP="003107B5">
            <w:pPr>
              <w:widowControl/>
              <w:spacing w:after="0" w:line="240" w:lineRule="auto"/>
              <w:rPr>
                <w:rFonts w:ascii="Times New Roman" w:eastAsia="Times New Roman" w:hAnsi="Times New Roman"/>
                <w:sz w:val="20"/>
                <w:szCs w:val="20"/>
                <w:lang w:val="en-CA" w:eastAsia="zh-CN"/>
              </w:rPr>
            </w:pPr>
          </w:p>
        </w:tc>
        <w:tc>
          <w:tcPr>
            <w:tcW w:w="987" w:type="dxa"/>
            <w:tcBorders>
              <w:top w:val="nil"/>
              <w:left w:val="nil"/>
              <w:bottom w:val="nil"/>
              <w:right w:val="nil"/>
            </w:tcBorders>
            <w:noWrap/>
            <w:vAlign w:val="bottom"/>
            <w:hideMark/>
          </w:tcPr>
          <w:p w14:paraId="67E66AA9" w14:textId="77777777" w:rsidR="003107B5" w:rsidRPr="003107B5" w:rsidRDefault="003107B5" w:rsidP="003107B5">
            <w:pPr>
              <w:widowControl/>
              <w:spacing w:after="0" w:line="240" w:lineRule="auto"/>
              <w:rPr>
                <w:rFonts w:ascii="Times New Roman" w:eastAsia="Times New Roman" w:hAnsi="Times New Roman"/>
                <w:sz w:val="20"/>
                <w:szCs w:val="20"/>
                <w:lang w:val="en-CA" w:eastAsia="zh-CN"/>
              </w:rPr>
            </w:pPr>
          </w:p>
        </w:tc>
      </w:tr>
      <w:tr w:rsidR="003107B5" w:rsidRPr="003107B5" w14:paraId="156CF0BE" w14:textId="77777777" w:rsidTr="003107B5">
        <w:trPr>
          <w:trHeight w:val="259"/>
        </w:trPr>
        <w:tc>
          <w:tcPr>
            <w:tcW w:w="2357" w:type="dxa"/>
            <w:tcBorders>
              <w:top w:val="nil"/>
              <w:left w:val="nil"/>
              <w:bottom w:val="nil"/>
              <w:right w:val="nil"/>
            </w:tcBorders>
            <w:noWrap/>
            <w:vAlign w:val="bottom"/>
            <w:hideMark/>
          </w:tcPr>
          <w:p w14:paraId="6D007219" w14:textId="77777777" w:rsidR="003107B5" w:rsidRPr="003107B5" w:rsidRDefault="003107B5" w:rsidP="003107B5">
            <w:pPr>
              <w:widowControl/>
              <w:spacing w:after="0" w:line="240" w:lineRule="auto"/>
              <w:rPr>
                <w:rFonts w:ascii="Times New Roman" w:eastAsia="Times New Roman" w:hAnsi="Times New Roman"/>
                <w:sz w:val="20"/>
                <w:szCs w:val="20"/>
                <w:lang w:val="en-CA" w:eastAsia="zh-CN"/>
              </w:rPr>
            </w:pPr>
          </w:p>
        </w:tc>
        <w:tc>
          <w:tcPr>
            <w:tcW w:w="222" w:type="dxa"/>
            <w:tcBorders>
              <w:top w:val="nil"/>
              <w:left w:val="nil"/>
              <w:bottom w:val="nil"/>
              <w:right w:val="nil"/>
            </w:tcBorders>
            <w:noWrap/>
            <w:vAlign w:val="bottom"/>
            <w:hideMark/>
          </w:tcPr>
          <w:p w14:paraId="45262217" w14:textId="77777777" w:rsidR="003107B5" w:rsidRPr="003107B5" w:rsidRDefault="003107B5" w:rsidP="003107B5">
            <w:pPr>
              <w:widowControl/>
              <w:spacing w:after="0" w:line="240" w:lineRule="auto"/>
              <w:rPr>
                <w:rFonts w:ascii="Times New Roman" w:eastAsia="Times New Roman" w:hAnsi="Times New Roman"/>
                <w:sz w:val="20"/>
                <w:szCs w:val="20"/>
                <w:lang w:val="en-CA" w:eastAsia="zh-CN"/>
              </w:rPr>
            </w:pPr>
          </w:p>
        </w:tc>
        <w:tc>
          <w:tcPr>
            <w:tcW w:w="222" w:type="dxa"/>
            <w:tcBorders>
              <w:top w:val="nil"/>
              <w:left w:val="nil"/>
              <w:bottom w:val="nil"/>
              <w:right w:val="nil"/>
            </w:tcBorders>
            <w:noWrap/>
            <w:vAlign w:val="bottom"/>
            <w:hideMark/>
          </w:tcPr>
          <w:p w14:paraId="62F6B3AE" w14:textId="77777777" w:rsidR="003107B5" w:rsidRPr="003107B5" w:rsidRDefault="003107B5" w:rsidP="003107B5">
            <w:pPr>
              <w:widowControl/>
              <w:spacing w:after="0" w:line="240" w:lineRule="auto"/>
              <w:rPr>
                <w:rFonts w:ascii="Times New Roman" w:eastAsia="Times New Roman" w:hAnsi="Times New Roman"/>
                <w:sz w:val="20"/>
                <w:szCs w:val="20"/>
                <w:lang w:val="en-CA" w:eastAsia="zh-CN"/>
              </w:rPr>
            </w:pPr>
          </w:p>
        </w:tc>
        <w:tc>
          <w:tcPr>
            <w:tcW w:w="1046" w:type="dxa"/>
            <w:tcBorders>
              <w:top w:val="nil"/>
              <w:left w:val="nil"/>
              <w:bottom w:val="nil"/>
              <w:right w:val="nil"/>
            </w:tcBorders>
            <w:noWrap/>
            <w:vAlign w:val="bottom"/>
            <w:hideMark/>
          </w:tcPr>
          <w:p w14:paraId="2D58068F" w14:textId="77777777" w:rsidR="003107B5" w:rsidRPr="003107B5" w:rsidRDefault="003107B5" w:rsidP="003107B5">
            <w:pPr>
              <w:widowControl/>
              <w:spacing w:after="0" w:line="240" w:lineRule="auto"/>
              <w:rPr>
                <w:rFonts w:ascii="Times New Roman" w:eastAsia="Times New Roman" w:hAnsi="Times New Roman"/>
                <w:sz w:val="20"/>
                <w:szCs w:val="20"/>
                <w:lang w:val="en-CA" w:eastAsia="zh-CN"/>
              </w:rPr>
            </w:pPr>
          </w:p>
        </w:tc>
        <w:tc>
          <w:tcPr>
            <w:tcW w:w="1046" w:type="dxa"/>
            <w:tcBorders>
              <w:top w:val="nil"/>
              <w:left w:val="nil"/>
              <w:bottom w:val="nil"/>
              <w:right w:val="nil"/>
            </w:tcBorders>
            <w:noWrap/>
            <w:vAlign w:val="bottom"/>
            <w:hideMark/>
          </w:tcPr>
          <w:p w14:paraId="25006874" w14:textId="77777777" w:rsidR="003107B5" w:rsidRPr="003107B5" w:rsidRDefault="003107B5" w:rsidP="003107B5">
            <w:pPr>
              <w:widowControl/>
              <w:spacing w:after="0" w:line="240" w:lineRule="auto"/>
              <w:rPr>
                <w:rFonts w:ascii="Times New Roman" w:eastAsia="Times New Roman" w:hAnsi="Times New Roman"/>
                <w:sz w:val="20"/>
                <w:szCs w:val="20"/>
                <w:lang w:val="en-CA" w:eastAsia="zh-CN"/>
              </w:rPr>
            </w:pPr>
          </w:p>
        </w:tc>
        <w:tc>
          <w:tcPr>
            <w:tcW w:w="1041" w:type="dxa"/>
            <w:tcBorders>
              <w:top w:val="nil"/>
              <w:left w:val="nil"/>
              <w:bottom w:val="nil"/>
              <w:right w:val="nil"/>
            </w:tcBorders>
            <w:noWrap/>
            <w:vAlign w:val="bottom"/>
            <w:hideMark/>
          </w:tcPr>
          <w:p w14:paraId="1BB3EF14" w14:textId="77777777" w:rsidR="003107B5" w:rsidRPr="003107B5" w:rsidRDefault="003107B5" w:rsidP="003107B5">
            <w:pPr>
              <w:widowControl/>
              <w:spacing w:after="0" w:line="240" w:lineRule="auto"/>
              <w:rPr>
                <w:rFonts w:ascii="Times New Roman" w:eastAsia="Times New Roman" w:hAnsi="Times New Roman"/>
                <w:sz w:val="20"/>
                <w:szCs w:val="20"/>
                <w:lang w:val="en-CA" w:eastAsia="zh-CN"/>
              </w:rPr>
            </w:pPr>
          </w:p>
        </w:tc>
        <w:tc>
          <w:tcPr>
            <w:tcW w:w="1042" w:type="dxa"/>
            <w:tcBorders>
              <w:top w:val="nil"/>
              <w:left w:val="nil"/>
              <w:bottom w:val="nil"/>
              <w:right w:val="nil"/>
            </w:tcBorders>
            <w:noWrap/>
            <w:vAlign w:val="bottom"/>
            <w:hideMark/>
          </w:tcPr>
          <w:p w14:paraId="60E789F0" w14:textId="77777777" w:rsidR="003107B5" w:rsidRPr="003107B5" w:rsidRDefault="003107B5" w:rsidP="003107B5">
            <w:pPr>
              <w:widowControl/>
              <w:spacing w:after="0" w:line="240" w:lineRule="auto"/>
              <w:rPr>
                <w:rFonts w:ascii="Times New Roman" w:eastAsia="Times New Roman" w:hAnsi="Times New Roman"/>
                <w:sz w:val="20"/>
                <w:szCs w:val="20"/>
                <w:lang w:val="en-CA" w:eastAsia="zh-CN"/>
              </w:rPr>
            </w:pPr>
          </w:p>
        </w:tc>
        <w:tc>
          <w:tcPr>
            <w:tcW w:w="1042" w:type="dxa"/>
            <w:tcBorders>
              <w:top w:val="nil"/>
              <w:left w:val="nil"/>
              <w:bottom w:val="nil"/>
              <w:right w:val="nil"/>
            </w:tcBorders>
            <w:noWrap/>
            <w:vAlign w:val="bottom"/>
            <w:hideMark/>
          </w:tcPr>
          <w:p w14:paraId="2DA39474" w14:textId="77777777" w:rsidR="003107B5" w:rsidRPr="003107B5" w:rsidRDefault="003107B5" w:rsidP="003107B5">
            <w:pPr>
              <w:widowControl/>
              <w:spacing w:after="0" w:line="240" w:lineRule="auto"/>
              <w:rPr>
                <w:rFonts w:ascii="Times New Roman" w:eastAsia="Times New Roman" w:hAnsi="Times New Roman"/>
                <w:sz w:val="20"/>
                <w:szCs w:val="20"/>
                <w:lang w:val="en-CA" w:eastAsia="zh-CN"/>
              </w:rPr>
            </w:pPr>
          </w:p>
        </w:tc>
        <w:tc>
          <w:tcPr>
            <w:tcW w:w="961" w:type="dxa"/>
            <w:tcBorders>
              <w:top w:val="nil"/>
              <w:left w:val="nil"/>
              <w:bottom w:val="nil"/>
              <w:right w:val="nil"/>
            </w:tcBorders>
            <w:noWrap/>
            <w:vAlign w:val="bottom"/>
            <w:hideMark/>
          </w:tcPr>
          <w:p w14:paraId="7782FEED" w14:textId="77777777" w:rsidR="003107B5" w:rsidRPr="003107B5" w:rsidRDefault="003107B5" w:rsidP="003107B5">
            <w:pPr>
              <w:widowControl/>
              <w:spacing w:after="0" w:line="240" w:lineRule="auto"/>
              <w:rPr>
                <w:rFonts w:ascii="Times New Roman" w:eastAsia="Times New Roman" w:hAnsi="Times New Roman"/>
                <w:sz w:val="20"/>
                <w:szCs w:val="20"/>
                <w:lang w:val="en-CA" w:eastAsia="zh-CN"/>
              </w:rPr>
            </w:pPr>
          </w:p>
        </w:tc>
        <w:tc>
          <w:tcPr>
            <w:tcW w:w="961" w:type="dxa"/>
            <w:tcBorders>
              <w:top w:val="nil"/>
              <w:left w:val="nil"/>
              <w:bottom w:val="nil"/>
              <w:right w:val="nil"/>
            </w:tcBorders>
            <w:noWrap/>
            <w:vAlign w:val="bottom"/>
            <w:hideMark/>
          </w:tcPr>
          <w:p w14:paraId="777AD3AA" w14:textId="77777777" w:rsidR="003107B5" w:rsidRPr="003107B5" w:rsidRDefault="003107B5" w:rsidP="003107B5">
            <w:pPr>
              <w:widowControl/>
              <w:spacing w:after="0" w:line="240" w:lineRule="auto"/>
              <w:rPr>
                <w:rFonts w:ascii="Times New Roman" w:eastAsia="Times New Roman" w:hAnsi="Times New Roman"/>
                <w:sz w:val="20"/>
                <w:szCs w:val="20"/>
                <w:lang w:val="en-CA" w:eastAsia="zh-CN"/>
              </w:rPr>
            </w:pPr>
          </w:p>
        </w:tc>
        <w:tc>
          <w:tcPr>
            <w:tcW w:w="987" w:type="dxa"/>
            <w:tcBorders>
              <w:top w:val="nil"/>
              <w:left w:val="nil"/>
              <w:bottom w:val="nil"/>
              <w:right w:val="nil"/>
            </w:tcBorders>
            <w:noWrap/>
            <w:vAlign w:val="bottom"/>
            <w:hideMark/>
          </w:tcPr>
          <w:p w14:paraId="3E170D7B" w14:textId="77777777" w:rsidR="003107B5" w:rsidRPr="003107B5" w:rsidRDefault="003107B5" w:rsidP="003107B5">
            <w:pPr>
              <w:widowControl/>
              <w:spacing w:after="0" w:line="240" w:lineRule="auto"/>
              <w:rPr>
                <w:rFonts w:ascii="Times New Roman" w:eastAsia="Times New Roman" w:hAnsi="Times New Roman"/>
                <w:sz w:val="20"/>
                <w:szCs w:val="20"/>
                <w:lang w:val="en-CA" w:eastAsia="zh-CN"/>
              </w:rPr>
            </w:pPr>
          </w:p>
        </w:tc>
      </w:tr>
      <w:tr w:rsidR="003107B5" w:rsidRPr="003107B5" w14:paraId="6679A7AD" w14:textId="77777777" w:rsidTr="003107B5">
        <w:trPr>
          <w:trHeight w:val="259"/>
        </w:trPr>
        <w:tc>
          <w:tcPr>
            <w:tcW w:w="2357" w:type="dxa"/>
            <w:tcBorders>
              <w:top w:val="nil"/>
              <w:left w:val="nil"/>
              <w:bottom w:val="nil"/>
              <w:right w:val="nil"/>
            </w:tcBorders>
            <w:noWrap/>
            <w:vAlign w:val="bottom"/>
            <w:hideMark/>
          </w:tcPr>
          <w:p w14:paraId="0F5C6053" w14:textId="77777777" w:rsidR="003107B5" w:rsidRPr="003107B5" w:rsidRDefault="003107B5" w:rsidP="003107B5">
            <w:pPr>
              <w:widowControl/>
              <w:spacing w:after="0" w:line="240" w:lineRule="auto"/>
              <w:rPr>
                <w:rFonts w:eastAsia="Times New Roman" w:cs="Calibri"/>
                <w:color w:val="000000"/>
                <w:sz w:val="16"/>
                <w:szCs w:val="16"/>
                <w:lang w:val="en-CA" w:eastAsia="zh-CN"/>
              </w:rPr>
            </w:pPr>
            <w:r w:rsidRPr="003107B5">
              <w:rPr>
                <w:rFonts w:eastAsia="Times New Roman" w:cs="Calibri"/>
                <w:color w:val="000000"/>
                <w:sz w:val="16"/>
                <w:szCs w:val="16"/>
                <w:lang w:val="en-CA" w:eastAsia="zh-CN"/>
              </w:rPr>
              <w:t>Revenue</w:t>
            </w:r>
          </w:p>
        </w:tc>
        <w:tc>
          <w:tcPr>
            <w:tcW w:w="222" w:type="dxa"/>
            <w:tcBorders>
              <w:top w:val="nil"/>
              <w:left w:val="nil"/>
              <w:bottom w:val="nil"/>
              <w:right w:val="nil"/>
            </w:tcBorders>
            <w:noWrap/>
            <w:vAlign w:val="bottom"/>
            <w:hideMark/>
          </w:tcPr>
          <w:p w14:paraId="65E80593" w14:textId="77777777" w:rsidR="003107B5" w:rsidRPr="003107B5" w:rsidRDefault="003107B5" w:rsidP="003107B5">
            <w:pPr>
              <w:widowControl/>
              <w:spacing w:after="0" w:line="240" w:lineRule="auto"/>
              <w:rPr>
                <w:rFonts w:eastAsia="Times New Roman" w:cs="Calibri"/>
                <w:color w:val="000000"/>
                <w:sz w:val="16"/>
                <w:szCs w:val="16"/>
                <w:lang w:val="en-CA" w:eastAsia="zh-CN"/>
              </w:rPr>
            </w:pPr>
          </w:p>
        </w:tc>
        <w:tc>
          <w:tcPr>
            <w:tcW w:w="222" w:type="dxa"/>
            <w:tcBorders>
              <w:top w:val="nil"/>
              <w:left w:val="nil"/>
              <w:bottom w:val="nil"/>
              <w:right w:val="nil"/>
            </w:tcBorders>
            <w:noWrap/>
            <w:vAlign w:val="bottom"/>
            <w:hideMark/>
          </w:tcPr>
          <w:p w14:paraId="112AC5CD" w14:textId="77777777" w:rsidR="003107B5" w:rsidRPr="003107B5" w:rsidRDefault="003107B5" w:rsidP="003107B5">
            <w:pPr>
              <w:widowControl/>
              <w:spacing w:after="0" w:line="240" w:lineRule="auto"/>
              <w:rPr>
                <w:rFonts w:ascii="Times New Roman" w:eastAsia="Times New Roman" w:hAnsi="Times New Roman"/>
                <w:sz w:val="20"/>
                <w:szCs w:val="20"/>
                <w:lang w:val="en-CA" w:eastAsia="zh-CN"/>
              </w:rPr>
            </w:pPr>
          </w:p>
        </w:tc>
        <w:tc>
          <w:tcPr>
            <w:tcW w:w="1046" w:type="dxa"/>
            <w:tcBorders>
              <w:top w:val="nil"/>
              <w:left w:val="nil"/>
              <w:bottom w:val="nil"/>
              <w:right w:val="nil"/>
            </w:tcBorders>
            <w:noWrap/>
            <w:vAlign w:val="bottom"/>
            <w:hideMark/>
          </w:tcPr>
          <w:p w14:paraId="30F30471"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298,434 </w:t>
            </w:r>
          </w:p>
        </w:tc>
        <w:tc>
          <w:tcPr>
            <w:tcW w:w="1046" w:type="dxa"/>
            <w:tcBorders>
              <w:top w:val="nil"/>
              <w:left w:val="nil"/>
              <w:bottom w:val="nil"/>
              <w:right w:val="nil"/>
            </w:tcBorders>
            <w:noWrap/>
            <w:vAlign w:val="bottom"/>
            <w:hideMark/>
          </w:tcPr>
          <w:p w14:paraId="75FE3B03"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268,469 </w:t>
            </w:r>
          </w:p>
        </w:tc>
        <w:tc>
          <w:tcPr>
            <w:tcW w:w="1041" w:type="dxa"/>
            <w:tcBorders>
              <w:top w:val="nil"/>
              <w:left w:val="nil"/>
              <w:bottom w:val="nil"/>
              <w:right w:val="nil"/>
            </w:tcBorders>
            <w:noWrap/>
            <w:vAlign w:val="bottom"/>
            <w:hideMark/>
          </w:tcPr>
          <w:p w14:paraId="352AEBBC"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166,760 </w:t>
            </w:r>
          </w:p>
        </w:tc>
        <w:tc>
          <w:tcPr>
            <w:tcW w:w="1042" w:type="dxa"/>
            <w:tcBorders>
              <w:top w:val="nil"/>
              <w:left w:val="nil"/>
              <w:bottom w:val="nil"/>
              <w:right w:val="nil"/>
            </w:tcBorders>
            <w:noWrap/>
            <w:vAlign w:val="bottom"/>
            <w:hideMark/>
          </w:tcPr>
          <w:p w14:paraId="4AA258B3"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29,032 </w:t>
            </w:r>
          </w:p>
        </w:tc>
        <w:tc>
          <w:tcPr>
            <w:tcW w:w="1042" w:type="dxa"/>
            <w:tcBorders>
              <w:top w:val="nil"/>
              <w:left w:val="nil"/>
              <w:bottom w:val="nil"/>
              <w:right w:val="nil"/>
            </w:tcBorders>
            <w:noWrap/>
            <w:vAlign w:val="bottom"/>
            <w:hideMark/>
          </w:tcPr>
          <w:p w14:paraId="513196DB"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3,685 </w:t>
            </w:r>
          </w:p>
        </w:tc>
        <w:tc>
          <w:tcPr>
            <w:tcW w:w="961" w:type="dxa"/>
            <w:tcBorders>
              <w:top w:val="nil"/>
              <w:left w:val="nil"/>
              <w:bottom w:val="nil"/>
              <w:right w:val="nil"/>
            </w:tcBorders>
            <w:noWrap/>
            <w:vAlign w:val="bottom"/>
            <w:hideMark/>
          </w:tcPr>
          <w:p w14:paraId="76752280"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   </w:t>
            </w:r>
          </w:p>
        </w:tc>
        <w:tc>
          <w:tcPr>
            <w:tcW w:w="961" w:type="dxa"/>
            <w:tcBorders>
              <w:top w:val="nil"/>
              <w:left w:val="nil"/>
              <w:bottom w:val="nil"/>
              <w:right w:val="nil"/>
            </w:tcBorders>
            <w:noWrap/>
            <w:vAlign w:val="bottom"/>
            <w:hideMark/>
          </w:tcPr>
          <w:p w14:paraId="06B98BA1"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8,710 </w:t>
            </w:r>
          </w:p>
        </w:tc>
        <w:tc>
          <w:tcPr>
            <w:tcW w:w="987" w:type="dxa"/>
            <w:tcBorders>
              <w:top w:val="nil"/>
              <w:left w:val="nil"/>
              <w:bottom w:val="nil"/>
              <w:right w:val="nil"/>
            </w:tcBorders>
            <w:noWrap/>
            <w:vAlign w:val="bottom"/>
            <w:hideMark/>
          </w:tcPr>
          <w:p w14:paraId="172E4E2C"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107,551 </w:t>
            </w:r>
          </w:p>
        </w:tc>
      </w:tr>
      <w:tr w:rsidR="003107B5" w:rsidRPr="003107B5" w14:paraId="62B73805" w14:textId="77777777" w:rsidTr="003107B5">
        <w:trPr>
          <w:trHeight w:val="259"/>
        </w:trPr>
        <w:tc>
          <w:tcPr>
            <w:tcW w:w="2357" w:type="dxa"/>
            <w:tcBorders>
              <w:top w:val="nil"/>
              <w:left w:val="nil"/>
              <w:bottom w:val="nil"/>
              <w:right w:val="nil"/>
            </w:tcBorders>
            <w:noWrap/>
            <w:vAlign w:val="bottom"/>
            <w:hideMark/>
          </w:tcPr>
          <w:p w14:paraId="642292CE" w14:textId="77777777" w:rsidR="003107B5" w:rsidRPr="003107B5" w:rsidRDefault="003107B5" w:rsidP="003107B5">
            <w:pPr>
              <w:widowControl/>
              <w:spacing w:after="0" w:line="240" w:lineRule="auto"/>
              <w:rPr>
                <w:rFonts w:eastAsia="Times New Roman" w:cs="Calibri"/>
                <w:color w:val="000000"/>
                <w:sz w:val="16"/>
                <w:szCs w:val="16"/>
                <w:lang w:val="en-CA" w:eastAsia="zh-CN"/>
              </w:rPr>
            </w:pPr>
            <w:r w:rsidRPr="003107B5">
              <w:rPr>
                <w:rFonts w:eastAsia="Times New Roman" w:cs="Calibri"/>
                <w:color w:val="000000"/>
                <w:sz w:val="16"/>
                <w:szCs w:val="16"/>
                <w:lang w:val="en-CA" w:eastAsia="zh-CN"/>
              </w:rPr>
              <w:t>Research and development</w:t>
            </w:r>
          </w:p>
        </w:tc>
        <w:tc>
          <w:tcPr>
            <w:tcW w:w="222" w:type="dxa"/>
            <w:tcBorders>
              <w:top w:val="nil"/>
              <w:left w:val="nil"/>
              <w:bottom w:val="nil"/>
              <w:right w:val="nil"/>
            </w:tcBorders>
            <w:noWrap/>
            <w:vAlign w:val="bottom"/>
            <w:hideMark/>
          </w:tcPr>
          <w:p w14:paraId="1D66C573" w14:textId="77777777" w:rsidR="003107B5" w:rsidRPr="003107B5" w:rsidRDefault="003107B5" w:rsidP="003107B5">
            <w:pPr>
              <w:widowControl/>
              <w:spacing w:after="0" w:line="240" w:lineRule="auto"/>
              <w:rPr>
                <w:rFonts w:eastAsia="Times New Roman" w:cs="Calibri"/>
                <w:color w:val="000000"/>
                <w:sz w:val="16"/>
                <w:szCs w:val="16"/>
                <w:lang w:val="en-CA" w:eastAsia="zh-CN"/>
              </w:rPr>
            </w:pPr>
          </w:p>
        </w:tc>
        <w:tc>
          <w:tcPr>
            <w:tcW w:w="222" w:type="dxa"/>
            <w:tcBorders>
              <w:top w:val="nil"/>
              <w:left w:val="nil"/>
              <w:bottom w:val="nil"/>
              <w:right w:val="nil"/>
            </w:tcBorders>
            <w:noWrap/>
            <w:vAlign w:val="bottom"/>
            <w:hideMark/>
          </w:tcPr>
          <w:p w14:paraId="0AB193BD" w14:textId="77777777" w:rsidR="003107B5" w:rsidRPr="003107B5" w:rsidRDefault="003107B5" w:rsidP="003107B5">
            <w:pPr>
              <w:widowControl/>
              <w:spacing w:after="0" w:line="240" w:lineRule="auto"/>
              <w:rPr>
                <w:rFonts w:ascii="Times New Roman" w:eastAsia="Times New Roman" w:hAnsi="Times New Roman"/>
                <w:sz w:val="20"/>
                <w:szCs w:val="20"/>
                <w:lang w:val="en-CA" w:eastAsia="zh-CN"/>
              </w:rPr>
            </w:pPr>
          </w:p>
        </w:tc>
        <w:tc>
          <w:tcPr>
            <w:tcW w:w="1046" w:type="dxa"/>
            <w:tcBorders>
              <w:top w:val="nil"/>
              <w:left w:val="nil"/>
              <w:bottom w:val="nil"/>
              <w:right w:val="nil"/>
            </w:tcBorders>
            <w:noWrap/>
            <w:vAlign w:val="bottom"/>
            <w:hideMark/>
          </w:tcPr>
          <w:p w14:paraId="597D6DA9"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(3,735,703)</w:t>
            </w:r>
          </w:p>
        </w:tc>
        <w:tc>
          <w:tcPr>
            <w:tcW w:w="1046" w:type="dxa"/>
            <w:tcBorders>
              <w:top w:val="nil"/>
              <w:left w:val="nil"/>
              <w:bottom w:val="nil"/>
              <w:right w:val="nil"/>
            </w:tcBorders>
            <w:noWrap/>
            <w:vAlign w:val="bottom"/>
            <w:hideMark/>
          </w:tcPr>
          <w:p w14:paraId="3BE4C87B"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(3,150,044)</w:t>
            </w:r>
          </w:p>
        </w:tc>
        <w:tc>
          <w:tcPr>
            <w:tcW w:w="1041" w:type="dxa"/>
            <w:tcBorders>
              <w:top w:val="nil"/>
              <w:left w:val="nil"/>
              <w:bottom w:val="nil"/>
              <w:right w:val="nil"/>
            </w:tcBorders>
            <w:noWrap/>
            <w:vAlign w:val="bottom"/>
            <w:hideMark/>
          </w:tcPr>
          <w:p w14:paraId="52EBF997"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(4,360,192)</w:t>
            </w:r>
          </w:p>
        </w:tc>
        <w:tc>
          <w:tcPr>
            <w:tcW w:w="1042" w:type="dxa"/>
            <w:tcBorders>
              <w:top w:val="nil"/>
              <w:left w:val="nil"/>
              <w:bottom w:val="nil"/>
              <w:right w:val="nil"/>
            </w:tcBorders>
            <w:noWrap/>
            <w:vAlign w:val="bottom"/>
            <w:hideMark/>
          </w:tcPr>
          <w:p w14:paraId="41D2E6B4"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(3,437,683)</w:t>
            </w:r>
          </w:p>
        </w:tc>
        <w:tc>
          <w:tcPr>
            <w:tcW w:w="1042" w:type="dxa"/>
            <w:tcBorders>
              <w:top w:val="nil"/>
              <w:left w:val="nil"/>
              <w:bottom w:val="nil"/>
              <w:right w:val="nil"/>
            </w:tcBorders>
            <w:noWrap/>
            <w:vAlign w:val="bottom"/>
            <w:hideMark/>
          </w:tcPr>
          <w:p w14:paraId="52E960DB"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(1,765,481)</w:t>
            </w:r>
          </w:p>
        </w:tc>
        <w:tc>
          <w:tcPr>
            <w:tcW w:w="961" w:type="dxa"/>
            <w:tcBorders>
              <w:top w:val="nil"/>
              <w:left w:val="nil"/>
              <w:bottom w:val="nil"/>
              <w:right w:val="nil"/>
            </w:tcBorders>
            <w:noWrap/>
            <w:vAlign w:val="bottom"/>
            <w:hideMark/>
          </w:tcPr>
          <w:p w14:paraId="5E3586C0"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(2,117,828)</w:t>
            </w:r>
          </w:p>
        </w:tc>
        <w:tc>
          <w:tcPr>
            <w:tcW w:w="961" w:type="dxa"/>
            <w:tcBorders>
              <w:top w:val="nil"/>
              <w:left w:val="nil"/>
              <w:bottom w:val="nil"/>
              <w:right w:val="nil"/>
            </w:tcBorders>
            <w:noWrap/>
            <w:vAlign w:val="bottom"/>
            <w:hideMark/>
          </w:tcPr>
          <w:p w14:paraId="467F61BF"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(1,922,066)</w:t>
            </w:r>
          </w:p>
        </w:tc>
        <w:tc>
          <w:tcPr>
            <w:tcW w:w="987" w:type="dxa"/>
            <w:tcBorders>
              <w:top w:val="nil"/>
              <w:left w:val="nil"/>
              <w:bottom w:val="nil"/>
              <w:right w:val="nil"/>
            </w:tcBorders>
            <w:noWrap/>
            <w:vAlign w:val="bottom"/>
            <w:hideMark/>
          </w:tcPr>
          <w:p w14:paraId="1FD5A8BE"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(2,142,003)</w:t>
            </w:r>
          </w:p>
        </w:tc>
      </w:tr>
      <w:tr w:rsidR="003107B5" w:rsidRPr="003107B5" w14:paraId="7F1FB373" w14:textId="77777777" w:rsidTr="003107B5">
        <w:trPr>
          <w:trHeight w:val="259"/>
        </w:trPr>
        <w:tc>
          <w:tcPr>
            <w:tcW w:w="2357" w:type="dxa"/>
            <w:tcBorders>
              <w:top w:val="nil"/>
              <w:left w:val="nil"/>
              <w:bottom w:val="nil"/>
              <w:right w:val="nil"/>
            </w:tcBorders>
            <w:noWrap/>
            <w:vAlign w:val="bottom"/>
            <w:hideMark/>
          </w:tcPr>
          <w:p w14:paraId="29ECFE18" w14:textId="77777777" w:rsidR="003107B5" w:rsidRPr="003107B5" w:rsidRDefault="003107B5" w:rsidP="003107B5">
            <w:pPr>
              <w:widowControl/>
              <w:spacing w:after="0" w:line="240" w:lineRule="auto"/>
              <w:rPr>
                <w:rFonts w:eastAsia="Times New Roman" w:cs="Calibri"/>
                <w:color w:val="000000"/>
                <w:sz w:val="16"/>
                <w:szCs w:val="16"/>
                <w:lang w:val="en-CA" w:eastAsia="zh-CN"/>
              </w:rPr>
            </w:pPr>
            <w:r w:rsidRPr="003107B5">
              <w:rPr>
                <w:rFonts w:eastAsia="Times New Roman" w:cs="Calibri"/>
                <w:color w:val="000000"/>
                <w:sz w:val="16"/>
                <w:szCs w:val="16"/>
                <w:lang w:val="en-CA" w:eastAsia="zh-CN"/>
              </w:rPr>
              <w:t>Depreciation and amortization</w:t>
            </w:r>
          </w:p>
        </w:tc>
        <w:tc>
          <w:tcPr>
            <w:tcW w:w="222" w:type="dxa"/>
            <w:tcBorders>
              <w:top w:val="nil"/>
              <w:left w:val="nil"/>
              <w:bottom w:val="nil"/>
              <w:right w:val="nil"/>
            </w:tcBorders>
            <w:noWrap/>
            <w:vAlign w:val="bottom"/>
            <w:hideMark/>
          </w:tcPr>
          <w:p w14:paraId="03DCB63D" w14:textId="77777777" w:rsidR="003107B5" w:rsidRPr="003107B5" w:rsidRDefault="003107B5" w:rsidP="003107B5">
            <w:pPr>
              <w:widowControl/>
              <w:spacing w:after="0" w:line="240" w:lineRule="auto"/>
              <w:rPr>
                <w:rFonts w:eastAsia="Times New Roman" w:cs="Calibri"/>
                <w:color w:val="000000"/>
                <w:sz w:val="16"/>
                <w:szCs w:val="16"/>
                <w:lang w:val="en-CA" w:eastAsia="zh-CN"/>
              </w:rPr>
            </w:pPr>
          </w:p>
        </w:tc>
        <w:tc>
          <w:tcPr>
            <w:tcW w:w="222" w:type="dxa"/>
            <w:tcBorders>
              <w:top w:val="nil"/>
              <w:left w:val="nil"/>
              <w:bottom w:val="nil"/>
              <w:right w:val="nil"/>
            </w:tcBorders>
            <w:noWrap/>
            <w:vAlign w:val="bottom"/>
            <w:hideMark/>
          </w:tcPr>
          <w:p w14:paraId="4547FBA1" w14:textId="77777777" w:rsidR="003107B5" w:rsidRPr="003107B5" w:rsidRDefault="003107B5" w:rsidP="003107B5">
            <w:pPr>
              <w:widowControl/>
              <w:spacing w:after="0" w:line="240" w:lineRule="auto"/>
              <w:rPr>
                <w:rFonts w:ascii="Times New Roman" w:eastAsia="Times New Roman" w:hAnsi="Times New Roman"/>
                <w:sz w:val="20"/>
                <w:szCs w:val="20"/>
                <w:lang w:val="en-CA" w:eastAsia="zh-CN"/>
              </w:rPr>
            </w:pPr>
          </w:p>
        </w:tc>
        <w:tc>
          <w:tcPr>
            <w:tcW w:w="1046" w:type="dxa"/>
            <w:tcBorders>
              <w:top w:val="nil"/>
              <w:left w:val="nil"/>
              <w:bottom w:val="nil"/>
              <w:right w:val="nil"/>
            </w:tcBorders>
            <w:noWrap/>
            <w:vAlign w:val="bottom"/>
            <w:hideMark/>
          </w:tcPr>
          <w:p w14:paraId="758D358A"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(892,704)</w:t>
            </w:r>
          </w:p>
        </w:tc>
        <w:tc>
          <w:tcPr>
            <w:tcW w:w="1046" w:type="dxa"/>
            <w:tcBorders>
              <w:top w:val="nil"/>
              <w:left w:val="nil"/>
              <w:bottom w:val="nil"/>
              <w:right w:val="nil"/>
            </w:tcBorders>
            <w:noWrap/>
            <w:vAlign w:val="bottom"/>
            <w:hideMark/>
          </w:tcPr>
          <w:p w14:paraId="454BD81B"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(792,814)</w:t>
            </w:r>
          </w:p>
        </w:tc>
        <w:tc>
          <w:tcPr>
            <w:tcW w:w="1041" w:type="dxa"/>
            <w:tcBorders>
              <w:top w:val="nil"/>
              <w:left w:val="nil"/>
              <w:bottom w:val="nil"/>
              <w:right w:val="nil"/>
            </w:tcBorders>
            <w:noWrap/>
            <w:vAlign w:val="bottom"/>
            <w:hideMark/>
          </w:tcPr>
          <w:p w14:paraId="09AE7015"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(726,868)</w:t>
            </w:r>
          </w:p>
        </w:tc>
        <w:tc>
          <w:tcPr>
            <w:tcW w:w="1042" w:type="dxa"/>
            <w:tcBorders>
              <w:top w:val="nil"/>
              <w:left w:val="nil"/>
              <w:bottom w:val="nil"/>
              <w:right w:val="nil"/>
            </w:tcBorders>
            <w:noWrap/>
            <w:vAlign w:val="bottom"/>
            <w:hideMark/>
          </w:tcPr>
          <w:p w14:paraId="040E9B2B"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(475,281)</w:t>
            </w:r>
          </w:p>
        </w:tc>
        <w:tc>
          <w:tcPr>
            <w:tcW w:w="1042" w:type="dxa"/>
            <w:tcBorders>
              <w:top w:val="nil"/>
              <w:left w:val="nil"/>
              <w:bottom w:val="nil"/>
              <w:right w:val="nil"/>
            </w:tcBorders>
            <w:noWrap/>
            <w:vAlign w:val="bottom"/>
            <w:hideMark/>
          </w:tcPr>
          <w:p w14:paraId="3F636350"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(525,955)</w:t>
            </w:r>
          </w:p>
        </w:tc>
        <w:tc>
          <w:tcPr>
            <w:tcW w:w="961" w:type="dxa"/>
            <w:tcBorders>
              <w:top w:val="nil"/>
              <w:left w:val="nil"/>
              <w:bottom w:val="nil"/>
              <w:right w:val="nil"/>
            </w:tcBorders>
            <w:noWrap/>
            <w:vAlign w:val="bottom"/>
            <w:hideMark/>
          </w:tcPr>
          <w:p w14:paraId="62E5D1B9"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(509,699)</w:t>
            </w:r>
          </w:p>
        </w:tc>
        <w:tc>
          <w:tcPr>
            <w:tcW w:w="961" w:type="dxa"/>
            <w:tcBorders>
              <w:top w:val="nil"/>
              <w:left w:val="nil"/>
              <w:bottom w:val="nil"/>
              <w:right w:val="nil"/>
            </w:tcBorders>
            <w:noWrap/>
            <w:vAlign w:val="bottom"/>
            <w:hideMark/>
          </w:tcPr>
          <w:p w14:paraId="25AB81FF"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(509,260)</w:t>
            </w:r>
          </w:p>
        </w:tc>
        <w:tc>
          <w:tcPr>
            <w:tcW w:w="987" w:type="dxa"/>
            <w:tcBorders>
              <w:top w:val="nil"/>
              <w:left w:val="nil"/>
              <w:bottom w:val="nil"/>
              <w:right w:val="nil"/>
            </w:tcBorders>
            <w:noWrap/>
            <w:vAlign w:val="bottom"/>
            <w:hideMark/>
          </w:tcPr>
          <w:p w14:paraId="3FA6DAAB"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(505,869)</w:t>
            </w:r>
          </w:p>
        </w:tc>
      </w:tr>
      <w:tr w:rsidR="003107B5" w:rsidRPr="003107B5" w14:paraId="3D3D2A13" w14:textId="77777777" w:rsidTr="003107B5">
        <w:trPr>
          <w:trHeight w:val="259"/>
        </w:trPr>
        <w:tc>
          <w:tcPr>
            <w:tcW w:w="2357" w:type="dxa"/>
            <w:tcBorders>
              <w:top w:val="nil"/>
              <w:left w:val="nil"/>
              <w:bottom w:val="nil"/>
              <w:right w:val="nil"/>
            </w:tcBorders>
            <w:noWrap/>
            <w:vAlign w:val="bottom"/>
            <w:hideMark/>
          </w:tcPr>
          <w:p w14:paraId="7E34411A" w14:textId="77777777" w:rsidR="003107B5" w:rsidRPr="003107B5" w:rsidRDefault="003107B5" w:rsidP="003107B5">
            <w:pPr>
              <w:widowControl/>
              <w:spacing w:after="0" w:line="240" w:lineRule="auto"/>
              <w:rPr>
                <w:rFonts w:eastAsia="Times New Roman" w:cs="Calibri"/>
                <w:color w:val="000000"/>
                <w:sz w:val="16"/>
                <w:szCs w:val="16"/>
                <w:lang w:val="en-CA" w:eastAsia="zh-CN"/>
              </w:rPr>
            </w:pPr>
            <w:r w:rsidRPr="003107B5">
              <w:rPr>
                <w:rFonts w:eastAsia="Times New Roman" w:cs="Calibri"/>
                <w:color w:val="000000"/>
                <w:sz w:val="16"/>
                <w:szCs w:val="16"/>
                <w:lang w:val="en-CA" w:eastAsia="zh-CN"/>
              </w:rPr>
              <w:t>Professional fees</w:t>
            </w:r>
          </w:p>
        </w:tc>
        <w:tc>
          <w:tcPr>
            <w:tcW w:w="222" w:type="dxa"/>
            <w:tcBorders>
              <w:top w:val="nil"/>
              <w:left w:val="nil"/>
              <w:bottom w:val="nil"/>
              <w:right w:val="nil"/>
            </w:tcBorders>
            <w:noWrap/>
            <w:vAlign w:val="bottom"/>
            <w:hideMark/>
          </w:tcPr>
          <w:p w14:paraId="35B28C3D" w14:textId="77777777" w:rsidR="003107B5" w:rsidRPr="003107B5" w:rsidRDefault="003107B5" w:rsidP="003107B5">
            <w:pPr>
              <w:widowControl/>
              <w:spacing w:after="0" w:line="240" w:lineRule="auto"/>
              <w:rPr>
                <w:rFonts w:eastAsia="Times New Roman" w:cs="Calibri"/>
                <w:color w:val="000000"/>
                <w:sz w:val="16"/>
                <w:szCs w:val="16"/>
                <w:lang w:val="en-CA" w:eastAsia="zh-CN"/>
              </w:rPr>
            </w:pPr>
          </w:p>
        </w:tc>
        <w:tc>
          <w:tcPr>
            <w:tcW w:w="222" w:type="dxa"/>
            <w:tcBorders>
              <w:top w:val="nil"/>
              <w:left w:val="nil"/>
              <w:bottom w:val="nil"/>
              <w:right w:val="nil"/>
            </w:tcBorders>
            <w:noWrap/>
            <w:vAlign w:val="bottom"/>
            <w:hideMark/>
          </w:tcPr>
          <w:p w14:paraId="1DBADB80" w14:textId="77777777" w:rsidR="003107B5" w:rsidRPr="003107B5" w:rsidRDefault="003107B5" w:rsidP="003107B5">
            <w:pPr>
              <w:widowControl/>
              <w:spacing w:after="0" w:line="240" w:lineRule="auto"/>
              <w:rPr>
                <w:rFonts w:ascii="Times New Roman" w:eastAsia="Times New Roman" w:hAnsi="Times New Roman"/>
                <w:sz w:val="20"/>
                <w:szCs w:val="20"/>
                <w:lang w:val="en-CA" w:eastAsia="zh-CN"/>
              </w:rPr>
            </w:pPr>
          </w:p>
        </w:tc>
        <w:tc>
          <w:tcPr>
            <w:tcW w:w="1046" w:type="dxa"/>
            <w:tcBorders>
              <w:top w:val="nil"/>
              <w:left w:val="nil"/>
              <w:bottom w:val="nil"/>
              <w:right w:val="nil"/>
            </w:tcBorders>
            <w:noWrap/>
            <w:vAlign w:val="bottom"/>
            <w:hideMark/>
          </w:tcPr>
          <w:p w14:paraId="24838116"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(371,413)</w:t>
            </w:r>
          </w:p>
        </w:tc>
        <w:tc>
          <w:tcPr>
            <w:tcW w:w="1046" w:type="dxa"/>
            <w:tcBorders>
              <w:top w:val="nil"/>
              <w:left w:val="nil"/>
              <w:bottom w:val="nil"/>
              <w:right w:val="nil"/>
            </w:tcBorders>
            <w:noWrap/>
            <w:vAlign w:val="bottom"/>
            <w:hideMark/>
          </w:tcPr>
          <w:p w14:paraId="63FBFCAF"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(562,583)</w:t>
            </w:r>
          </w:p>
        </w:tc>
        <w:tc>
          <w:tcPr>
            <w:tcW w:w="1041" w:type="dxa"/>
            <w:tcBorders>
              <w:top w:val="nil"/>
              <w:left w:val="nil"/>
              <w:bottom w:val="nil"/>
              <w:right w:val="nil"/>
            </w:tcBorders>
            <w:noWrap/>
            <w:vAlign w:val="bottom"/>
            <w:hideMark/>
          </w:tcPr>
          <w:p w14:paraId="5519C1A8"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(276,184)</w:t>
            </w:r>
          </w:p>
        </w:tc>
        <w:tc>
          <w:tcPr>
            <w:tcW w:w="1042" w:type="dxa"/>
            <w:tcBorders>
              <w:top w:val="nil"/>
              <w:left w:val="nil"/>
              <w:bottom w:val="nil"/>
              <w:right w:val="nil"/>
            </w:tcBorders>
            <w:noWrap/>
            <w:vAlign w:val="bottom"/>
            <w:hideMark/>
          </w:tcPr>
          <w:p w14:paraId="58271C14"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(679,156)</w:t>
            </w:r>
          </w:p>
        </w:tc>
        <w:tc>
          <w:tcPr>
            <w:tcW w:w="1042" w:type="dxa"/>
            <w:tcBorders>
              <w:top w:val="nil"/>
              <w:left w:val="nil"/>
              <w:bottom w:val="nil"/>
              <w:right w:val="nil"/>
            </w:tcBorders>
            <w:noWrap/>
            <w:vAlign w:val="bottom"/>
            <w:hideMark/>
          </w:tcPr>
          <w:p w14:paraId="6F6D0122"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(480,871)</w:t>
            </w:r>
          </w:p>
        </w:tc>
        <w:tc>
          <w:tcPr>
            <w:tcW w:w="961" w:type="dxa"/>
            <w:tcBorders>
              <w:top w:val="nil"/>
              <w:left w:val="nil"/>
              <w:bottom w:val="nil"/>
              <w:right w:val="nil"/>
            </w:tcBorders>
            <w:noWrap/>
            <w:vAlign w:val="bottom"/>
            <w:hideMark/>
          </w:tcPr>
          <w:p w14:paraId="43D15556"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(366,839)</w:t>
            </w:r>
          </w:p>
        </w:tc>
        <w:tc>
          <w:tcPr>
            <w:tcW w:w="961" w:type="dxa"/>
            <w:tcBorders>
              <w:top w:val="nil"/>
              <w:left w:val="nil"/>
              <w:bottom w:val="nil"/>
              <w:right w:val="nil"/>
            </w:tcBorders>
            <w:noWrap/>
            <w:vAlign w:val="bottom"/>
            <w:hideMark/>
          </w:tcPr>
          <w:p w14:paraId="50C391F1"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(409,726)</w:t>
            </w:r>
          </w:p>
        </w:tc>
        <w:tc>
          <w:tcPr>
            <w:tcW w:w="987" w:type="dxa"/>
            <w:tcBorders>
              <w:top w:val="nil"/>
              <w:left w:val="nil"/>
              <w:bottom w:val="nil"/>
              <w:right w:val="nil"/>
            </w:tcBorders>
            <w:noWrap/>
            <w:vAlign w:val="bottom"/>
            <w:hideMark/>
          </w:tcPr>
          <w:p w14:paraId="79C2B240"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(902,368)</w:t>
            </w:r>
          </w:p>
        </w:tc>
      </w:tr>
      <w:tr w:rsidR="003107B5" w:rsidRPr="003107B5" w14:paraId="6B41D4F3" w14:textId="77777777" w:rsidTr="003107B5">
        <w:trPr>
          <w:trHeight w:val="259"/>
        </w:trPr>
        <w:tc>
          <w:tcPr>
            <w:tcW w:w="2357" w:type="dxa"/>
            <w:tcBorders>
              <w:top w:val="nil"/>
              <w:left w:val="nil"/>
              <w:bottom w:val="nil"/>
              <w:right w:val="nil"/>
            </w:tcBorders>
            <w:noWrap/>
            <w:vAlign w:val="bottom"/>
            <w:hideMark/>
          </w:tcPr>
          <w:p w14:paraId="6E83F93C" w14:textId="77777777" w:rsidR="003107B5" w:rsidRPr="003107B5" w:rsidRDefault="003107B5" w:rsidP="003107B5">
            <w:pPr>
              <w:widowControl/>
              <w:spacing w:after="0" w:line="240" w:lineRule="auto"/>
              <w:rPr>
                <w:rFonts w:eastAsia="Times New Roman" w:cs="Calibri"/>
                <w:color w:val="000000"/>
                <w:sz w:val="16"/>
                <w:szCs w:val="16"/>
                <w:lang w:val="en-CA" w:eastAsia="zh-CN"/>
              </w:rPr>
            </w:pPr>
            <w:r w:rsidRPr="003107B5">
              <w:rPr>
                <w:rFonts w:eastAsia="Times New Roman" w:cs="Calibri"/>
                <w:color w:val="000000"/>
                <w:sz w:val="16"/>
                <w:szCs w:val="16"/>
                <w:lang w:val="en-CA" w:eastAsia="zh-CN"/>
              </w:rPr>
              <w:t>Wages and benefits</w:t>
            </w:r>
          </w:p>
        </w:tc>
        <w:tc>
          <w:tcPr>
            <w:tcW w:w="222" w:type="dxa"/>
            <w:tcBorders>
              <w:top w:val="nil"/>
              <w:left w:val="nil"/>
              <w:bottom w:val="nil"/>
              <w:right w:val="nil"/>
            </w:tcBorders>
            <w:noWrap/>
            <w:vAlign w:val="bottom"/>
            <w:hideMark/>
          </w:tcPr>
          <w:p w14:paraId="57FD66EF" w14:textId="77777777" w:rsidR="003107B5" w:rsidRPr="003107B5" w:rsidRDefault="003107B5" w:rsidP="003107B5">
            <w:pPr>
              <w:widowControl/>
              <w:spacing w:after="0" w:line="240" w:lineRule="auto"/>
              <w:rPr>
                <w:rFonts w:eastAsia="Times New Roman" w:cs="Calibri"/>
                <w:color w:val="000000"/>
                <w:sz w:val="16"/>
                <w:szCs w:val="16"/>
                <w:lang w:val="en-CA" w:eastAsia="zh-CN"/>
              </w:rPr>
            </w:pPr>
          </w:p>
        </w:tc>
        <w:tc>
          <w:tcPr>
            <w:tcW w:w="222" w:type="dxa"/>
            <w:tcBorders>
              <w:top w:val="nil"/>
              <w:left w:val="nil"/>
              <w:bottom w:val="nil"/>
              <w:right w:val="nil"/>
            </w:tcBorders>
            <w:noWrap/>
            <w:vAlign w:val="bottom"/>
            <w:hideMark/>
          </w:tcPr>
          <w:p w14:paraId="2F62CDA5" w14:textId="77777777" w:rsidR="003107B5" w:rsidRPr="003107B5" w:rsidRDefault="003107B5" w:rsidP="003107B5">
            <w:pPr>
              <w:widowControl/>
              <w:spacing w:after="0" w:line="240" w:lineRule="auto"/>
              <w:rPr>
                <w:rFonts w:ascii="Times New Roman" w:eastAsia="Times New Roman" w:hAnsi="Times New Roman"/>
                <w:sz w:val="20"/>
                <w:szCs w:val="20"/>
                <w:lang w:val="en-CA" w:eastAsia="zh-CN"/>
              </w:rPr>
            </w:pPr>
          </w:p>
        </w:tc>
        <w:tc>
          <w:tcPr>
            <w:tcW w:w="1046" w:type="dxa"/>
            <w:tcBorders>
              <w:top w:val="nil"/>
              <w:left w:val="nil"/>
              <w:bottom w:val="nil"/>
              <w:right w:val="nil"/>
            </w:tcBorders>
            <w:noWrap/>
            <w:vAlign w:val="bottom"/>
            <w:hideMark/>
          </w:tcPr>
          <w:p w14:paraId="7C77FF37"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(675,306)</w:t>
            </w:r>
          </w:p>
        </w:tc>
        <w:tc>
          <w:tcPr>
            <w:tcW w:w="1046" w:type="dxa"/>
            <w:tcBorders>
              <w:top w:val="nil"/>
              <w:left w:val="nil"/>
              <w:bottom w:val="nil"/>
              <w:right w:val="nil"/>
            </w:tcBorders>
            <w:noWrap/>
            <w:vAlign w:val="bottom"/>
            <w:hideMark/>
          </w:tcPr>
          <w:p w14:paraId="2286DDBD"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(1,042,380)</w:t>
            </w:r>
          </w:p>
        </w:tc>
        <w:tc>
          <w:tcPr>
            <w:tcW w:w="1041" w:type="dxa"/>
            <w:tcBorders>
              <w:top w:val="nil"/>
              <w:left w:val="nil"/>
              <w:bottom w:val="nil"/>
              <w:right w:val="nil"/>
            </w:tcBorders>
            <w:noWrap/>
            <w:vAlign w:val="bottom"/>
            <w:hideMark/>
          </w:tcPr>
          <w:p w14:paraId="2AF55FC6"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(2,123,274)</w:t>
            </w:r>
          </w:p>
        </w:tc>
        <w:tc>
          <w:tcPr>
            <w:tcW w:w="1042" w:type="dxa"/>
            <w:tcBorders>
              <w:top w:val="nil"/>
              <w:left w:val="nil"/>
              <w:bottom w:val="nil"/>
              <w:right w:val="nil"/>
            </w:tcBorders>
            <w:noWrap/>
            <w:vAlign w:val="bottom"/>
            <w:hideMark/>
          </w:tcPr>
          <w:p w14:paraId="2267E6AE"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(758,883)</w:t>
            </w:r>
          </w:p>
        </w:tc>
        <w:tc>
          <w:tcPr>
            <w:tcW w:w="1042" w:type="dxa"/>
            <w:tcBorders>
              <w:top w:val="nil"/>
              <w:left w:val="nil"/>
              <w:bottom w:val="nil"/>
              <w:right w:val="nil"/>
            </w:tcBorders>
            <w:noWrap/>
            <w:vAlign w:val="bottom"/>
            <w:hideMark/>
          </w:tcPr>
          <w:p w14:paraId="07095A16"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(667,963)</w:t>
            </w:r>
          </w:p>
        </w:tc>
        <w:tc>
          <w:tcPr>
            <w:tcW w:w="961" w:type="dxa"/>
            <w:tcBorders>
              <w:top w:val="nil"/>
              <w:left w:val="nil"/>
              <w:bottom w:val="nil"/>
              <w:right w:val="nil"/>
            </w:tcBorders>
            <w:noWrap/>
            <w:vAlign w:val="bottom"/>
            <w:hideMark/>
          </w:tcPr>
          <w:p w14:paraId="0CD1AC4D"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(780,146)</w:t>
            </w:r>
          </w:p>
        </w:tc>
        <w:tc>
          <w:tcPr>
            <w:tcW w:w="961" w:type="dxa"/>
            <w:tcBorders>
              <w:top w:val="nil"/>
              <w:left w:val="nil"/>
              <w:bottom w:val="nil"/>
              <w:right w:val="nil"/>
            </w:tcBorders>
            <w:noWrap/>
            <w:vAlign w:val="bottom"/>
            <w:hideMark/>
          </w:tcPr>
          <w:p w14:paraId="62CBC330"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(768,496)</w:t>
            </w:r>
          </w:p>
        </w:tc>
        <w:tc>
          <w:tcPr>
            <w:tcW w:w="987" w:type="dxa"/>
            <w:tcBorders>
              <w:top w:val="nil"/>
              <w:left w:val="nil"/>
              <w:bottom w:val="nil"/>
              <w:right w:val="nil"/>
            </w:tcBorders>
            <w:noWrap/>
            <w:vAlign w:val="bottom"/>
            <w:hideMark/>
          </w:tcPr>
          <w:p w14:paraId="3E0BF1A3"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(676,539)</w:t>
            </w:r>
          </w:p>
        </w:tc>
      </w:tr>
      <w:tr w:rsidR="003107B5" w:rsidRPr="003107B5" w14:paraId="12A15E90" w14:textId="77777777" w:rsidTr="003107B5">
        <w:trPr>
          <w:trHeight w:val="250"/>
        </w:trPr>
        <w:tc>
          <w:tcPr>
            <w:tcW w:w="2357" w:type="dxa"/>
            <w:tcBorders>
              <w:top w:val="nil"/>
              <w:left w:val="nil"/>
              <w:bottom w:val="nil"/>
              <w:right w:val="nil"/>
            </w:tcBorders>
            <w:noWrap/>
            <w:vAlign w:val="bottom"/>
            <w:hideMark/>
          </w:tcPr>
          <w:p w14:paraId="57936D34" w14:textId="77777777" w:rsidR="003107B5" w:rsidRPr="003107B5" w:rsidRDefault="003107B5" w:rsidP="003107B5">
            <w:pPr>
              <w:widowControl/>
              <w:spacing w:after="0" w:line="240" w:lineRule="auto"/>
              <w:rPr>
                <w:rFonts w:eastAsia="Times New Roman" w:cs="Calibri"/>
                <w:color w:val="000000"/>
                <w:sz w:val="16"/>
                <w:szCs w:val="16"/>
                <w:lang w:val="en-CA" w:eastAsia="zh-CN"/>
              </w:rPr>
            </w:pPr>
            <w:r w:rsidRPr="003107B5">
              <w:rPr>
                <w:rFonts w:eastAsia="Times New Roman" w:cs="Calibri"/>
                <w:color w:val="000000"/>
                <w:sz w:val="16"/>
                <w:szCs w:val="16"/>
                <w:lang w:val="en-CA" w:eastAsia="zh-CN"/>
              </w:rPr>
              <w:t>Loss on acquisition of 24.8% of SPX</w:t>
            </w:r>
          </w:p>
        </w:tc>
        <w:tc>
          <w:tcPr>
            <w:tcW w:w="222" w:type="dxa"/>
            <w:tcBorders>
              <w:top w:val="nil"/>
              <w:left w:val="nil"/>
              <w:bottom w:val="nil"/>
              <w:right w:val="nil"/>
            </w:tcBorders>
            <w:noWrap/>
            <w:vAlign w:val="bottom"/>
            <w:hideMark/>
          </w:tcPr>
          <w:p w14:paraId="4DD158B4" w14:textId="77777777" w:rsidR="003107B5" w:rsidRPr="003107B5" w:rsidRDefault="003107B5" w:rsidP="003107B5">
            <w:pPr>
              <w:widowControl/>
              <w:spacing w:after="0" w:line="240" w:lineRule="auto"/>
              <w:rPr>
                <w:rFonts w:eastAsia="Times New Roman" w:cs="Calibri"/>
                <w:color w:val="000000"/>
                <w:sz w:val="16"/>
                <w:szCs w:val="16"/>
                <w:lang w:val="en-CA" w:eastAsia="zh-CN"/>
              </w:rPr>
            </w:pPr>
          </w:p>
        </w:tc>
        <w:tc>
          <w:tcPr>
            <w:tcW w:w="222" w:type="dxa"/>
            <w:tcBorders>
              <w:top w:val="nil"/>
              <w:left w:val="nil"/>
              <w:bottom w:val="nil"/>
              <w:right w:val="nil"/>
            </w:tcBorders>
            <w:noWrap/>
            <w:vAlign w:val="bottom"/>
            <w:hideMark/>
          </w:tcPr>
          <w:p w14:paraId="7344D20C" w14:textId="77777777" w:rsidR="003107B5" w:rsidRPr="003107B5" w:rsidRDefault="003107B5" w:rsidP="003107B5">
            <w:pPr>
              <w:widowControl/>
              <w:spacing w:after="0" w:line="240" w:lineRule="auto"/>
              <w:rPr>
                <w:rFonts w:ascii="Times New Roman" w:eastAsia="Times New Roman" w:hAnsi="Times New Roman"/>
                <w:sz w:val="20"/>
                <w:szCs w:val="20"/>
                <w:lang w:val="en-CA" w:eastAsia="zh-CN"/>
              </w:rPr>
            </w:pPr>
          </w:p>
        </w:tc>
        <w:tc>
          <w:tcPr>
            <w:tcW w:w="1046" w:type="dxa"/>
            <w:tcBorders>
              <w:top w:val="nil"/>
              <w:left w:val="nil"/>
              <w:bottom w:val="nil"/>
              <w:right w:val="nil"/>
            </w:tcBorders>
            <w:noWrap/>
            <w:vAlign w:val="bottom"/>
            <w:hideMark/>
          </w:tcPr>
          <w:p w14:paraId="323AFC57"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   </w:t>
            </w:r>
          </w:p>
        </w:tc>
        <w:tc>
          <w:tcPr>
            <w:tcW w:w="1046" w:type="dxa"/>
            <w:tcBorders>
              <w:top w:val="nil"/>
              <w:left w:val="nil"/>
              <w:bottom w:val="nil"/>
              <w:right w:val="nil"/>
            </w:tcBorders>
            <w:noWrap/>
            <w:vAlign w:val="bottom"/>
            <w:hideMark/>
          </w:tcPr>
          <w:p w14:paraId="1BEF5153"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   </w:t>
            </w:r>
          </w:p>
        </w:tc>
        <w:tc>
          <w:tcPr>
            <w:tcW w:w="1041" w:type="dxa"/>
            <w:tcBorders>
              <w:top w:val="nil"/>
              <w:left w:val="nil"/>
              <w:bottom w:val="nil"/>
              <w:right w:val="nil"/>
            </w:tcBorders>
            <w:noWrap/>
            <w:vAlign w:val="bottom"/>
            <w:hideMark/>
          </w:tcPr>
          <w:p w14:paraId="470FAE13"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   </w:t>
            </w:r>
          </w:p>
        </w:tc>
        <w:tc>
          <w:tcPr>
            <w:tcW w:w="1042" w:type="dxa"/>
            <w:tcBorders>
              <w:top w:val="nil"/>
              <w:left w:val="nil"/>
              <w:bottom w:val="nil"/>
              <w:right w:val="nil"/>
            </w:tcBorders>
            <w:noWrap/>
            <w:vAlign w:val="bottom"/>
            <w:hideMark/>
          </w:tcPr>
          <w:p w14:paraId="3F95EF56"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(6,852,687)</w:t>
            </w:r>
          </w:p>
        </w:tc>
        <w:tc>
          <w:tcPr>
            <w:tcW w:w="1042" w:type="dxa"/>
            <w:tcBorders>
              <w:top w:val="nil"/>
              <w:left w:val="nil"/>
              <w:bottom w:val="nil"/>
              <w:right w:val="nil"/>
            </w:tcBorders>
            <w:noWrap/>
            <w:vAlign w:val="bottom"/>
            <w:hideMark/>
          </w:tcPr>
          <w:p w14:paraId="760B8750"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   </w:t>
            </w:r>
          </w:p>
        </w:tc>
        <w:tc>
          <w:tcPr>
            <w:tcW w:w="961" w:type="dxa"/>
            <w:tcBorders>
              <w:top w:val="nil"/>
              <w:left w:val="nil"/>
              <w:bottom w:val="nil"/>
              <w:right w:val="nil"/>
            </w:tcBorders>
            <w:noWrap/>
            <w:vAlign w:val="bottom"/>
            <w:hideMark/>
          </w:tcPr>
          <w:p w14:paraId="3352F66F"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   </w:t>
            </w:r>
          </w:p>
        </w:tc>
        <w:tc>
          <w:tcPr>
            <w:tcW w:w="961" w:type="dxa"/>
            <w:tcBorders>
              <w:top w:val="nil"/>
              <w:left w:val="nil"/>
              <w:bottom w:val="nil"/>
              <w:right w:val="nil"/>
            </w:tcBorders>
            <w:noWrap/>
            <w:vAlign w:val="bottom"/>
            <w:hideMark/>
          </w:tcPr>
          <w:p w14:paraId="10C4C93C"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   </w:t>
            </w:r>
          </w:p>
        </w:tc>
        <w:tc>
          <w:tcPr>
            <w:tcW w:w="987" w:type="dxa"/>
            <w:tcBorders>
              <w:top w:val="nil"/>
              <w:left w:val="nil"/>
              <w:bottom w:val="nil"/>
              <w:right w:val="nil"/>
            </w:tcBorders>
            <w:noWrap/>
            <w:vAlign w:val="bottom"/>
            <w:hideMark/>
          </w:tcPr>
          <w:p w14:paraId="6868AC28"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   </w:t>
            </w:r>
          </w:p>
        </w:tc>
      </w:tr>
      <w:tr w:rsidR="003107B5" w:rsidRPr="003107B5" w14:paraId="6A5F0E78" w14:textId="77777777" w:rsidTr="003107B5">
        <w:trPr>
          <w:trHeight w:val="259"/>
        </w:trPr>
        <w:tc>
          <w:tcPr>
            <w:tcW w:w="2357" w:type="dxa"/>
            <w:tcBorders>
              <w:top w:val="nil"/>
              <w:left w:val="nil"/>
              <w:bottom w:val="nil"/>
              <w:right w:val="nil"/>
            </w:tcBorders>
            <w:noWrap/>
            <w:vAlign w:val="bottom"/>
            <w:hideMark/>
          </w:tcPr>
          <w:p w14:paraId="53B58098" w14:textId="77777777" w:rsidR="003107B5" w:rsidRPr="003107B5" w:rsidRDefault="003107B5" w:rsidP="003107B5">
            <w:pPr>
              <w:widowControl/>
              <w:spacing w:after="0" w:line="240" w:lineRule="auto"/>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Stock-based compensation </w:t>
            </w:r>
            <w:r w:rsidRPr="003107B5">
              <w:rPr>
                <w:rFonts w:eastAsia="Times New Roman" w:cs="Calibri"/>
                <w:color w:val="000000"/>
                <w:sz w:val="16"/>
                <w:szCs w:val="16"/>
                <w:vertAlign w:val="superscript"/>
                <w:lang w:val="en-CA" w:eastAsia="zh-CN"/>
              </w:rPr>
              <w:t>(1)</w:t>
            </w:r>
          </w:p>
        </w:tc>
        <w:tc>
          <w:tcPr>
            <w:tcW w:w="222" w:type="dxa"/>
            <w:tcBorders>
              <w:top w:val="nil"/>
              <w:left w:val="nil"/>
              <w:bottom w:val="nil"/>
              <w:right w:val="nil"/>
            </w:tcBorders>
            <w:noWrap/>
            <w:vAlign w:val="bottom"/>
            <w:hideMark/>
          </w:tcPr>
          <w:p w14:paraId="75132F97" w14:textId="77777777" w:rsidR="003107B5" w:rsidRPr="003107B5" w:rsidRDefault="003107B5" w:rsidP="003107B5">
            <w:pPr>
              <w:widowControl/>
              <w:spacing w:after="0" w:line="240" w:lineRule="auto"/>
              <w:rPr>
                <w:rFonts w:eastAsia="Times New Roman" w:cs="Calibri"/>
                <w:color w:val="000000"/>
                <w:sz w:val="16"/>
                <w:szCs w:val="16"/>
                <w:lang w:val="en-CA" w:eastAsia="zh-CN"/>
              </w:rPr>
            </w:pPr>
          </w:p>
        </w:tc>
        <w:tc>
          <w:tcPr>
            <w:tcW w:w="222" w:type="dxa"/>
            <w:tcBorders>
              <w:top w:val="nil"/>
              <w:left w:val="nil"/>
              <w:bottom w:val="nil"/>
              <w:right w:val="nil"/>
            </w:tcBorders>
            <w:noWrap/>
            <w:vAlign w:val="bottom"/>
            <w:hideMark/>
          </w:tcPr>
          <w:p w14:paraId="7C15B507" w14:textId="77777777" w:rsidR="003107B5" w:rsidRPr="003107B5" w:rsidRDefault="003107B5" w:rsidP="003107B5">
            <w:pPr>
              <w:widowControl/>
              <w:spacing w:after="0" w:line="240" w:lineRule="auto"/>
              <w:rPr>
                <w:rFonts w:ascii="Times New Roman" w:eastAsia="Times New Roman" w:hAnsi="Times New Roman"/>
                <w:sz w:val="20"/>
                <w:szCs w:val="20"/>
                <w:lang w:val="en-CA" w:eastAsia="zh-CN"/>
              </w:rPr>
            </w:pPr>
          </w:p>
        </w:tc>
        <w:tc>
          <w:tcPr>
            <w:tcW w:w="1046" w:type="dxa"/>
            <w:tcBorders>
              <w:top w:val="nil"/>
              <w:left w:val="nil"/>
              <w:bottom w:val="nil"/>
              <w:right w:val="nil"/>
            </w:tcBorders>
            <w:noWrap/>
            <w:vAlign w:val="bottom"/>
            <w:hideMark/>
          </w:tcPr>
          <w:p w14:paraId="67CED370"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(1,864,589)</w:t>
            </w:r>
          </w:p>
        </w:tc>
        <w:tc>
          <w:tcPr>
            <w:tcW w:w="1046" w:type="dxa"/>
            <w:tcBorders>
              <w:top w:val="nil"/>
              <w:left w:val="nil"/>
              <w:bottom w:val="nil"/>
              <w:right w:val="nil"/>
            </w:tcBorders>
            <w:noWrap/>
            <w:vAlign w:val="bottom"/>
            <w:hideMark/>
          </w:tcPr>
          <w:p w14:paraId="0492604F"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(1,165,482)</w:t>
            </w:r>
          </w:p>
        </w:tc>
        <w:tc>
          <w:tcPr>
            <w:tcW w:w="1041" w:type="dxa"/>
            <w:tcBorders>
              <w:top w:val="nil"/>
              <w:left w:val="nil"/>
              <w:bottom w:val="nil"/>
              <w:right w:val="nil"/>
            </w:tcBorders>
            <w:noWrap/>
            <w:vAlign w:val="bottom"/>
            <w:hideMark/>
          </w:tcPr>
          <w:p w14:paraId="7E856A65"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(841,793)</w:t>
            </w:r>
          </w:p>
        </w:tc>
        <w:tc>
          <w:tcPr>
            <w:tcW w:w="1042" w:type="dxa"/>
            <w:tcBorders>
              <w:top w:val="nil"/>
              <w:left w:val="nil"/>
              <w:bottom w:val="nil"/>
              <w:right w:val="nil"/>
            </w:tcBorders>
            <w:noWrap/>
            <w:vAlign w:val="bottom"/>
            <w:hideMark/>
          </w:tcPr>
          <w:p w14:paraId="5F4FB1A1"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(1,404,995)</w:t>
            </w:r>
          </w:p>
        </w:tc>
        <w:tc>
          <w:tcPr>
            <w:tcW w:w="1042" w:type="dxa"/>
            <w:tcBorders>
              <w:top w:val="nil"/>
              <w:left w:val="nil"/>
              <w:bottom w:val="nil"/>
              <w:right w:val="nil"/>
            </w:tcBorders>
            <w:noWrap/>
            <w:vAlign w:val="bottom"/>
            <w:hideMark/>
          </w:tcPr>
          <w:p w14:paraId="0F5E60F5"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(1,525,131)</w:t>
            </w:r>
          </w:p>
        </w:tc>
        <w:tc>
          <w:tcPr>
            <w:tcW w:w="961" w:type="dxa"/>
            <w:tcBorders>
              <w:top w:val="nil"/>
              <w:left w:val="nil"/>
              <w:bottom w:val="nil"/>
              <w:right w:val="nil"/>
            </w:tcBorders>
            <w:noWrap/>
            <w:vAlign w:val="bottom"/>
            <w:hideMark/>
          </w:tcPr>
          <w:p w14:paraId="32BA46F6"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(1,591,741)</w:t>
            </w:r>
          </w:p>
        </w:tc>
        <w:tc>
          <w:tcPr>
            <w:tcW w:w="961" w:type="dxa"/>
            <w:tcBorders>
              <w:top w:val="nil"/>
              <w:left w:val="nil"/>
              <w:bottom w:val="nil"/>
              <w:right w:val="nil"/>
            </w:tcBorders>
            <w:noWrap/>
            <w:vAlign w:val="bottom"/>
            <w:hideMark/>
          </w:tcPr>
          <w:p w14:paraId="2F41086F"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(947,502)</w:t>
            </w:r>
          </w:p>
        </w:tc>
        <w:tc>
          <w:tcPr>
            <w:tcW w:w="987" w:type="dxa"/>
            <w:tcBorders>
              <w:top w:val="nil"/>
              <w:left w:val="nil"/>
              <w:bottom w:val="nil"/>
              <w:right w:val="nil"/>
            </w:tcBorders>
            <w:noWrap/>
            <w:vAlign w:val="bottom"/>
            <w:hideMark/>
          </w:tcPr>
          <w:p w14:paraId="6CED6596"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(1,050,088)</w:t>
            </w:r>
          </w:p>
        </w:tc>
      </w:tr>
      <w:tr w:rsidR="003107B5" w:rsidRPr="003107B5" w14:paraId="32A9A811" w14:textId="77777777" w:rsidTr="003107B5">
        <w:trPr>
          <w:trHeight w:val="259"/>
        </w:trPr>
        <w:tc>
          <w:tcPr>
            <w:tcW w:w="2357" w:type="dxa"/>
            <w:tcBorders>
              <w:top w:val="nil"/>
              <w:left w:val="nil"/>
              <w:bottom w:val="nil"/>
              <w:right w:val="nil"/>
            </w:tcBorders>
            <w:noWrap/>
            <w:vAlign w:val="bottom"/>
            <w:hideMark/>
          </w:tcPr>
          <w:p w14:paraId="5BBB0FD9" w14:textId="77777777" w:rsidR="003107B5" w:rsidRPr="003107B5" w:rsidRDefault="003107B5" w:rsidP="003107B5">
            <w:pPr>
              <w:widowControl/>
              <w:spacing w:after="0" w:line="240" w:lineRule="auto"/>
              <w:rPr>
                <w:rFonts w:eastAsia="Times New Roman" w:cs="Calibri"/>
                <w:color w:val="000000"/>
                <w:sz w:val="16"/>
                <w:szCs w:val="16"/>
                <w:lang w:val="en-CA" w:eastAsia="zh-CN"/>
              </w:rPr>
            </w:pPr>
            <w:r w:rsidRPr="003107B5">
              <w:rPr>
                <w:rFonts w:eastAsia="Times New Roman" w:cs="Calibri"/>
                <w:color w:val="000000"/>
                <w:sz w:val="16"/>
                <w:szCs w:val="16"/>
                <w:lang w:val="en-CA" w:eastAsia="zh-CN"/>
              </w:rPr>
              <w:t>General expenses and rent</w:t>
            </w:r>
          </w:p>
        </w:tc>
        <w:tc>
          <w:tcPr>
            <w:tcW w:w="222" w:type="dxa"/>
            <w:tcBorders>
              <w:top w:val="nil"/>
              <w:left w:val="nil"/>
              <w:bottom w:val="nil"/>
              <w:right w:val="nil"/>
            </w:tcBorders>
            <w:noWrap/>
            <w:vAlign w:val="bottom"/>
            <w:hideMark/>
          </w:tcPr>
          <w:p w14:paraId="325BD425" w14:textId="77777777" w:rsidR="003107B5" w:rsidRPr="003107B5" w:rsidRDefault="003107B5" w:rsidP="003107B5">
            <w:pPr>
              <w:widowControl/>
              <w:spacing w:after="0" w:line="240" w:lineRule="auto"/>
              <w:rPr>
                <w:rFonts w:eastAsia="Times New Roman" w:cs="Calibri"/>
                <w:color w:val="000000"/>
                <w:sz w:val="16"/>
                <w:szCs w:val="16"/>
                <w:lang w:val="en-CA" w:eastAsia="zh-CN"/>
              </w:rPr>
            </w:pPr>
          </w:p>
        </w:tc>
        <w:tc>
          <w:tcPr>
            <w:tcW w:w="222" w:type="dxa"/>
            <w:tcBorders>
              <w:top w:val="nil"/>
              <w:left w:val="nil"/>
              <w:bottom w:val="nil"/>
              <w:right w:val="nil"/>
            </w:tcBorders>
            <w:noWrap/>
            <w:vAlign w:val="bottom"/>
            <w:hideMark/>
          </w:tcPr>
          <w:p w14:paraId="07E660E4" w14:textId="77777777" w:rsidR="003107B5" w:rsidRPr="003107B5" w:rsidRDefault="003107B5" w:rsidP="003107B5">
            <w:pPr>
              <w:widowControl/>
              <w:spacing w:after="0" w:line="240" w:lineRule="auto"/>
              <w:rPr>
                <w:rFonts w:ascii="Times New Roman" w:eastAsia="Times New Roman" w:hAnsi="Times New Roman"/>
                <w:sz w:val="20"/>
                <w:szCs w:val="20"/>
                <w:lang w:val="en-CA" w:eastAsia="zh-CN"/>
              </w:rPr>
            </w:pPr>
          </w:p>
        </w:tc>
        <w:tc>
          <w:tcPr>
            <w:tcW w:w="1046" w:type="dxa"/>
            <w:tcBorders>
              <w:top w:val="nil"/>
              <w:left w:val="nil"/>
              <w:bottom w:val="nil"/>
              <w:right w:val="nil"/>
            </w:tcBorders>
            <w:noWrap/>
            <w:vAlign w:val="bottom"/>
            <w:hideMark/>
          </w:tcPr>
          <w:p w14:paraId="2C1FCF50"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(497,118)</w:t>
            </w:r>
          </w:p>
        </w:tc>
        <w:tc>
          <w:tcPr>
            <w:tcW w:w="1046" w:type="dxa"/>
            <w:tcBorders>
              <w:top w:val="nil"/>
              <w:left w:val="nil"/>
              <w:bottom w:val="nil"/>
              <w:right w:val="nil"/>
            </w:tcBorders>
            <w:noWrap/>
            <w:vAlign w:val="bottom"/>
            <w:hideMark/>
          </w:tcPr>
          <w:p w14:paraId="5B610AA6"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(1,009,778)</w:t>
            </w:r>
          </w:p>
        </w:tc>
        <w:tc>
          <w:tcPr>
            <w:tcW w:w="1041" w:type="dxa"/>
            <w:tcBorders>
              <w:top w:val="nil"/>
              <w:left w:val="nil"/>
              <w:bottom w:val="nil"/>
              <w:right w:val="nil"/>
            </w:tcBorders>
            <w:noWrap/>
            <w:vAlign w:val="bottom"/>
            <w:hideMark/>
          </w:tcPr>
          <w:p w14:paraId="34E2734C"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(898,056)</w:t>
            </w:r>
          </w:p>
        </w:tc>
        <w:tc>
          <w:tcPr>
            <w:tcW w:w="1042" w:type="dxa"/>
            <w:tcBorders>
              <w:top w:val="nil"/>
              <w:left w:val="nil"/>
              <w:bottom w:val="nil"/>
              <w:right w:val="nil"/>
            </w:tcBorders>
            <w:noWrap/>
            <w:vAlign w:val="bottom"/>
            <w:hideMark/>
          </w:tcPr>
          <w:p w14:paraId="6E6E0126"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(474,937)</w:t>
            </w:r>
          </w:p>
        </w:tc>
        <w:tc>
          <w:tcPr>
            <w:tcW w:w="1042" w:type="dxa"/>
            <w:tcBorders>
              <w:top w:val="nil"/>
              <w:left w:val="nil"/>
              <w:bottom w:val="nil"/>
              <w:right w:val="nil"/>
            </w:tcBorders>
            <w:noWrap/>
            <w:vAlign w:val="bottom"/>
            <w:hideMark/>
          </w:tcPr>
          <w:p w14:paraId="0D2F0725"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(465,448)</w:t>
            </w:r>
          </w:p>
        </w:tc>
        <w:tc>
          <w:tcPr>
            <w:tcW w:w="961" w:type="dxa"/>
            <w:tcBorders>
              <w:top w:val="nil"/>
              <w:left w:val="nil"/>
              <w:bottom w:val="nil"/>
              <w:right w:val="nil"/>
            </w:tcBorders>
            <w:noWrap/>
            <w:vAlign w:val="bottom"/>
            <w:hideMark/>
          </w:tcPr>
          <w:p w14:paraId="6031BF20"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(448,357)</w:t>
            </w:r>
          </w:p>
        </w:tc>
        <w:tc>
          <w:tcPr>
            <w:tcW w:w="961" w:type="dxa"/>
            <w:tcBorders>
              <w:top w:val="nil"/>
              <w:left w:val="nil"/>
              <w:bottom w:val="nil"/>
              <w:right w:val="nil"/>
            </w:tcBorders>
            <w:noWrap/>
            <w:vAlign w:val="bottom"/>
            <w:hideMark/>
          </w:tcPr>
          <w:p w14:paraId="6F7E20AA"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(570,819)</w:t>
            </w:r>
          </w:p>
        </w:tc>
        <w:tc>
          <w:tcPr>
            <w:tcW w:w="987" w:type="dxa"/>
            <w:tcBorders>
              <w:top w:val="nil"/>
              <w:left w:val="nil"/>
              <w:bottom w:val="nil"/>
              <w:right w:val="nil"/>
            </w:tcBorders>
            <w:noWrap/>
            <w:vAlign w:val="bottom"/>
            <w:hideMark/>
          </w:tcPr>
          <w:p w14:paraId="54B80521"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(317,333)</w:t>
            </w:r>
          </w:p>
        </w:tc>
      </w:tr>
      <w:tr w:rsidR="003107B5" w:rsidRPr="003107B5" w14:paraId="0FEA7A71" w14:textId="77777777" w:rsidTr="003107B5">
        <w:trPr>
          <w:trHeight w:val="259"/>
        </w:trPr>
        <w:tc>
          <w:tcPr>
            <w:tcW w:w="2357" w:type="dxa"/>
            <w:tcBorders>
              <w:top w:val="nil"/>
              <w:left w:val="nil"/>
              <w:bottom w:val="nil"/>
              <w:right w:val="nil"/>
            </w:tcBorders>
            <w:noWrap/>
            <w:vAlign w:val="bottom"/>
            <w:hideMark/>
          </w:tcPr>
          <w:p w14:paraId="31A16F4A" w14:textId="77777777" w:rsidR="003107B5" w:rsidRPr="003107B5" w:rsidRDefault="003107B5" w:rsidP="003107B5">
            <w:pPr>
              <w:widowControl/>
              <w:spacing w:after="0" w:line="240" w:lineRule="auto"/>
              <w:rPr>
                <w:rFonts w:eastAsia="Times New Roman" w:cs="Calibri"/>
                <w:color w:val="000000"/>
                <w:sz w:val="16"/>
                <w:szCs w:val="16"/>
                <w:lang w:val="en-CA" w:eastAsia="zh-CN"/>
              </w:rPr>
            </w:pPr>
            <w:r w:rsidRPr="003107B5">
              <w:rPr>
                <w:rFonts w:eastAsia="Times New Roman" w:cs="Calibri"/>
                <w:color w:val="000000"/>
                <w:sz w:val="16"/>
                <w:szCs w:val="16"/>
                <w:lang w:val="en-CA" w:eastAsia="zh-CN"/>
              </w:rPr>
              <w:t>Finance advisory fees</w:t>
            </w:r>
          </w:p>
        </w:tc>
        <w:tc>
          <w:tcPr>
            <w:tcW w:w="222" w:type="dxa"/>
            <w:tcBorders>
              <w:top w:val="nil"/>
              <w:left w:val="nil"/>
              <w:bottom w:val="nil"/>
              <w:right w:val="nil"/>
            </w:tcBorders>
            <w:noWrap/>
            <w:vAlign w:val="bottom"/>
            <w:hideMark/>
          </w:tcPr>
          <w:p w14:paraId="19373EEE" w14:textId="77777777" w:rsidR="003107B5" w:rsidRPr="003107B5" w:rsidRDefault="003107B5" w:rsidP="003107B5">
            <w:pPr>
              <w:widowControl/>
              <w:spacing w:after="0" w:line="240" w:lineRule="auto"/>
              <w:rPr>
                <w:rFonts w:eastAsia="Times New Roman" w:cs="Calibri"/>
                <w:color w:val="000000"/>
                <w:sz w:val="16"/>
                <w:szCs w:val="16"/>
                <w:lang w:val="en-CA" w:eastAsia="zh-CN"/>
              </w:rPr>
            </w:pPr>
          </w:p>
        </w:tc>
        <w:tc>
          <w:tcPr>
            <w:tcW w:w="222" w:type="dxa"/>
            <w:tcBorders>
              <w:top w:val="nil"/>
              <w:left w:val="nil"/>
              <w:bottom w:val="nil"/>
              <w:right w:val="nil"/>
            </w:tcBorders>
            <w:noWrap/>
            <w:vAlign w:val="bottom"/>
            <w:hideMark/>
          </w:tcPr>
          <w:p w14:paraId="7775EA27" w14:textId="77777777" w:rsidR="003107B5" w:rsidRPr="003107B5" w:rsidRDefault="003107B5" w:rsidP="003107B5">
            <w:pPr>
              <w:widowControl/>
              <w:spacing w:after="0" w:line="240" w:lineRule="auto"/>
              <w:rPr>
                <w:rFonts w:ascii="Times New Roman" w:eastAsia="Times New Roman" w:hAnsi="Times New Roman"/>
                <w:sz w:val="20"/>
                <w:szCs w:val="20"/>
                <w:lang w:val="en-CA" w:eastAsia="zh-CN"/>
              </w:rPr>
            </w:pPr>
          </w:p>
        </w:tc>
        <w:tc>
          <w:tcPr>
            <w:tcW w:w="1046" w:type="dxa"/>
            <w:tcBorders>
              <w:top w:val="nil"/>
              <w:left w:val="nil"/>
              <w:bottom w:val="nil"/>
              <w:right w:val="nil"/>
            </w:tcBorders>
            <w:noWrap/>
            <w:vAlign w:val="bottom"/>
            <w:hideMark/>
          </w:tcPr>
          <w:p w14:paraId="01A4D521"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(1,816,272)</w:t>
            </w:r>
          </w:p>
        </w:tc>
        <w:tc>
          <w:tcPr>
            <w:tcW w:w="1046" w:type="dxa"/>
            <w:tcBorders>
              <w:top w:val="nil"/>
              <w:left w:val="nil"/>
              <w:bottom w:val="nil"/>
              <w:right w:val="nil"/>
            </w:tcBorders>
            <w:noWrap/>
            <w:vAlign w:val="bottom"/>
            <w:hideMark/>
          </w:tcPr>
          <w:p w14:paraId="2B910950"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(1,302,464)</w:t>
            </w:r>
          </w:p>
        </w:tc>
        <w:tc>
          <w:tcPr>
            <w:tcW w:w="1041" w:type="dxa"/>
            <w:tcBorders>
              <w:top w:val="nil"/>
              <w:left w:val="nil"/>
              <w:bottom w:val="nil"/>
              <w:right w:val="nil"/>
            </w:tcBorders>
            <w:noWrap/>
            <w:vAlign w:val="bottom"/>
            <w:hideMark/>
          </w:tcPr>
          <w:p w14:paraId="761F0FFC"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(476,802)</w:t>
            </w:r>
          </w:p>
        </w:tc>
        <w:tc>
          <w:tcPr>
            <w:tcW w:w="1042" w:type="dxa"/>
            <w:tcBorders>
              <w:top w:val="nil"/>
              <w:left w:val="nil"/>
              <w:bottom w:val="nil"/>
              <w:right w:val="nil"/>
            </w:tcBorders>
            <w:noWrap/>
            <w:vAlign w:val="bottom"/>
            <w:hideMark/>
          </w:tcPr>
          <w:p w14:paraId="20B53EA8"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(4,239,831)</w:t>
            </w:r>
          </w:p>
        </w:tc>
        <w:tc>
          <w:tcPr>
            <w:tcW w:w="1042" w:type="dxa"/>
            <w:tcBorders>
              <w:top w:val="nil"/>
              <w:left w:val="nil"/>
              <w:bottom w:val="nil"/>
              <w:right w:val="nil"/>
            </w:tcBorders>
            <w:noWrap/>
            <w:vAlign w:val="bottom"/>
            <w:hideMark/>
          </w:tcPr>
          <w:p w14:paraId="643177E3"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(1,319,392)</w:t>
            </w:r>
          </w:p>
        </w:tc>
        <w:tc>
          <w:tcPr>
            <w:tcW w:w="961" w:type="dxa"/>
            <w:tcBorders>
              <w:top w:val="nil"/>
              <w:left w:val="nil"/>
              <w:bottom w:val="nil"/>
              <w:right w:val="nil"/>
            </w:tcBorders>
            <w:noWrap/>
            <w:vAlign w:val="bottom"/>
            <w:hideMark/>
          </w:tcPr>
          <w:p w14:paraId="58D13CE5"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(942,576)</w:t>
            </w:r>
          </w:p>
        </w:tc>
        <w:tc>
          <w:tcPr>
            <w:tcW w:w="961" w:type="dxa"/>
            <w:tcBorders>
              <w:top w:val="nil"/>
              <w:left w:val="nil"/>
              <w:bottom w:val="nil"/>
              <w:right w:val="nil"/>
            </w:tcBorders>
            <w:noWrap/>
            <w:vAlign w:val="bottom"/>
            <w:hideMark/>
          </w:tcPr>
          <w:p w14:paraId="6E19F993"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   </w:t>
            </w:r>
          </w:p>
        </w:tc>
        <w:tc>
          <w:tcPr>
            <w:tcW w:w="987" w:type="dxa"/>
            <w:tcBorders>
              <w:top w:val="nil"/>
              <w:left w:val="nil"/>
              <w:bottom w:val="nil"/>
              <w:right w:val="nil"/>
            </w:tcBorders>
            <w:noWrap/>
            <w:vAlign w:val="bottom"/>
            <w:hideMark/>
          </w:tcPr>
          <w:p w14:paraId="75887B2E"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   </w:t>
            </w:r>
          </w:p>
        </w:tc>
      </w:tr>
      <w:tr w:rsidR="003107B5" w:rsidRPr="003107B5" w14:paraId="1172BABD" w14:textId="77777777" w:rsidTr="003107B5">
        <w:trPr>
          <w:trHeight w:val="259"/>
        </w:trPr>
        <w:tc>
          <w:tcPr>
            <w:tcW w:w="2357" w:type="dxa"/>
            <w:tcBorders>
              <w:top w:val="nil"/>
              <w:left w:val="nil"/>
              <w:bottom w:val="nil"/>
              <w:right w:val="nil"/>
            </w:tcBorders>
            <w:noWrap/>
            <w:vAlign w:val="bottom"/>
            <w:hideMark/>
          </w:tcPr>
          <w:p w14:paraId="3167F5BA" w14:textId="77777777" w:rsidR="003107B5" w:rsidRPr="003107B5" w:rsidRDefault="003107B5" w:rsidP="003107B5">
            <w:pPr>
              <w:widowControl/>
              <w:spacing w:after="0" w:line="240" w:lineRule="auto"/>
              <w:rPr>
                <w:rFonts w:eastAsia="Times New Roman" w:cs="Calibri"/>
                <w:color w:val="000000"/>
                <w:sz w:val="16"/>
                <w:szCs w:val="16"/>
                <w:lang w:val="en-CA" w:eastAsia="zh-CN"/>
              </w:rPr>
            </w:pPr>
            <w:r w:rsidRPr="003107B5">
              <w:rPr>
                <w:rFonts w:eastAsia="Times New Roman" w:cs="Calibri"/>
                <w:color w:val="000000"/>
                <w:sz w:val="16"/>
                <w:szCs w:val="16"/>
                <w:lang w:val="en-CA" w:eastAsia="zh-CN"/>
              </w:rPr>
              <w:t>Derivative liability adjustment</w:t>
            </w:r>
          </w:p>
        </w:tc>
        <w:tc>
          <w:tcPr>
            <w:tcW w:w="222" w:type="dxa"/>
            <w:tcBorders>
              <w:top w:val="nil"/>
              <w:left w:val="nil"/>
              <w:bottom w:val="nil"/>
              <w:right w:val="nil"/>
            </w:tcBorders>
            <w:noWrap/>
            <w:vAlign w:val="bottom"/>
            <w:hideMark/>
          </w:tcPr>
          <w:p w14:paraId="7C4AAEA4" w14:textId="77777777" w:rsidR="003107B5" w:rsidRPr="003107B5" w:rsidRDefault="003107B5" w:rsidP="003107B5">
            <w:pPr>
              <w:widowControl/>
              <w:spacing w:after="0" w:line="240" w:lineRule="auto"/>
              <w:rPr>
                <w:rFonts w:eastAsia="Times New Roman" w:cs="Calibri"/>
                <w:color w:val="000000"/>
                <w:sz w:val="16"/>
                <w:szCs w:val="16"/>
                <w:lang w:val="en-CA" w:eastAsia="zh-CN"/>
              </w:rPr>
            </w:pPr>
          </w:p>
        </w:tc>
        <w:tc>
          <w:tcPr>
            <w:tcW w:w="222" w:type="dxa"/>
            <w:tcBorders>
              <w:top w:val="nil"/>
              <w:left w:val="nil"/>
              <w:bottom w:val="nil"/>
              <w:right w:val="nil"/>
            </w:tcBorders>
            <w:noWrap/>
            <w:vAlign w:val="bottom"/>
            <w:hideMark/>
          </w:tcPr>
          <w:p w14:paraId="581AD41F" w14:textId="77777777" w:rsidR="003107B5" w:rsidRPr="003107B5" w:rsidRDefault="003107B5" w:rsidP="003107B5">
            <w:pPr>
              <w:widowControl/>
              <w:spacing w:after="0" w:line="240" w:lineRule="auto"/>
              <w:rPr>
                <w:rFonts w:ascii="Times New Roman" w:eastAsia="Times New Roman" w:hAnsi="Times New Roman"/>
                <w:sz w:val="20"/>
                <w:szCs w:val="20"/>
                <w:lang w:val="en-CA" w:eastAsia="zh-CN"/>
              </w:rPr>
            </w:pPr>
          </w:p>
        </w:tc>
        <w:tc>
          <w:tcPr>
            <w:tcW w:w="1046" w:type="dxa"/>
            <w:tcBorders>
              <w:top w:val="nil"/>
              <w:left w:val="nil"/>
              <w:bottom w:val="nil"/>
              <w:right w:val="nil"/>
            </w:tcBorders>
            <w:noWrap/>
            <w:vAlign w:val="bottom"/>
            <w:hideMark/>
          </w:tcPr>
          <w:p w14:paraId="18487D8F"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(2,414,223)</w:t>
            </w:r>
          </w:p>
        </w:tc>
        <w:tc>
          <w:tcPr>
            <w:tcW w:w="1046" w:type="dxa"/>
            <w:tcBorders>
              <w:top w:val="nil"/>
              <w:left w:val="nil"/>
              <w:bottom w:val="nil"/>
              <w:right w:val="nil"/>
            </w:tcBorders>
            <w:noWrap/>
            <w:vAlign w:val="bottom"/>
            <w:hideMark/>
          </w:tcPr>
          <w:p w14:paraId="300597B0"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(7,559,991)</w:t>
            </w:r>
          </w:p>
        </w:tc>
        <w:tc>
          <w:tcPr>
            <w:tcW w:w="1041" w:type="dxa"/>
            <w:tcBorders>
              <w:top w:val="nil"/>
              <w:left w:val="nil"/>
              <w:bottom w:val="nil"/>
              <w:right w:val="nil"/>
            </w:tcBorders>
            <w:noWrap/>
            <w:vAlign w:val="bottom"/>
            <w:hideMark/>
          </w:tcPr>
          <w:p w14:paraId="61991261"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15,382,971 </w:t>
            </w:r>
          </w:p>
        </w:tc>
        <w:tc>
          <w:tcPr>
            <w:tcW w:w="1042" w:type="dxa"/>
            <w:tcBorders>
              <w:top w:val="nil"/>
              <w:left w:val="nil"/>
              <w:bottom w:val="nil"/>
              <w:right w:val="nil"/>
            </w:tcBorders>
            <w:noWrap/>
            <w:vAlign w:val="bottom"/>
            <w:hideMark/>
          </w:tcPr>
          <w:p w14:paraId="4862EC1A"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(12,444,661)</w:t>
            </w:r>
          </w:p>
        </w:tc>
        <w:tc>
          <w:tcPr>
            <w:tcW w:w="1042" w:type="dxa"/>
            <w:tcBorders>
              <w:top w:val="nil"/>
              <w:left w:val="nil"/>
              <w:bottom w:val="nil"/>
              <w:right w:val="nil"/>
            </w:tcBorders>
            <w:noWrap/>
            <w:vAlign w:val="bottom"/>
            <w:hideMark/>
          </w:tcPr>
          <w:p w14:paraId="16088B9F"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(6,179,836)</w:t>
            </w:r>
          </w:p>
        </w:tc>
        <w:tc>
          <w:tcPr>
            <w:tcW w:w="961" w:type="dxa"/>
            <w:tcBorders>
              <w:top w:val="nil"/>
              <w:left w:val="nil"/>
              <w:bottom w:val="nil"/>
              <w:right w:val="nil"/>
            </w:tcBorders>
            <w:noWrap/>
            <w:vAlign w:val="bottom"/>
            <w:hideMark/>
          </w:tcPr>
          <w:p w14:paraId="60E114FF"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(1,376,761)</w:t>
            </w:r>
          </w:p>
        </w:tc>
        <w:tc>
          <w:tcPr>
            <w:tcW w:w="961" w:type="dxa"/>
            <w:tcBorders>
              <w:top w:val="nil"/>
              <w:left w:val="nil"/>
              <w:bottom w:val="nil"/>
              <w:right w:val="nil"/>
            </w:tcBorders>
            <w:noWrap/>
            <w:vAlign w:val="bottom"/>
            <w:hideMark/>
          </w:tcPr>
          <w:p w14:paraId="35EF6A5B"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(629,824)</w:t>
            </w:r>
          </w:p>
        </w:tc>
        <w:tc>
          <w:tcPr>
            <w:tcW w:w="987" w:type="dxa"/>
            <w:tcBorders>
              <w:top w:val="nil"/>
              <w:left w:val="nil"/>
              <w:bottom w:val="nil"/>
              <w:right w:val="nil"/>
            </w:tcBorders>
            <w:noWrap/>
            <w:vAlign w:val="bottom"/>
            <w:hideMark/>
          </w:tcPr>
          <w:p w14:paraId="3CCFF83B"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(24,865)</w:t>
            </w:r>
          </w:p>
        </w:tc>
      </w:tr>
      <w:tr w:rsidR="003107B5" w:rsidRPr="003107B5" w14:paraId="3239880A" w14:textId="77777777" w:rsidTr="003107B5">
        <w:trPr>
          <w:trHeight w:val="259"/>
        </w:trPr>
        <w:tc>
          <w:tcPr>
            <w:tcW w:w="2357" w:type="dxa"/>
            <w:tcBorders>
              <w:top w:val="nil"/>
              <w:left w:val="nil"/>
              <w:bottom w:val="nil"/>
              <w:right w:val="nil"/>
            </w:tcBorders>
            <w:noWrap/>
            <w:vAlign w:val="bottom"/>
            <w:hideMark/>
          </w:tcPr>
          <w:p w14:paraId="7972AD30" w14:textId="77777777" w:rsidR="003107B5" w:rsidRPr="003107B5" w:rsidRDefault="003107B5" w:rsidP="003107B5">
            <w:pPr>
              <w:widowControl/>
              <w:spacing w:after="0" w:line="240" w:lineRule="auto"/>
              <w:rPr>
                <w:rFonts w:eastAsia="Times New Roman" w:cs="Calibri"/>
                <w:color w:val="000000"/>
                <w:sz w:val="16"/>
                <w:szCs w:val="16"/>
                <w:lang w:val="en-CA" w:eastAsia="zh-CN"/>
              </w:rPr>
            </w:pPr>
            <w:r w:rsidRPr="003107B5">
              <w:rPr>
                <w:rFonts w:eastAsia="Times New Roman" w:cs="Calibri"/>
                <w:color w:val="000000"/>
                <w:sz w:val="16"/>
                <w:szCs w:val="16"/>
                <w:lang w:val="en-CA" w:eastAsia="zh-CN"/>
              </w:rPr>
              <w:t>Interest expense</w:t>
            </w:r>
          </w:p>
        </w:tc>
        <w:tc>
          <w:tcPr>
            <w:tcW w:w="222" w:type="dxa"/>
            <w:tcBorders>
              <w:top w:val="nil"/>
              <w:left w:val="nil"/>
              <w:bottom w:val="nil"/>
              <w:right w:val="nil"/>
            </w:tcBorders>
            <w:noWrap/>
            <w:vAlign w:val="bottom"/>
            <w:hideMark/>
          </w:tcPr>
          <w:p w14:paraId="3F6B040C" w14:textId="77777777" w:rsidR="003107B5" w:rsidRPr="003107B5" w:rsidRDefault="003107B5" w:rsidP="003107B5">
            <w:pPr>
              <w:widowControl/>
              <w:spacing w:after="0" w:line="240" w:lineRule="auto"/>
              <w:rPr>
                <w:rFonts w:eastAsia="Times New Roman" w:cs="Calibri"/>
                <w:color w:val="000000"/>
                <w:sz w:val="16"/>
                <w:szCs w:val="16"/>
                <w:lang w:val="en-CA" w:eastAsia="zh-CN"/>
              </w:rPr>
            </w:pPr>
          </w:p>
        </w:tc>
        <w:tc>
          <w:tcPr>
            <w:tcW w:w="222" w:type="dxa"/>
            <w:tcBorders>
              <w:top w:val="nil"/>
              <w:left w:val="nil"/>
              <w:bottom w:val="nil"/>
              <w:right w:val="nil"/>
            </w:tcBorders>
            <w:noWrap/>
            <w:vAlign w:val="bottom"/>
            <w:hideMark/>
          </w:tcPr>
          <w:p w14:paraId="078712B6" w14:textId="77777777" w:rsidR="003107B5" w:rsidRPr="003107B5" w:rsidRDefault="003107B5" w:rsidP="003107B5">
            <w:pPr>
              <w:widowControl/>
              <w:spacing w:after="0" w:line="240" w:lineRule="auto"/>
              <w:rPr>
                <w:rFonts w:ascii="Times New Roman" w:eastAsia="Times New Roman" w:hAnsi="Times New Roman"/>
                <w:sz w:val="20"/>
                <w:szCs w:val="20"/>
                <w:lang w:val="en-CA" w:eastAsia="zh-CN"/>
              </w:rPr>
            </w:pPr>
          </w:p>
        </w:tc>
        <w:tc>
          <w:tcPr>
            <w:tcW w:w="1046" w:type="dxa"/>
            <w:tcBorders>
              <w:top w:val="nil"/>
              <w:left w:val="nil"/>
              <w:bottom w:val="nil"/>
              <w:right w:val="nil"/>
            </w:tcBorders>
            <w:noWrap/>
            <w:vAlign w:val="bottom"/>
            <w:hideMark/>
          </w:tcPr>
          <w:p w14:paraId="63E57521"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(31,429)</w:t>
            </w:r>
          </w:p>
        </w:tc>
        <w:tc>
          <w:tcPr>
            <w:tcW w:w="1046" w:type="dxa"/>
            <w:tcBorders>
              <w:top w:val="nil"/>
              <w:left w:val="nil"/>
              <w:bottom w:val="nil"/>
              <w:right w:val="nil"/>
            </w:tcBorders>
            <w:noWrap/>
            <w:vAlign w:val="bottom"/>
            <w:hideMark/>
          </w:tcPr>
          <w:p w14:paraId="74CB68D9"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(30,925)</w:t>
            </w:r>
          </w:p>
        </w:tc>
        <w:tc>
          <w:tcPr>
            <w:tcW w:w="1041" w:type="dxa"/>
            <w:tcBorders>
              <w:top w:val="nil"/>
              <w:left w:val="nil"/>
              <w:bottom w:val="nil"/>
              <w:right w:val="nil"/>
            </w:tcBorders>
            <w:noWrap/>
            <w:vAlign w:val="bottom"/>
            <w:hideMark/>
          </w:tcPr>
          <w:p w14:paraId="3A824252"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(32,786)</w:t>
            </w:r>
          </w:p>
        </w:tc>
        <w:tc>
          <w:tcPr>
            <w:tcW w:w="1042" w:type="dxa"/>
            <w:tcBorders>
              <w:top w:val="nil"/>
              <w:left w:val="nil"/>
              <w:bottom w:val="nil"/>
              <w:right w:val="nil"/>
            </w:tcBorders>
            <w:noWrap/>
            <w:vAlign w:val="bottom"/>
            <w:hideMark/>
          </w:tcPr>
          <w:p w14:paraId="32371670"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(31,605)</w:t>
            </w:r>
          </w:p>
        </w:tc>
        <w:tc>
          <w:tcPr>
            <w:tcW w:w="1042" w:type="dxa"/>
            <w:tcBorders>
              <w:top w:val="nil"/>
              <w:left w:val="nil"/>
              <w:bottom w:val="nil"/>
              <w:right w:val="nil"/>
            </w:tcBorders>
            <w:noWrap/>
            <w:vAlign w:val="bottom"/>
            <w:hideMark/>
          </w:tcPr>
          <w:p w14:paraId="06648794"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(30,482)</w:t>
            </w:r>
          </w:p>
        </w:tc>
        <w:tc>
          <w:tcPr>
            <w:tcW w:w="961" w:type="dxa"/>
            <w:tcBorders>
              <w:top w:val="nil"/>
              <w:left w:val="nil"/>
              <w:bottom w:val="nil"/>
              <w:right w:val="nil"/>
            </w:tcBorders>
            <w:noWrap/>
            <w:vAlign w:val="bottom"/>
            <w:hideMark/>
          </w:tcPr>
          <w:p w14:paraId="59B1F7C7"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(20,833)</w:t>
            </w:r>
          </w:p>
        </w:tc>
        <w:tc>
          <w:tcPr>
            <w:tcW w:w="961" w:type="dxa"/>
            <w:tcBorders>
              <w:top w:val="nil"/>
              <w:left w:val="nil"/>
              <w:bottom w:val="nil"/>
              <w:right w:val="nil"/>
            </w:tcBorders>
            <w:noWrap/>
            <w:vAlign w:val="bottom"/>
            <w:hideMark/>
          </w:tcPr>
          <w:p w14:paraId="1B7B8448"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(19,753)</w:t>
            </w:r>
          </w:p>
        </w:tc>
        <w:tc>
          <w:tcPr>
            <w:tcW w:w="987" w:type="dxa"/>
            <w:tcBorders>
              <w:top w:val="nil"/>
              <w:left w:val="nil"/>
              <w:bottom w:val="nil"/>
              <w:right w:val="nil"/>
            </w:tcBorders>
            <w:noWrap/>
            <w:vAlign w:val="bottom"/>
            <w:hideMark/>
          </w:tcPr>
          <w:p w14:paraId="6C8E82B7"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(13,547)</w:t>
            </w:r>
          </w:p>
        </w:tc>
      </w:tr>
      <w:tr w:rsidR="003107B5" w:rsidRPr="003107B5" w14:paraId="5DFCC96A" w14:textId="77777777" w:rsidTr="003107B5">
        <w:trPr>
          <w:trHeight w:val="259"/>
        </w:trPr>
        <w:tc>
          <w:tcPr>
            <w:tcW w:w="2357" w:type="dxa"/>
            <w:tcBorders>
              <w:top w:val="nil"/>
              <w:left w:val="nil"/>
              <w:bottom w:val="nil"/>
              <w:right w:val="nil"/>
            </w:tcBorders>
            <w:noWrap/>
            <w:vAlign w:val="bottom"/>
            <w:hideMark/>
          </w:tcPr>
          <w:p w14:paraId="6424AE4A" w14:textId="77777777" w:rsidR="003107B5" w:rsidRPr="003107B5" w:rsidRDefault="003107B5" w:rsidP="003107B5">
            <w:pPr>
              <w:widowControl/>
              <w:spacing w:after="0" w:line="240" w:lineRule="auto"/>
              <w:rPr>
                <w:rFonts w:eastAsia="Times New Roman" w:cs="Calibri"/>
                <w:color w:val="000000"/>
                <w:sz w:val="16"/>
                <w:szCs w:val="16"/>
                <w:lang w:val="en-CA" w:eastAsia="zh-CN"/>
              </w:rPr>
            </w:pPr>
            <w:r w:rsidRPr="003107B5">
              <w:rPr>
                <w:rFonts w:eastAsia="Times New Roman" w:cs="Calibri"/>
                <w:color w:val="000000"/>
                <w:sz w:val="16"/>
                <w:szCs w:val="16"/>
                <w:lang w:val="en-CA" w:eastAsia="zh-CN"/>
              </w:rPr>
              <w:t>Other (income), including interest</w:t>
            </w:r>
          </w:p>
        </w:tc>
        <w:tc>
          <w:tcPr>
            <w:tcW w:w="222" w:type="dxa"/>
            <w:tcBorders>
              <w:top w:val="nil"/>
              <w:left w:val="nil"/>
              <w:bottom w:val="nil"/>
              <w:right w:val="nil"/>
            </w:tcBorders>
            <w:noWrap/>
            <w:vAlign w:val="bottom"/>
            <w:hideMark/>
          </w:tcPr>
          <w:p w14:paraId="6E3F31BC" w14:textId="77777777" w:rsidR="003107B5" w:rsidRPr="003107B5" w:rsidRDefault="003107B5" w:rsidP="003107B5">
            <w:pPr>
              <w:widowControl/>
              <w:spacing w:after="0" w:line="240" w:lineRule="auto"/>
              <w:rPr>
                <w:rFonts w:eastAsia="Times New Roman" w:cs="Calibri"/>
                <w:color w:val="000000"/>
                <w:sz w:val="16"/>
                <w:szCs w:val="16"/>
                <w:lang w:val="en-CA" w:eastAsia="zh-CN"/>
              </w:rPr>
            </w:pPr>
          </w:p>
        </w:tc>
        <w:tc>
          <w:tcPr>
            <w:tcW w:w="222" w:type="dxa"/>
            <w:tcBorders>
              <w:top w:val="nil"/>
              <w:left w:val="nil"/>
              <w:bottom w:val="nil"/>
              <w:right w:val="nil"/>
            </w:tcBorders>
            <w:noWrap/>
            <w:vAlign w:val="bottom"/>
            <w:hideMark/>
          </w:tcPr>
          <w:p w14:paraId="0963E5DF" w14:textId="77777777" w:rsidR="003107B5" w:rsidRPr="003107B5" w:rsidRDefault="003107B5" w:rsidP="003107B5">
            <w:pPr>
              <w:widowControl/>
              <w:spacing w:after="0" w:line="240" w:lineRule="auto"/>
              <w:rPr>
                <w:rFonts w:ascii="Times New Roman" w:eastAsia="Times New Roman" w:hAnsi="Times New Roman"/>
                <w:sz w:val="20"/>
                <w:szCs w:val="20"/>
                <w:lang w:val="en-CA" w:eastAsia="zh-CN"/>
              </w:rPr>
            </w:pPr>
          </w:p>
        </w:tc>
        <w:tc>
          <w:tcPr>
            <w:tcW w:w="1046" w:type="dxa"/>
            <w:tcBorders>
              <w:top w:val="nil"/>
              <w:left w:val="nil"/>
              <w:bottom w:val="nil"/>
              <w:right w:val="nil"/>
            </w:tcBorders>
            <w:noWrap/>
            <w:vAlign w:val="bottom"/>
            <w:hideMark/>
          </w:tcPr>
          <w:p w14:paraId="58765721"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989,007 </w:t>
            </w:r>
          </w:p>
        </w:tc>
        <w:tc>
          <w:tcPr>
            <w:tcW w:w="1046" w:type="dxa"/>
            <w:tcBorders>
              <w:top w:val="nil"/>
              <w:left w:val="nil"/>
              <w:bottom w:val="nil"/>
              <w:right w:val="nil"/>
            </w:tcBorders>
            <w:noWrap/>
            <w:vAlign w:val="bottom"/>
            <w:hideMark/>
          </w:tcPr>
          <w:p w14:paraId="4EF972E4"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533,308 </w:t>
            </w:r>
          </w:p>
        </w:tc>
        <w:tc>
          <w:tcPr>
            <w:tcW w:w="1041" w:type="dxa"/>
            <w:tcBorders>
              <w:top w:val="nil"/>
              <w:left w:val="nil"/>
              <w:bottom w:val="nil"/>
              <w:right w:val="nil"/>
            </w:tcBorders>
            <w:noWrap/>
            <w:vAlign w:val="bottom"/>
            <w:hideMark/>
          </w:tcPr>
          <w:p w14:paraId="52B96FDD"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527,782 </w:t>
            </w:r>
          </w:p>
        </w:tc>
        <w:tc>
          <w:tcPr>
            <w:tcW w:w="1042" w:type="dxa"/>
            <w:tcBorders>
              <w:top w:val="nil"/>
              <w:left w:val="nil"/>
              <w:bottom w:val="nil"/>
              <w:right w:val="nil"/>
            </w:tcBorders>
            <w:noWrap/>
            <w:vAlign w:val="bottom"/>
            <w:hideMark/>
          </w:tcPr>
          <w:p w14:paraId="2F0565BA"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511,448 </w:t>
            </w:r>
          </w:p>
        </w:tc>
        <w:tc>
          <w:tcPr>
            <w:tcW w:w="1042" w:type="dxa"/>
            <w:tcBorders>
              <w:top w:val="nil"/>
              <w:left w:val="nil"/>
              <w:bottom w:val="nil"/>
              <w:right w:val="nil"/>
            </w:tcBorders>
            <w:noWrap/>
            <w:vAlign w:val="bottom"/>
            <w:hideMark/>
          </w:tcPr>
          <w:p w14:paraId="7D1C4E62"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216,337 </w:t>
            </w:r>
          </w:p>
        </w:tc>
        <w:tc>
          <w:tcPr>
            <w:tcW w:w="961" w:type="dxa"/>
            <w:tcBorders>
              <w:top w:val="nil"/>
              <w:left w:val="nil"/>
              <w:bottom w:val="nil"/>
              <w:right w:val="nil"/>
            </w:tcBorders>
            <w:noWrap/>
            <w:vAlign w:val="bottom"/>
            <w:hideMark/>
          </w:tcPr>
          <w:p w14:paraId="41F8002F"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174,911 </w:t>
            </w:r>
          </w:p>
        </w:tc>
        <w:tc>
          <w:tcPr>
            <w:tcW w:w="961" w:type="dxa"/>
            <w:tcBorders>
              <w:top w:val="nil"/>
              <w:left w:val="nil"/>
              <w:bottom w:val="nil"/>
              <w:right w:val="nil"/>
            </w:tcBorders>
            <w:noWrap/>
            <w:vAlign w:val="bottom"/>
            <w:hideMark/>
          </w:tcPr>
          <w:p w14:paraId="622BEB35"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52,558 </w:t>
            </w:r>
          </w:p>
        </w:tc>
        <w:tc>
          <w:tcPr>
            <w:tcW w:w="987" w:type="dxa"/>
            <w:tcBorders>
              <w:top w:val="nil"/>
              <w:left w:val="nil"/>
              <w:bottom w:val="nil"/>
              <w:right w:val="nil"/>
            </w:tcBorders>
            <w:noWrap/>
            <w:vAlign w:val="bottom"/>
            <w:hideMark/>
          </w:tcPr>
          <w:p w14:paraId="49EB2BD1"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54,047 </w:t>
            </w:r>
          </w:p>
        </w:tc>
      </w:tr>
      <w:tr w:rsidR="003107B5" w:rsidRPr="003107B5" w14:paraId="66BD8392" w14:textId="77777777" w:rsidTr="003107B5">
        <w:trPr>
          <w:trHeight w:val="246"/>
        </w:trPr>
        <w:tc>
          <w:tcPr>
            <w:tcW w:w="2357" w:type="dxa"/>
            <w:tcBorders>
              <w:top w:val="nil"/>
              <w:left w:val="nil"/>
              <w:bottom w:val="nil"/>
              <w:right w:val="nil"/>
            </w:tcBorders>
            <w:noWrap/>
            <w:vAlign w:val="bottom"/>
            <w:hideMark/>
          </w:tcPr>
          <w:p w14:paraId="45C7D534" w14:textId="77777777" w:rsidR="003107B5" w:rsidRPr="003107B5" w:rsidRDefault="003107B5" w:rsidP="003107B5">
            <w:pPr>
              <w:widowControl/>
              <w:spacing w:after="0" w:line="240" w:lineRule="auto"/>
              <w:rPr>
                <w:rFonts w:eastAsia="Times New Roman" w:cs="Calibri"/>
                <w:color w:val="000000"/>
                <w:sz w:val="16"/>
                <w:szCs w:val="16"/>
                <w:lang w:val="en-CA" w:eastAsia="zh-CN"/>
              </w:rPr>
            </w:pPr>
            <w:r w:rsidRPr="003107B5">
              <w:rPr>
                <w:rFonts w:eastAsia="Times New Roman" w:cs="Calibri"/>
                <w:color w:val="000000"/>
                <w:sz w:val="16"/>
                <w:szCs w:val="16"/>
                <w:lang w:val="en-CA" w:eastAsia="zh-CN"/>
              </w:rPr>
              <w:t>Unrealized foreign exchange loss</w:t>
            </w:r>
          </w:p>
        </w:tc>
        <w:tc>
          <w:tcPr>
            <w:tcW w:w="222" w:type="dxa"/>
            <w:tcBorders>
              <w:top w:val="nil"/>
              <w:left w:val="nil"/>
              <w:bottom w:val="nil"/>
              <w:right w:val="nil"/>
            </w:tcBorders>
            <w:noWrap/>
            <w:vAlign w:val="bottom"/>
            <w:hideMark/>
          </w:tcPr>
          <w:p w14:paraId="1E4B02BC" w14:textId="77777777" w:rsidR="003107B5" w:rsidRPr="003107B5" w:rsidRDefault="003107B5" w:rsidP="003107B5">
            <w:pPr>
              <w:widowControl/>
              <w:spacing w:after="0" w:line="240" w:lineRule="auto"/>
              <w:rPr>
                <w:rFonts w:eastAsia="Times New Roman" w:cs="Calibri"/>
                <w:color w:val="000000"/>
                <w:sz w:val="16"/>
                <w:szCs w:val="16"/>
                <w:lang w:val="en-CA" w:eastAsia="zh-CN"/>
              </w:rPr>
            </w:pPr>
          </w:p>
        </w:tc>
        <w:tc>
          <w:tcPr>
            <w:tcW w:w="222" w:type="dxa"/>
            <w:tcBorders>
              <w:top w:val="nil"/>
              <w:left w:val="nil"/>
              <w:bottom w:val="nil"/>
              <w:right w:val="nil"/>
            </w:tcBorders>
            <w:noWrap/>
            <w:vAlign w:val="bottom"/>
            <w:hideMark/>
          </w:tcPr>
          <w:p w14:paraId="3EB4ADC7" w14:textId="77777777" w:rsidR="003107B5" w:rsidRPr="003107B5" w:rsidRDefault="003107B5" w:rsidP="003107B5">
            <w:pPr>
              <w:widowControl/>
              <w:spacing w:after="0" w:line="240" w:lineRule="auto"/>
              <w:rPr>
                <w:rFonts w:ascii="Times New Roman" w:eastAsia="Times New Roman" w:hAnsi="Times New Roman"/>
                <w:sz w:val="20"/>
                <w:szCs w:val="20"/>
                <w:lang w:val="en-CA" w:eastAsia="zh-CN"/>
              </w:rPr>
            </w:pPr>
          </w:p>
        </w:tc>
        <w:tc>
          <w:tcPr>
            <w:tcW w:w="1046" w:type="dxa"/>
            <w:tcBorders>
              <w:top w:val="nil"/>
              <w:left w:val="nil"/>
              <w:bottom w:val="nil"/>
              <w:right w:val="nil"/>
            </w:tcBorders>
            <w:noWrap/>
            <w:vAlign w:val="bottom"/>
            <w:hideMark/>
          </w:tcPr>
          <w:p w14:paraId="347B9013"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1,641,602 </w:t>
            </w:r>
          </w:p>
        </w:tc>
        <w:tc>
          <w:tcPr>
            <w:tcW w:w="1046" w:type="dxa"/>
            <w:tcBorders>
              <w:top w:val="nil"/>
              <w:left w:val="nil"/>
              <w:bottom w:val="nil"/>
              <w:right w:val="nil"/>
            </w:tcBorders>
            <w:noWrap/>
            <w:vAlign w:val="bottom"/>
            <w:hideMark/>
          </w:tcPr>
          <w:p w14:paraId="0352E825"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(1,448,691)</w:t>
            </w:r>
          </w:p>
        </w:tc>
        <w:tc>
          <w:tcPr>
            <w:tcW w:w="1041" w:type="dxa"/>
            <w:tcBorders>
              <w:top w:val="nil"/>
              <w:left w:val="nil"/>
              <w:bottom w:val="nil"/>
              <w:right w:val="nil"/>
            </w:tcBorders>
            <w:noWrap/>
            <w:vAlign w:val="bottom"/>
            <w:hideMark/>
          </w:tcPr>
          <w:p w14:paraId="1EA0929C" w14:textId="7CBF2F65"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   </w:t>
            </w:r>
          </w:p>
        </w:tc>
        <w:tc>
          <w:tcPr>
            <w:tcW w:w="1042" w:type="dxa"/>
            <w:tcBorders>
              <w:top w:val="nil"/>
              <w:left w:val="nil"/>
              <w:bottom w:val="nil"/>
              <w:right w:val="nil"/>
            </w:tcBorders>
            <w:noWrap/>
            <w:vAlign w:val="bottom"/>
            <w:hideMark/>
          </w:tcPr>
          <w:p w14:paraId="112522E0" w14:textId="4D8A3F7C" w:rsidR="003107B5" w:rsidRPr="003107B5" w:rsidRDefault="003107B5" w:rsidP="003107B5">
            <w:pPr>
              <w:widowControl/>
              <w:spacing w:after="0" w:line="240" w:lineRule="auto"/>
              <w:jc w:val="right"/>
              <w:rPr>
                <w:rFonts w:ascii="Times New Roman" w:eastAsia="Times New Roman" w:hAnsi="Times New Roman"/>
                <w:sz w:val="20"/>
                <w:szCs w:val="20"/>
                <w:lang w:val="en-CA" w:eastAsia="zh-CN"/>
              </w:rPr>
            </w:pPr>
            <w:r w:rsidRPr="003107B5">
              <w:rPr>
                <w:rFonts w:eastAsia="Times New Roman" w:cs="Calibri"/>
                <w:color w:val="000000"/>
                <w:sz w:val="16"/>
                <w:szCs w:val="16"/>
                <w:lang w:val="en-CA" w:eastAsia="zh-CN"/>
              </w:rPr>
              <w:t xml:space="preserve">                                  -   </w:t>
            </w:r>
          </w:p>
        </w:tc>
        <w:tc>
          <w:tcPr>
            <w:tcW w:w="1042" w:type="dxa"/>
            <w:tcBorders>
              <w:top w:val="nil"/>
              <w:left w:val="nil"/>
              <w:bottom w:val="nil"/>
              <w:right w:val="nil"/>
            </w:tcBorders>
            <w:noWrap/>
            <w:vAlign w:val="bottom"/>
            <w:hideMark/>
          </w:tcPr>
          <w:p w14:paraId="58B79855" w14:textId="4BB25362" w:rsidR="003107B5" w:rsidRPr="003107B5" w:rsidRDefault="003107B5" w:rsidP="003107B5">
            <w:pPr>
              <w:widowControl/>
              <w:spacing w:after="0" w:line="240" w:lineRule="auto"/>
              <w:jc w:val="right"/>
              <w:rPr>
                <w:rFonts w:ascii="Times New Roman" w:eastAsia="Times New Roman" w:hAnsi="Times New Roman"/>
                <w:sz w:val="20"/>
                <w:szCs w:val="20"/>
                <w:lang w:val="en-CA" w:eastAsia="zh-CN"/>
              </w:rPr>
            </w:pPr>
            <w:r w:rsidRPr="003107B5">
              <w:rPr>
                <w:rFonts w:eastAsia="Times New Roman" w:cs="Calibri"/>
                <w:color w:val="000000"/>
                <w:sz w:val="16"/>
                <w:szCs w:val="16"/>
                <w:lang w:val="en-CA" w:eastAsia="zh-CN"/>
              </w:rPr>
              <w:t xml:space="preserve">                                  -   </w:t>
            </w:r>
          </w:p>
        </w:tc>
        <w:tc>
          <w:tcPr>
            <w:tcW w:w="961" w:type="dxa"/>
            <w:tcBorders>
              <w:top w:val="nil"/>
              <w:left w:val="nil"/>
              <w:bottom w:val="nil"/>
              <w:right w:val="nil"/>
            </w:tcBorders>
            <w:noWrap/>
            <w:vAlign w:val="bottom"/>
            <w:hideMark/>
          </w:tcPr>
          <w:p w14:paraId="165BCE1F" w14:textId="4BFC1206" w:rsidR="003107B5" w:rsidRPr="003107B5" w:rsidRDefault="003107B5" w:rsidP="003107B5">
            <w:pPr>
              <w:widowControl/>
              <w:spacing w:after="0" w:line="240" w:lineRule="auto"/>
              <w:jc w:val="right"/>
              <w:rPr>
                <w:rFonts w:ascii="Times New Roman" w:eastAsia="Times New Roman" w:hAnsi="Times New Roman"/>
                <w:sz w:val="20"/>
                <w:szCs w:val="20"/>
                <w:lang w:val="en-CA" w:eastAsia="zh-CN"/>
              </w:rPr>
            </w:pPr>
            <w:r w:rsidRPr="003107B5">
              <w:rPr>
                <w:rFonts w:eastAsia="Times New Roman" w:cs="Calibri"/>
                <w:color w:val="000000"/>
                <w:sz w:val="16"/>
                <w:szCs w:val="16"/>
                <w:lang w:val="en-CA" w:eastAsia="zh-CN"/>
              </w:rPr>
              <w:t xml:space="preserve">                                  -   </w:t>
            </w:r>
          </w:p>
        </w:tc>
        <w:tc>
          <w:tcPr>
            <w:tcW w:w="961" w:type="dxa"/>
            <w:tcBorders>
              <w:top w:val="nil"/>
              <w:left w:val="nil"/>
              <w:bottom w:val="nil"/>
              <w:right w:val="nil"/>
            </w:tcBorders>
            <w:noWrap/>
            <w:vAlign w:val="bottom"/>
            <w:hideMark/>
          </w:tcPr>
          <w:p w14:paraId="5AFF3B8D" w14:textId="204C4E11" w:rsidR="003107B5" w:rsidRPr="003107B5" w:rsidRDefault="003107B5" w:rsidP="003107B5">
            <w:pPr>
              <w:widowControl/>
              <w:spacing w:after="0" w:line="240" w:lineRule="auto"/>
              <w:jc w:val="right"/>
              <w:rPr>
                <w:rFonts w:ascii="Times New Roman" w:eastAsia="Times New Roman" w:hAnsi="Times New Roman"/>
                <w:sz w:val="20"/>
                <w:szCs w:val="20"/>
                <w:lang w:val="en-CA" w:eastAsia="zh-CN"/>
              </w:rPr>
            </w:pPr>
            <w:r w:rsidRPr="003107B5">
              <w:rPr>
                <w:rFonts w:eastAsia="Times New Roman" w:cs="Calibri"/>
                <w:color w:val="000000"/>
                <w:sz w:val="16"/>
                <w:szCs w:val="16"/>
                <w:lang w:val="en-CA" w:eastAsia="zh-CN"/>
              </w:rPr>
              <w:t xml:space="preserve">                                  -   </w:t>
            </w:r>
          </w:p>
        </w:tc>
        <w:tc>
          <w:tcPr>
            <w:tcW w:w="987" w:type="dxa"/>
            <w:tcBorders>
              <w:top w:val="nil"/>
              <w:left w:val="nil"/>
              <w:bottom w:val="nil"/>
              <w:right w:val="nil"/>
            </w:tcBorders>
            <w:noWrap/>
            <w:vAlign w:val="bottom"/>
            <w:hideMark/>
          </w:tcPr>
          <w:p w14:paraId="0C9C6439" w14:textId="2A5BAC82" w:rsidR="003107B5" w:rsidRPr="003107B5" w:rsidRDefault="003107B5" w:rsidP="003107B5">
            <w:pPr>
              <w:widowControl/>
              <w:spacing w:after="0" w:line="240" w:lineRule="auto"/>
              <w:jc w:val="right"/>
              <w:rPr>
                <w:rFonts w:ascii="Times New Roman" w:eastAsia="Times New Roman" w:hAnsi="Times New Roman"/>
                <w:sz w:val="20"/>
                <w:szCs w:val="20"/>
                <w:lang w:val="en-CA" w:eastAsia="zh-CN"/>
              </w:rPr>
            </w:pPr>
            <w:r w:rsidRPr="003107B5">
              <w:rPr>
                <w:rFonts w:eastAsia="Times New Roman" w:cs="Calibri"/>
                <w:color w:val="000000"/>
                <w:sz w:val="16"/>
                <w:szCs w:val="16"/>
                <w:lang w:val="en-CA" w:eastAsia="zh-CN"/>
              </w:rPr>
              <w:t xml:space="preserve">                                  -   </w:t>
            </w:r>
          </w:p>
        </w:tc>
      </w:tr>
      <w:tr w:rsidR="003107B5" w:rsidRPr="003107B5" w14:paraId="61C2E976" w14:textId="77777777" w:rsidTr="003107B5">
        <w:trPr>
          <w:trHeight w:val="272"/>
        </w:trPr>
        <w:tc>
          <w:tcPr>
            <w:tcW w:w="2357" w:type="dxa"/>
            <w:tcBorders>
              <w:top w:val="nil"/>
              <w:left w:val="nil"/>
              <w:bottom w:val="nil"/>
              <w:right w:val="nil"/>
            </w:tcBorders>
            <w:noWrap/>
            <w:vAlign w:val="bottom"/>
            <w:hideMark/>
          </w:tcPr>
          <w:p w14:paraId="0F6D5FF8" w14:textId="77777777" w:rsidR="003107B5" w:rsidRPr="003107B5" w:rsidRDefault="003107B5" w:rsidP="003107B5">
            <w:pPr>
              <w:widowControl/>
              <w:spacing w:after="0" w:line="240" w:lineRule="auto"/>
              <w:rPr>
                <w:rFonts w:eastAsia="Times New Roman" w:cs="Calibri"/>
                <w:color w:val="000000"/>
                <w:sz w:val="16"/>
                <w:szCs w:val="16"/>
                <w:lang w:val="en-CA" w:eastAsia="zh-CN"/>
              </w:rPr>
            </w:pPr>
            <w:r w:rsidRPr="003107B5">
              <w:rPr>
                <w:rFonts w:eastAsia="Times New Roman" w:cs="Calibri"/>
                <w:color w:val="000000"/>
                <w:sz w:val="16"/>
                <w:szCs w:val="16"/>
                <w:lang w:val="en-CA" w:eastAsia="zh-CN"/>
              </w:rPr>
              <w:t>Net loss</w:t>
            </w:r>
          </w:p>
        </w:tc>
        <w:tc>
          <w:tcPr>
            <w:tcW w:w="222" w:type="dxa"/>
            <w:tcBorders>
              <w:top w:val="nil"/>
              <w:left w:val="nil"/>
              <w:bottom w:val="nil"/>
              <w:right w:val="nil"/>
            </w:tcBorders>
            <w:noWrap/>
            <w:vAlign w:val="bottom"/>
            <w:hideMark/>
          </w:tcPr>
          <w:p w14:paraId="72075E18" w14:textId="77777777" w:rsidR="003107B5" w:rsidRPr="003107B5" w:rsidRDefault="003107B5" w:rsidP="003107B5">
            <w:pPr>
              <w:widowControl/>
              <w:spacing w:after="0" w:line="240" w:lineRule="auto"/>
              <w:rPr>
                <w:rFonts w:eastAsia="Times New Roman" w:cs="Calibri"/>
                <w:color w:val="000000"/>
                <w:sz w:val="16"/>
                <w:szCs w:val="16"/>
                <w:lang w:val="en-CA" w:eastAsia="zh-CN"/>
              </w:rPr>
            </w:pPr>
          </w:p>
        </w:tc>
        <w:tc>
          <w:tcPr>
            <w:tcW w:w="222" w:type="dxa"/>
            <w:tcBorders>
              <w:top w:val="nil"/>
              <w:left w:val="nil"/>
              <w:bottom w:val="nil"/>
              <w:right w:val="nil"/>
            </w:tcBorders>
            <w:noWrap/>
            <w:vAlign w:val="bottom"/>
            <w:hideMark/>
          </w:tcPr>
          <w:p w14:paraId="1FB1B6FB" w14:textId="77777777" w:rsidR="003107B5" w:rsidRPr="003107B5" w:rsidRDefault="003107B5" w:rsidP="003107B5">
            <w:pPr>
              <w:widowControl/>
              <w:spacing w:after="0" w:line="240" w:lineRule="auto"/>
              <w:rPr>
                <w:rFonts w:ascii="Times New Roman" w:eastAsia="Times New Roman" w:hAnsi="Times New Roman"/>
                <w:sz w:val="20"/>
                <w:szCs w:val="20"/>
                <w:lang w:val="en-CA" w:eastAsia="zh-CN"/>
              </w:rPr>
            </w:pPr>
          </w:p>
        </w:tc>
        <w:tc>
          <w:tcPr>
            <w:tcW w:w="1046" w:type="dxa"/>
            <w:tcBorders>
              <w:top w:val="single" w:sz="4" w:space="0" w:color="auto"/>
              <w:left w:val="nil"/>
              <w:bottom w:val="double" w:sz="6" w:space="0" w:color="auto"/>
              <w:right w:val="nil"/>
            </w:tcBorders>
            <w:noWrap/>
            <w:vAlign w:val="bottom"/>
            <w:hideMark/>
          </w:tcPr>
          <w:p w14:paraId="7FC58330"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(9,369,714)</w:t>
            </w:r>
          </w:p>
        </w:tc>
        <w:tc>
          <w:tcPr>
            <w:tcW w:w="1046" w:type="dxa"/>
            <w:tcBorders>
              <w:top w:val="single" w:sz="4" w:space="0" w:color="auto"/>
              <w:left w:val="nil"/>
              <w:bottom w:val="double" w:sz="6" w:space="0" w:color="auto"/>
              <w:right w:val="nil"/>
            </w:tcBorders>
            <w:noWrap/>
            <w:vAlign w:val="bottom"/>
            <w:hideMark/>
          </w:tcPr>
          <w:p w14:paraId="5746B7A1"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(17,263,375)</w:t>
            </w:r>
          </w:p>
        </w:tc>
        <w:tc>
          <w:tcPr>
            <w:tcW w:w="1041" w:type="dxa"/>
            <w:tcBorders>
              <w:top w:val="single" w:sz="4" w:space="0" w:color="auto"/>
              <w:left w:val="nil"/>
              <w:bottom w:val="double" w:sz="6" w:space="0" w:color="auto"/>
              <w:right w:val="nil"/>
            </w:tcBorders>
            <w:noWrap/>
            <w:vAlign w:val="bottom"/>
            <w:hideMark/>
          </w:tcPr>
          <w:p w14:paraId="4EFF8A9B"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6,341,558 </w:t>
            </w:r>
          </w:p>
        </w:tc>
        <w:tc>
          <w:tcPr>
            <w:tcW w:w="1042" w:type="dxa"/>
            <w:tcBorders>
              <w:top w:val="single" w:sz="4" w:space="0" w:color="auto"/>
              <w:left w:val="nil"/>
              <w:bottom w:val="double" w:sz="6" w:space="0" w:color="auto"/>
              <w:right w:val="nil"/>
            </w:tcBorders>
            <w:noWrap/>
            <w:vAlign w:val="bottom"/>
            <w:hideMark/>
          </w:tcPr>
          <w:p w14:paraId="3C754476"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(30,259,239)</w:t>
            </w:r>
          </w:p>
        </w:tc>
        <w:tc>
          <w:tcPr>
            <w:tcW w:w="1042" w:type="dxa"/>
            <w:tcBorders>
              <w:top w:val="single" w:sz="4" w:space="0" w:color="auto"/>
              <w:left w:val="nil"/>
              <w:bottom w:val="double" w:sz="6" w:space="0" w:color="auto"/>
              <w:right w:val="nil"/>
            </w:tcBorders>
            <w:noWrap/>
            <w:vAlign w:val="bottom"/>
            <w:hideMark/>
          </w:tcPr>
          <w:p w14:paraId="79D028C6"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(12,740,537)</w:t>
            </w:r>
          </w:p>
        </w:tc>
        <w:tc>
          <w:tcPr>
            <w:tcW w:w="961" w:type="dxa"/>
            <w:tcBorders>
              <w:top w:val="single" w:sz="4" w:space="0" w:color="auto"/>
              <w:left w:val="nil"/>
              <w:bottom w:val="double" w:sz="6" w:space="0" w:color="auto"/>
              <w:right w:val="nil"/>
            </w:tcBorders>
            <w:noWrap/>
            <w:vAlign w:val="bottom"/>
            <w:hideMark/>
          </w:tcPr>
          <w:p w14:paraId="41B91FD4"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(7,979,869)</w:t>
            </w:r>
          </w:p>
        </w:tc>
        <w:tc>
          <w:tcPr>
            <w:tcW w:w="961" w:type="dxa"/>
            <w:tcBorders>
              <w:top w:val="single" w:sz="4" w:space="0" w:color="auto"/>
              <w:left w:val="nil"/>
              <w:bottom w:val="double" w:sz="6" w:space="0" w:color="auto"/>
              <w:right w:val="nil"/>
            </w:tcBorders>
            <w:noWrap/>
            <w:vAlign w:val="bottom"/>
            <w:hideMark/>
          </w:tcPr>
          <w:p w14:paraId="7606D111"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(5,716,178)</w:t>
            </w:r>
          </w:p>
        </w:tc>
        <w:tc>
          <w:tcPr>
            <w:tcW w:w="987" w:type="dxa"/>
            <w:tcBorders>
              <w:top w:val="single" w:sz="4" w:space="0" w:color="auto"/>
              <w:left w:val="nil"/>
              <w:bottom w:val="double" w:sz="6" w:space="0" w:color="auto"/>
              <w:right w:val="nil"/>
            </w:tcBorders>
            <w:noWrap/>
            <w:vAlign w:val="bottom"/>
            <w:hideMark/>
          </w:tcPr>
          <w:p w14:paraId="7E8F7D32"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(5,471,014)</w:t>
            </w:r>
          </w:p>
        </w:tc>
      </w:tr>
      <w:tr w:rsidR="003107B5" w:rsidRPr="003107B5" w14:paraId="1C334888" w14:textId="77777777" w:rsidTr="003107B5">
        <w:trPr>
          <w:trHeight w:val="146"/>
        </w:trPr>
        <w:tc>
          <w:tcPr>
            <w:tcW w:w="2357" w:type="dxa"/>
            <w:tcBorders>
              <w:top w:val="nil"/>
              <w:left w:val="nil"/>
              <w:bottom w:val="nil"/>
              <w:right w:val="nil"/>
            </w:tcBorders>
            <w:noWrap/>
            <w:vAlign w:val="bottom"/>
            <w:hideMark/>
          </w:tcPr>
          <w:p w14:paraId="0D834F47" w14:textId="77777777" w:rsidR="003107B5" w:rsidRPr="003107B5" w:rsidRDefault="003107B5" w:rsidP="003107B5">
            <w:pPr>
              <w:widowControl/>
              <w:spacing w:after="0" w:line="240" w:lineRule="auto"/>
              <w:rPr>
                <w:rFonts w:eastAsia="Times New Roman" w:cs="Calibri"/>
                <w:color w:val="000000"/>
                <w:sz w:val="16"/>
                <w:szCs w:val="16"/>
                <w:lang w:val="en-CA" w:eastAsia="zh-CN"/>
              </w:rPr>
            </w:pPr>
          </w:p>
        </w:tc>
        <w:tc>
          <w:tcPr>
            <w:tcW w:w="222" w:type="dxa"/>
            <w:tcBorders>
              <w:top w:val="nil"/>
              <w:left w:val="nil"/>
              <w:bottom w:val="nil"/>
              <w:right w:val="nil"/>
            </w:tcBorders>
            <w:noWrap/>
            <w:vAlign w:val="bottom"/>
            <w:hideMark/>
          </w:tcPr>
          <w:p w14:paraId="0185107E" w14:textId="77777777" w:rsidR="003107B5" w:rsidRPr="003107B5" w:rsidRDefault="003107B5" w:rsidP="003107B5">
            <w:pPr>
              <w:widowControl/>
              <w:spacing w:after="0" w:line="240" w:lineRule="auto"/>
              <w:rPr>
                <w:rFonts w:ascii="Times New Roman" w:eastAsia="Times New Roman" w:hAnsi="Times New Roman"/>
                <w:sz w:val="20"/>
                <w:szCs w:val="20"/>
                <w:lang w:val="en-CA" w:eastAsia="zh-CN"/>
              </w:rPr>
            </w:pPr>
          </w:p>
        </w:tc>
        <w:tc>
          <w:tcPr>
            <w:tcW w:w="222" w:type="dxa"/>
            <w:tcBorders>
              <w:top w:val="nil"/>
              <w:left w:val="nil"/>
              <w:bottom w:val="nil"/>
              <w:right w:val="nil"/>
            </w:tcBorders>
            <w:noWrap/>
            <w:vAlign w:val="bottom"/>
            <w:hideMark/>
          </w:tcPr>
          <w:p w14:paraId="68D66001" w14:textId="77777777" w:rsidR="003107B5" w:rsidRPr="003107B5" w:rsidRDefault="003107B5" w:rsidP="003107B5">
            <w:pPr>
              <w:widowControl/>
              <w:spacing w:after="0" w:line="240" w:lineRule="auto"/>
              <w:rPr>
                <w:rFonts w:ascii="Times New Roman" w:eastAsia="Times New Roman" w:hAnsi="Times New Roman"/>
                <w:sz w:val="20"/>
                <w:szCs w:val="20"/>
                <w:lang w:val="en-CA" w:eastAsia="zh-CN"/>
              </w:rPr>
            </w:pPr>
          </w:p>
        </w:tc>
        <w:tc>
          <w:tcPr>
            <w:tcW w:w="1046" w:type="dxa"/>
            <w:tcBorders>
              <w:top w:val="nil"/>
              <w:left w:val="nil"/>
              <w:bottom w:val="nil"/>
              <w:right w:val="nil"/>
            </w:tcBorders>
            <w:noWrap/>
            <w:vAlign w:val="bottom"/>
            <w:hideMark/>
          </w:tcPr>
          <w:p w14:paraId="032DE2FB" w14:textId="77777777" w:rsidR="003107B5" w:rsidRPr="003107B5" w:rsidRDefault="003107B5" w:rsidP="003107B5">
            <w:pPr>
              <w:widowControl/>
              <w:spacing w:after="0" w:line="240" w:lineRule="auto"/>
              <w:jc w:val="right"/>
              <w:rPr>
                <w:rFonts w:ascii="Times New Roman" w:eastAsia="Times New Roman" w:hAnsi="Times New Roman"/>
                <w:sz w:val="20"/>
                <w:szCs w:val="20"/>
                <w:lang w:val="en-CA" w:eastAsia="zh-CN"/>
              </w:rPr>
            </w:pPr>
          </w:p>
        </w:tc>
        <w:tc>
          <w:tcPr>
            <w:tcW w:w="1046" w:type="dxa"/>
            <w:tcBorders>
              <w:top w:val="nil"/>
              <w:left w:val="nil"/>
              <w:bottom w:val="nil"/>
              <w:right w:val="nil"/>
            </w:tcBorders>
            <w:noWrap/>
            <w:vAlign w:val="bottom"/>
            <w:hideMark/>
          </w:tcPr>
          <w:p w14:paraId="1269633F" w14:textId="77777777" w:rsidR="003107B5" w:rsidRPr="003107B5" w:rsidRDefault="003107B5" w:rsidP="003107B5">
            <w:pPr>
              <w:widowControl/>
              <w:spacing w:after="0" w:line="240" w:lineRule="auto"/>
              <w:jc w:val="right"/>
              <w:rPr>
                <w:rFonts w:ascii="Times New Roman" w:eastAsia="Times New Roman" w:hAnsi="Times New Roman"/>
                <w:sz w:val="20"/>
                <w:szCs w:val="20"/>
                <w:lang w:val="en-CA" w:eastAsia="zh-CN"/>
              </w:rPr>
            </w:pPr>
          </w:p>
        </w:tc>
        <w:tc>
          <w:tcPr>
            <w:tcW w:w="1041" w:type="dxa"/>
            <w:tcBorders>
              <w:top w:val="nil"/>
              <w:left w:val="nil"/>
              <w:bottom w:val="nil"/>
              <w:right w:val="nil"/>
            </w:tcBorders>
            <w:noWrap/>
            <w:vAlign w:val="bottom"/>
            <w:hideMark/>
          </w:tcPr>
          <w:p w14:paraId="701113DF" w14:textId="77777777" w:rsidR="003107B5" w:rsidRPr="003107B5" w:rsidRDefault="003107B5" w:rsidP="003107B5">
            <w:pPr>
              <w:widowControl/>
              <w:spacing w:after="0" w:line="240" w:lineRule="auto"/>
              <w:jc w:val="right"/>
              <w:rPr>
                <w:rFonts w:ascii="Times New Roman" w:eastAsia="Times New Roman" w:hAnsi="Times New Roman"/>
                <w:sz w:val="20"/>
                <w:szCs w:val="20"/>
                <w:lang w:val="en-CA" w:eastAsia="zh-CN"/>
              </w:rPr>
            </w:pPr>
          </w:p>
        </w:tc>
        <w:tc>
          <w:tcPr>
            <w:tcW w:w="1042" w:type="dxa"/>
            <w:tcBorders>
              <w:top w:val="nil"/>
              <w:left w:val="nil"/>
              <w:bottom w:val="nil"/>
              <w:right w:val="nil"/>
            </w:tcBorders>
            <w:noWrap/>
            <w:vAlign w:val="bottom"/>
            <w:hideMark/>
          </w:tcPr>
          <w:p w14:paraId="5A343464" w14:textId="77777777" w:rsidR="003107B5" w:rsidRPr="003107B5" w:rsidRDefault="003107B5" w:rsidP="003107B5">
            <w:pPr>
              <w:widowControl/>
              <w:spacing w:after="0" w:line="240" w:lineRule="auto"/>
              <w:jc w:val="right"/>
              <w:rPr>
                <w:rFonts w:ascii="Times New Roman" w:eastAsia="Times New Roman" w:hAnsi="Times New Roman"/>
                <w:sz w:val="20"/>
                <w:szCs w:val="20"/>
                <w:lang w:val="en-CA" w:eastAsia="zh-CN"/>
              </w:rPr>
            </w:pPr>
          </w:p>
        </w:tc>
        <w:tc>
          <w:tcPr>
            <w:tcW w:w="1042" w:type="dxa"/>
            <w:tcBorders>
              <w:top w:val="nil"/>
              <w:left w:val="nil"/>
              <w:bottom w:val="nil"/>
              <w:right w:val="nil"/>
            </w:tcBorders>
            <w:noWrap/>
            <w:vAlign w:val="bottom"/>
            <w:hideMark/>
          </w:tcPr>
          <w:p w14:paraId="1FCACD34" w14:textId="77777777" w:rsidR="003107B5" w:rsidRPr="003107B5" w:rsidRDefault="003107B5" w:rsidP="003107B5">
            <w:pPr>
              <w:widowControl/>
              <w:spacing w:after="0" w:line="240" w:lineRule="auto"/>
              <w:jc w:val="right"/>
              <w:rPr>
                <w:rFonts w:ascii="Times New Roman" w:eastAsia="Times New Roman" w:hAnsi="Times New Roman"/>
                <w:sz w:val="20"/>
                <w:szCs w:val="20"/>
                <w:lang w:val="en-CA" w:eastAsia="zh-CN"/>
              </w:rPr>
            </w:pPr>
          </w:p>
        </w:tc>
        <w:tc>
          <w:tcPr>
            <w:tcW w:w="961" w:type="dxa"/>
            <w:tcBorders>
              <w:top w:val="nil"/>
              <w:left w:val="nil"/>
              <w:bottom w:val="nil"/>
              <w:right w:val="nil"/>
            </w:tcBorders>
            <w:noWrap/>
            <w:vAlign w:val="bottom"/>
            <w:hideMark/>
          </w:tcPr>
          <w:p w14:paraId="422EF472" w14:textId="77777777" w:rsidR="003107B5" w:rsidRPr="003107B5" w:rsidRDefault="003107B5" w:rsidP="003107B5">
            <w:pPr>
              <w:widowControl/>
              <w:spacing w:after="0" w:line="240" w:lineRule="auto"/>
              <w:jc w:val="right"/>
              <w:rPr>
                <w:rFonts w:ascii="Times New Roman" w:eastAsia="Times New Roman" w:hAnsi="Times New Roman"/>
                <w:sz w:val="20"/>
                <w:szCs w:val="20"/>
                <w:lang w:val="en-CA" w:eastAsia="zh-CN"/>
              </w:rPr>
            </w:pPr>
          </w:p>
        </w:tc>
        <w:tc>
          <w:tcPr>
            <w:tcW w:w="961" w:type="dxa"/>
            <w:tcBorders>
              <w:top w:val="nil"/>
              <w:left w:val="nil"/>
              <w:bottom w:val="nil"/>
              <w:right w:val="nil"/>
            </w:tcBorders>
            <w:noWrap/>
            <w:vAlign w:val="bottom"/>
            <w:hideMark/>
          </w:tcPr>
          <w:p w14:paraId="1E6487DE" w14:textId="77777777" w:rsidR="003107B5" w:rsidRPr="003107B5" w:rsidRDefault="003107B5" w:rsidP="003107B5">
            <w:pPr>
              <w:widowControl/>
              <w:spacing w:after="0" w:line="240" w:lineRule="auto"/>
              <w:jc w:val="right"/>
              <w:rPr>
                <w:rFonts w:ascii="Times New Roman" w:eastAsia="Times New Roman" w:hAnsi="Times New Roman"/>
                <w:sz w:val="20"/>
                <w:szCs w:val="20"/>
                <w:lang w:val="en-CA" w:eastAsia="zh-CN"/>
              </w:rPr>
            </w:pPr>
          </w:p>
        </w:tc>
        <w:tc>
          <w:tcPr>
            <w:tcW w:w="987" w:type="dxa"/>
            <w:tcBorders>
              <w:top w:val="nil"/>
              <w:left w:val="nil"/>
              <w:bottom w:val="nil"/>
              <w:right w:val="nil"/>
            </w:tcBorders>
            <w:noWrap/>
            <w:vAlign w:val="bottom"/>
            <w:hideMark/>
          </w:tcPr>
          <w:p w14:paraId="11BD09F2" w14:textId="77777777" w:rsidR="003107B5" w:rsidRPr="003107B5" w:rsidRDefault="003107B5" w:rsidP="003107B5">
            <w:pPr>
              <w:widowControl/>
              <w:spacing w:after="0" w:line="240" w:lineRule="auto"/>
              <w:jc w:val="right"/>
              <w:rPr>
                <w:rFonts w:ascii="Times New Roman" w:eastAsia="Times New Roman" w:hAnsi="Times New Roman"/>
                <w:sz w:val="20"/>
                <w:szCs w:val="20"/>
                <w:lang w:val="en-CA" w:eastAsia="zh-CN"/>
              </w:rPr>
            </w:pPr>
          </w:p>
        </w:tc>
      </w:tr>
      <w:tr w:rsidR="003107B5" w:rsidRPr="003107B5" w14:paraId="1A2A4BEC" w14:textId="77777777" w:rsidTr="003107B5">
        <w:trPr>
          <w:trHeight w:val="259"/>
        </w:trPr>
        <w:tc>
          <w:tcPr>
            <w:tcW w:w="2357" w:type="dxa"/>
            <w:tcBorders>
              <w:top w:val="nil"/>
              <w:left w:val="nil"/>
              <w:bottom w:val="nil"/>
              <w:right w:val="nil"/>
            </w:tcBorders>
            <w:noWrap/>
            <w:vAlign w:val="bottom"/>
            <w:hideMark/>
          </w:tcPr>
          <w:p w14:paraId="7672450C" w14:textId="77777777" w:rsidR="003107B5" w:rsidRPr="003107B5" w:rsidRDefault="003107B5" w:rsidP="003107B5">
            <w:pPr>
              <w:widowControl/>
              <w:spacing w:after="0" w:line="240" w:lineRule="auto"/>
              <w:rPr>
                <w:rFonts w:eastAsia="Times New Roman" w:cs="Calibri"/>
                <w:color w:val="000000"/>
                <w:sz w:val="16"/>
                <w:szCs w:val="16"/>
                <w:lang w:val="en-CA" w:eastAsia="zh-CN"/>
              </w:rPr>
            </w:pPr>
            <w:r w:rsidRPr="003107B5">
              <w:rPr>
                <w:rFonts w:eastAsia="Times New Roman" w:cs="Calibri"/>
                <w:color w:val="000000"/>
                <w:sz w:val="16"/>
                <w:szCs w:val="16"/>
                <w:lang w:val="en-CA" w:eastAsia="zh-CN"/>
              </w:rPr>
              <w:t>Net income (loss) per share - Basic</w:t>
            </w:r>
          </w:p>
        </w:tc>
        <w:tc>
          <w:tcPr>
            <w:tcW w:w="222" w:type="dxa"/>
            <w:tcBorders>
              <w:top w:val="nil"/>
              <w:left w:val="nil"/>
              <w:bottom w:val="nil"/>
              <w:right w:val="nil"/>
            </w:tcBorders>
            <w:noWrap/>
            <w:vAlign w:val="bottom"/>
            <w:hideMark/>
          </w:tcPr>
          <w:p w14:paraId="18CFCDAE" w14:textId="77777777" w:rsidR="003107B5" w:rsidRPr="003107B5" w:rsidRDefault="003107B5" w:rsidP="003107B5">
            <w:pPr>
              <w:widowControl/>
              <w:spacing w:after="0" w:line="240" w:lineRule="auto"/>
              <w:rPr>
                <w:rFonts w:eastAsia="Times New Roman" w:cs="Calibri"/>
                <w:color w:val="000000"/>
                <w:sz w:val="16"/>
                <w:szCs w:val="16"/>
                <w:lang w:val="en-CA" w:eastAsia="zh-CN"/>
              </w:rPr>
            </w:pPr>
          </w:p>
        </w:tc>
        <w:tc>
          <w:tcPr>
            <w:tcW w:w="222" w:type="dxa"/>
            <w:tcBorders>
              <w:top w:val="nil"/>
              <w:left w:val="nil"/>
              <w:bottom w:val="nil"/>
              <w:right w:val="nil"/>
            </w:tcBorders>
            <w:noWrap/>
            <w:vAlign w:val="bottom"/>
            <w:hideMark/>
          </w:tcPr>
          <w:p w14:paraId="77124A79" w14:textId="77777777" w:rsidR="003107B5" w:rsidRPr="003107B5" w:rsidRDefault="003107B5" w:rsidP="003107B5">
            <w:pPr>
              <w:widowControl/>
              <w:spacing w:after="0" w:line="240" w:lineRule="auto"/>
              <w:rPr>
                <w:rFonts w:ascii="Times New Roman" w:eastAsia="Times New Roman" w:hAnsi="Times New Roman"/>
                <w:sz w:val="20"/>
                <w:szCs w:val="20"/>
                <w:lang w:val="en-CA" w:eastAsia="zh-CN"/>
              </w:rPr>
            </w:pPr>
          </w:p>
        </w:tc>
        <w:tc>
          <w:tcPr>
            <w:tcW w:w="1046" w:type="dxa"/>
            <w:tcBorders>
              <w:top w:val="nil"/>
              <w:left w:val="nil"/>
              <w:bottom w:val="nil"/>
              <w:right w:val="nil"/>
            </w:tcBorders>
            <w:noWrap/>
            <w:vAlign w:val="bottom"/>
            <w:hideMark/>
          </w:tcPr>
          <w:p w14:paraId="13C001FD"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(0.11)</w:t>
            </w:r>
          </w:p>
        </w:tc>
        <w:tc>
          <w:tcPr>
            <w:tcW w:w="1046" w:type="dxa"/>
            <w:tcBorders>
              <w:top w:val="nil"/>
              <w:left w:val="nil"/>
              <w:bottom w:val="nil"/>
              <w:right w:val="nil"/>
            </w:tcBorders>
            <w:noWrap/>
            <w:vAlign w:val="bottom"/>
            <w:hideMark/>
          </w:tcPr>
          <w:p w14:paraId="48190E77"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(0.21)</w:t>
            </w:r>
          </w:p>
        </w:tc>
        <w:tc>
          <w:tcPr>
            <w:tcW w:w="1041" w:type="dxa"/>
            <w:tcBorders>
              <w:top w:val="nil"/>
              <w:left w:val="nil"/>
              <w:bottom w:val="nil"/>
              <w:right w:val="nil"/>
            </w:tcBorders>
            <w:noWrap/>
            <w:vAlign w:val="bottom"/>
            <w:hideMark/>
          </w:tcPr>
          <w:p w14:paraId="044CD6FB"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0.08 </w:t>
            </w:r>
          </w:p>
        </w:tc>
        <w:tc>
          <w:tcPr>
            <w:tcW w:w="1042" w:type="dxa"/>
            <w:tcBorders>
              <w:top w:val="nil"/>
              <w:left w:val="nil"/>
              <w:bottom w:val="nil"/>
              <w:right w:val="nil"/>
            </w:tcBorders>
            <w:noWrap/>
            <w:vAlign w:val="bottom"/>
            <w:hideMark/>
          </w:tcPr>
          <w:p w14:paraId="12E0164E"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(0.50)</w:t>
            </w:r>
          </w:p>
        </w:tc>
        <w:tc>
          <w:tcPr>
            <w:tcW w:w="1042" w:type="dxa"/>
            <w:tcBorders>
              <w:top w:val="nil"/>
              <w:left w:val="nil"/>
              <w:bottom w:val="nil"/>
              <w:right w:val="nil"/>
            </w:tcBorders>
            <w:noWrap/>
            <w:vAlign w:val="bottom"/>
            <w:hideMark/>
          </w:tcPr>
          <w:p w14:paraId="39C46DE0"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(0.20)</w:t>
            </w:r>
          </w:p>
        </w:tc>
        <w:tc>
          <w:tcPr>
            <w:tcW w:w="961" w:type="dxa"/>
            <w:tcBorders>
              <w:top w:val="nil"/>
              <w:left w:val="nil"/>
              <w:bottom w:val="nil"/>
              <w:right w:val="nil"/>
            </w:tcBorders>
            <w:noWrap/>
            <w:vAlign w:val="bottom"/>
            <w:hideMark/>
          </w:tcPr>
          <w:p w14:paraId="3FB8056A"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(0.14)</w:t>
            </w:r>
          </w:p>
        </w:tc>
        <w:tc>
          <w:tcPr>
            <w:tcW w:w="961" w:type="dxa"/>
            <w:tcBorders>
              <w:top w:val="nil"/>
              <w:left w:val="nil"/>
              <w:bottom w:val="nil"/>
              <w:right w:val="nil"/>
            </w:tcBorders>
            <w:noWrap/>
            <w:vAlign w:val="bottom"/>
            <w:hideMark/>
          </w:tcPr>
          <w:p w14:paraId="11B48196"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(0.13)</w:t>
            </w:r>
          </w:p>
        </w:tc>
        <w:tc>
          <w:tcPr>
            <w:tcW w:w="987" w:type="dxa"/>
            <w:tcBorders>
              <w:top w:val="nil"/>
              <w:left w:val="nil"/>
              <w:bottom w:val="nil"/>
              <w:right w:val="nil"/>
            </w:tcBorders>
            <w:noWrap/>
            <w:vAlign w:val="bottom"/>
            <w:hideMark/>
          </w:tcPr>
          <w:p w14:paraId="54DC154F"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(0.13)</w:t>
            </w:r>
          </w:p>
        </w:tc>
      </w:tr>
      <w:tr w:rsidR="003107B5" w:rsidRPr="003107B5" w14:paraId="24AC15ED" w14:textId="77777777" w:rsidTr="003107B5">
        <w:trPr>
          <w:trHeight w:val="259"/>
        </w:trPr>
        <w:tc>
          <w:tcPr>
            <w:tcW w:w="2357" w:type="dxa"/>
            <w:tcBorders>
              <w:top w:val="nil"/>
              <w:left w:val="nil"/>
              <w:bottom w:val="nil"/>
              <w:right w:val="nil"/>
            </w:tcBorders>
            <w:noWrap/>
            <w:vAlign w:val="bottom"/>
            <w:hideMark/>
          </w:tcPr>
          <w:p w14:paraId="63AF5681" w14:textId="77777777" w:rsidR="003107B5" w:rsidRPr="003107B5" w:rsidRDefault="003107B5" w:rsidP="003107B5">
            <w:pPr>
              <w:widowControl/>
              <w:spacing w:after="0" w:line="240" w:lineRule="auto"/>
              <w:rPr>
                <w:rFonts w:eastAsia="Times New Roman" w:cs="Calibri"/>
                <w:color w:val="000000"/>
                <w:sz w:val="16"/>
                <w:szCs w:val="16"/>
                <w:lang w:val="en-CA" w:eastAsia="zh-CN"/>
              </w:rPr>
            </w:pPr>
            <w:r w:rsidRPr="003107B5">
              <w:rPr>
                <w:rFonts w:eastAsia="Times New Roman" w:cs="Calibri"/>
                <w:color w:val="000000"/>
                <w:sz w:val="16"/>
                <w:szCs w:val="16"/>
                <w:lang w:val="en-CA" w:eastAsia="zh-CN"/>
              </w:rPr>
              <w:t>Net income (loss) per share - Diluted</w:t>
            </w:r>
          </w:p>
        </w:tc>
        <w:tc>
          <w:tcPr>
            <w:tcW w:w="222" w:type="dxa"/>
            <w:tcBorders>
              <w:top w:val="nil"/>
              <w:left w:val="nil"/>
              <w:bottom w:val="nil"/>
              <w:right w:val="nil"/>
            </w:tcBorders>
            <w:noWrap/>
            <w:vAlign w:val="bottom"/>
            <w:hideMark/>
          </w:tcPr>
          <w:p w14:paraId="58966E6D" w14:textId="77777777" w:rsidR="003107B5" w:rsidRPr="003107B5" w:rsidRDefault="003107B5" w:rsidP="003107B5">
            <w:pPr>
              <w:widowControl/>
              <w:spacing w:after="0" w:line="240" w:lineRule="auto"/>
              <w:rPr>
                <w:rFonts w:eastAsia="Times New Roman" w:cs="Calibri"/>
                <w:color w:val="000000"/>
                <w:sz w:val="16"/>
                <w:szCs w:val="16"/>
                <w:lang w:val="en-CA" w:eastAsia="zh-CN"/>
              </w:rPr>
            </w:pPr>
          </w:p>
        </w:tc>
        <w:tc>
          <w:tcPr>
            <w:tcW w:w="222" w:type="dxa"/>
            <w:tcBorders>
              <w:top w:val="nil"/>
              <w:left w:val="nil"/>
              <w:bottom w:val="nil"/>
              <w:right w:val="nil"/>
            </w:tcBorders>
            <w:noWrap/>
            <w:vAlign w:val="bottom"/>
            <w:hideMark/>
          </w:tcPr>
          <w:p w14:paraId="1E172417" w14:textId="77777777" w:rsidR="003107B5" w:rsidRPr="003107B5" w:rsidRDefault="003107B5" w:rsidP="003107B5">
            <w:pPr>
              <w:widowControl/>
              <w:spacing w:after="0" w:line="240" w:lineRule="auto"/>
              <w:rPr>
                <w:rFonts w:ascii="Times New Roman" w:eastAsia="Times New Roman" w:hAnsi="Times New Roman"/>
                <w:sz w:val="20"/>
                <w:szCs w:val="20"/>
                <w:lang w:val="en-CA" w:eastAsia="zh-CN"/>
              </w:rPr>
            </w:pPr>
          </w:p>
        </w:tc>
        <w:tc>
          <w:tcPr>
            <w:tcW w:w="1046" w:type="dxa"/>
            <w:tcBorders>
              <w:top w:val="nil"/>
              <w:left w:val="nil"/>
              <w:bottom w:val="nil"/>
              <w:right w:val="nil"/>
            </w:tcBorders>
            <w:noWrap/>
            <w:vAlign w:val="bottom"/>
            <w:hideMark/>
          </w:tcPr>
          <w:p w14:paraId="78D04DAF"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   </w:t>
            </w:r>
          </w:p>
        </w:tc>
        <w:tc>
          <w:tcPr>
            <w:tcW w:w="1046" w:type="dxa"/>
            <w:tcBorders>
              <w:top w:val="nil"/>
              <w:left w:val="nil"/>
              <w:bottom w:val="nil"/>
              <w:right w:val="nil"/>
            </w:tcBorders>
            <w:noWrap/>
            <w:vAlign w:val="bottom"/>
            <w:hideMark/>
          </w:tcPr>
          <w:p w14:paraId="6A412FC7"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   </w:t>
            </w:r>
          </w:p>
        </w:tc>
        <w:tc>
          <w:tcPr>
            <w:tcW w:w="1041" w:type="dxa"/>
            <w:tcBorders>
              <w:top w:val="nil"/>
              <w:left w:val="nil"/>
              <w:bottom w:val="nil"/>
              <w:right w:val="nil"/>
            </w:tcBorders>
            <w:noWrap/>
            <w:vAlign w:val="bottom"/>
            <w:hideMark/>
          </w:tcPr>
          <w:p w14:paraId="61D2D336"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   </w:t>
            </w:r>
          </w:p>
        </w:tc>
        <w:tc>
          <w:tcPr>
            <w:tcW w:w="1042" w:type="dxa"/>
            <w:tcBorders>
              <w:top w:val="nil"/>
              <w:left w:val="nil"/>
              <w:bottom w:val="nil"/>
              <w:right w:val="nil"/>
            </w:tcBorders>
            <w:noWrap/>
            <w:vAlign w:val="bottom"/>
            <w:hideMark/>
          </w:tcPr>
          <w:p w14:paraId="6FFDAA5D"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(0.50)</w:t>
            </w:r>
          </w:p>
        </w:tc>
        <w:tc>
          <w:tcPr>
            <w:tcW w:w="1042" w:type="dxa"/>
            <w:tcBorders>
              <w:top w:val="nil"/>
              <w:left w:val="nil"/>
              <w:bottom w:val="nil"/>
              <w:right w:val="nil"/>
            </w:tcBorders>
            <w:noWrap/>
            <w:vAlign w:val="bottom"/>
            <w:hideMark/>
          </w:tcPr>
          <w:p w14:paraId="717D9344"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(0.20)</w:t>
            </w:r>
          </w:p>
        </w:tc>
        <w:tc>
          <w:tcPr>
            <w:tcW w:w="961" w:type="dxa"/>
            <w:tcBorders>
              <w:top w:val="nil"/>
              <w:left w:val="nil"/>
              <w:bottom w:val="nil"/>
              <w:right w:val="nil"/>
            </w:tcBorders>
            <w:noWrap/>
            <w:vAlign w:val="bottom"/>
            <w:hideMark/>
          </w:tcPr>
          <w:p w14:paraId="79877DAD"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(0.14)</w:t>
            </w:r>
          </w:p>
        </w:tc>
        <w:tc>
          <w:tcPr>
            <w:tcW w:w="961" w:type="dxa"/>
            <w:tcBorders>
              <w:top w:val="nil"/>
              <w:left w:val="nil"/>
              <w:bottom w:val="nil"/>
              <w:right w:val="nil"/>
            </w:tcBorders>
            <w:noWrap/>
            <w:vAlign w:val="bottom"/>
            <w:hideMark/>
          </w:tcPr>
          <w:p w14:paraId="5DED5E4A"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(0.13)</w:t>
            </w:r>
          </w:p>
        </w:tc>
        <w:tc>
          <w:tcPr>
            <w:tcW w:w="987" w:type="dxa"/>
            <w:tcBorders>
              <w:top w:val="nil"/>
              <w:left w:val="nil"/>
              <w:bottom w:val="nil"/>
              <w:right w:val="nil"/>
            </w:tcBorders>
            <w:noWrap/>
            <w:vAlign w:val="bottom"/>
            <w:hideMark/>
          </w:tcPr>
          <w:p w14:paraId="7647343E" w14:textId="77777777" w:rsidR="003107B5" w:rsidRPr="003107B5" w:rsidRDefault="003107B5" w:rsidP="003107B5">
            <w:pPr>
              <w:widowControl/>
              <w:spacing w:after="0" w:line="240" w:lineRule="auto"/>
              <w:jc w:val="right"/>
              <w:rPr>
                <w:rFonts w:eastAsia="Times New Roman" w:cs="Calibri"/>
                <w:color w:val="000000"/>
                <w:sz w:val="16"/>
                <w:szCs w:val="16"/>
                <w:lang w:val="en-CA" w:eastAsia="zh-CN"/>
              </w:rPr>
            </w:pPr>
            <w:r w:rsidRPr="003107B5">
              <w:rPr>
                <w:rFonts w:eastAsia="Times New Roman" w:cs="Calibri"/>
                <w:color w:val="000000"/>
                <w:sz w:val="16"/>
                <w:szCs w:val="16"/>
                <w:lang w:val="en-CA" w:eastAsia="zh-CN"/>
              </w:rPr>
              <w:t xml:space="preserve">                       (0.13)</w:t>
            </w:r>
          </w:p>
        </w:tc>
      </w:tr>
    </w:tbl>
    <w:p w14:paraId="613E1226" w14:textId="77777777" w:rsidR="002B5A1C" w:rsidRDefault="002B5A1C" w:rsidP="0023210C">
      <w:pPr>
        <w:widowControl/>
        <w:spacing w:after="80"/>
        <w:jc w:val="both"/>
        <w:rPr>
          <w:rFonts w:ascii="Times New Roman" w:hAnsi="Times New Roman"/>
          <w:color w:val="000000" w:themeColor="text1"/>
        </w:rPr>
      </w:pPr>
    </w:p>
    <w:p w14:paraId="6AEBB28C" w14:textId="34243F52" w:rsidR="00774572" w:rsidRPr="00774572" w:rsidRDefault="00774572" w:rsidP="0023210C">
      <w:pPr>
        <w:widowControl/>
        <w:spacing w:after="80"/>
        <w:jc w:val="both"/>
        <w:rPr>
          <w:rFonts w:ascii="Times New Roman" w:hAnsi="Times New Roman"/>
          <w:sz w:val="20"/>
          <w:szCs w:val="20"/>
        </w:rPr>
      </w:pPr>
      <w:r w:rsidRPr="00774572">
        <w:rPr>
          <w:rFonts w:ascii="Times New Roman" w:hAnsi="Times New Roman"/>
        </w:rPr>
        <w:fldChar w:fldCharType="begin"/>
      </w:r>
      <w:r w:rsidRPr="00774572">
        <w:rPr>
          <w:rFonts w:ascii="Times New Roman" w:hAnsi="Times New Roman"/>
        </w:rPr>
        <w:instrText xml:space="preserve"> LINK </w:instrText>
      </w:r>
      <w:r w:rsidR="000041C6">
        <w:rPr>
          <w:rFonts w:ascii="Times New Roman" w:hAnsi="Times New Roman"/>
        </w:rPr>
        <w:instrText xml:space="preserve">Excel.Sheet.12 "C:\\Users\\KevinBarnes\\POET Technologies Dropbox\\kevin barnes\\KB Poet Files\\Opel\\Work Papers\\Q1 2025\\Consolidation\\PTS worksheet Q1_2025 with MDA data.xlsx" "PR Data!R29C1:R50C11" </w:instrText>
      </w:r>
      <w:r w:rsidRPr="00774572">
        <w:rPr>
          <w:rFonts w:ascii="Times New Roman" w:hAnsi="Times New Roman"/>
        </w:rPr>
        <w:instrText xml:space="preserve">\a \f 4 \h  \* MERGEFORMAT </w:instrText>
      </w:r>
      <w:r w:rsidRPr="00774572">
        <w:rPr>
          <w:rFonts w:ascii="Times New Roman" w:hAnsi="Times New Roman"/>
        </w:rPr>
        <w:fldChar w:fldCharType="separate"/>
      </w:r>
    </w:p>
    <w:p w14:paraId="5C3EB044" w14:textId="36A74015" w:rsidR="002B5A1C" w:rsidRPr="00774572" w:rsidRDefault="00774572" w:rsidP="0023210C">
      <w:pPr>
        <w:widowControl/>
        <w:spacing w:after="80"/>
        <w:jc w:val="both"/>
        <w:rPr>
          <w:rFonts w:ascii="Times New Roman" w:hAnsi="Times New Roman"/>
          <w:color w:val="000000" w:themeColor="text1"/>
        </w:rPr>
      </w:pPr>
      <w:r w:rsidRPr="00774572">
        <w:rPr>
          <w:rFonts w:ascii="Times New Roman" w:hAnsi="Times New Roman"/>
          <w:color w:val="000000" w:themeColor="text1"/>
        </w:rPr>
        <w:fldChar w:fldCharType="end"/>
      </w:r>
    </w:p>
    <w:p w14:paraId="37F2352F" w14:textId="77777777" w:rsidR="000F0A0B" w:rsidRPr="009140DE" w:rsidRDefault="004928E7" w:rsidP="00E169EB">
      <w:pPr>
        <w:pStyle w:val="ListParagraph"/>
        <w:widowControl/>
        <w:numPr>
          <w:ilvl w:val="0"/>
          <w:numId w:val="2"/>
        </w:numPr>
        <w:tabs>
          <w:tab w:val="left" w:pos="90"/>
        </w:tabs>
        <w:spacing w:before="60" w:after="0"/>
        <w:jc w:val="both"/>
        <w:rPr>
          <w:rFonts w:ascii="Times New Roman" w:eastAsia="Times New Roman" w:hAnsi="Times New Roman"/>
          <w:sz w:val="21"/>
          <w:szCs w:val="24"/>
        </w:rPr>
      </w:pPr>
      <w:r w:rsidRPr="00B17679">
        <w:rPr>
          <w:rFonts w:ascii="Times New Roman" w:eastAsia="Times New Roman" w:hAnsi="Times New Roman"/>
          <w:sz w:val="18"/>
          <w:szCs w:val="18"/>
        </w:rPr>
        <w:t xml:space="preserve">Stock based compensation </w:t>
      </w:r>
      <w:r w:rsidR="00DF6DB5" w:rsidRPr="00B17679">
        <w:rPr>
          <w:rFonts w:ascii="Times New Roman" w:eastAsia="Times New Roman" w:hAnsi="Times New Roman"/>
          <w:sz w:val="18"/>
          <w:szCs w:val="18"/>
        </w:rPr>
        <w:t>allocated between</w:t>
      </w:r>
      <w:r w:rsidRPr="00B17679">
        <w:rPr>
          <w:rFonts w:ascii="Times New Roman" w:eastAsia="Times New Roman" w:hAnsi="Times New Roman"/>
          <w:sz w:val="18"/>
          <w:szCs w:val="18"/>
        </w:rPr>
        <w:t xml:space="preserve"> General </w:t>
      </w:r>
      <w:r w:rsidR="00081C15" w:rsidRPr="00B17679">
        <w:rPr>
          <w:rFonts w:ascii="Times New Roman" w:eastAsia="Times New Roman" w:hAnsi="Times New Roman"/>
          <w:sz w:val="18"/>
          <w:szCs w:val="18"/>
        </w:rPr>
        <w:t xml:space="preserve">&amp; </w:t>
      </w:r>
      <w:r w:rsidRPr="00B17679">
        <w:rPr>
          <w:rFonts w:ascii="Times New Roman" w:eastAsia="Times New Roman" w:hAnsi="Times New Roman"/>
          <w:sz w:val="18"/>
          <w:szCs w:val="18"/>
        </w:rPr>
        <w:t xml:space="preserve">Administrative and Research </w:t>
      </w:r>
      <w:r w:rsidR="00081C15" w:rsidRPr="00B17679">
        <w:rPr>
          <w:rFonts w:ascii="Times New Roman" w:eastAsia="Times New Roman" w:hAnsi="Times New Roman"/>
          <w:sz w:val="18"/>
          <w:szCs w:val="18"/>
        </w:rPr>
        <w:t xml:space="preserve">&amp; </w:t>
      </w:r>
      <w:r w:rsidRPr="00B17679">
        <w:rPr>
          <w:rFonts w:ascii="Times New Roman" w:eastAsia="Times New Roman" w:hAnsi="Times New Roman"/>
          <w:sz w:val="18"/>
          <w:szCs w:val="18"/>
        </w:rPr>
        <w:t xml:space="preserve">Development </w:t>
      </w:r>
      <w:r w:rsidR="00EE4046" w:rsidRPr="00B17679">
        <w:rPr>
          <w:rFonts w:ascii="Times New Roman" w:eastAsia="Times New Roman" w:hAnsi="Times New Roman"/>
          <w:sz w:val="18"/>
          <w:szCs w:val="18"/>
        </w:rPr>
        <w:t>issuances are</w:t>
      </w:r>
      <w:r w:rsidR="00DF6DB5" w:rsidRPr="00B17679">
        <w:rPr>
          <w:rFonts w:ascii="Times New Roman" w:eastAsia="Times New Roman" w:hAnsi="Times New Roman"/>
          <w:sz w:val="18"/>
          <w:szCs w:val="18"/>
        </w:rPr>
        <w:t xml:space="preserve"> combined for MD&amp;A purposes. For financial statement presentation purposes, </w:t>
      </w:r>
      <w:r w:rsidR="00A01D9F" w:rsidRPr="00B17679">
        <w:rPr>
          <w:rFonts w:ascii="Times New Roman" w:eastAsia="Times New Roman" w:hAnsi="Times New Roman"/>
          <w:sz w:val="18"/>
          <w:szCs w:val="18"/>
        </w:rPr>
        <w:t>stock-based</w:t>
      </w:r>
      <w:r w:rsidR="00DF6DB5" w:rsidRPr="00B17679">
        <w:rPr>
          <w:rFonts w:ascii="Times New Roman" w:eastAsia="Times New Roman" w:hAnsi="Times New Roman"/>
          <w:sz w:val="18"/>
          <w:szCs w:val="18"/>
        </w:rPr>
        <w:t xml:space="preserve"> compensation is split between </w:t>
      </w:r>
      <w:r w:rsidR="00DF6DB5" w:rsidRPr="00B17679">
        <w:rPr>
          <w:rFonts w:ascii="Times New Roman" w:eastAsia="Times New Roman" w:hAnsi="Times New Roman"/>
          <w:i/>
          <w:sz w:val="18"/>
          <w:szCs w:val="18"/>
        </w:rPr>
        <w:t xml:space="preserve">General </w:t>
      </w:r>
      <w:r w:rsidR="00081C15" w:rsidRPr="00B17679">
        <w:rPr>
          <w:rFonts w:ascii="Times New Roman" w:eastAsia="Times New Roman" w:hAnsi="Times New Roman"/>
          <w:i/>
          <w:sz w:val="18"/>
          <w:szCs w:val="18"/>
        </w:rPr>
        <w:t xml:space="preserve">&amp; </w:t>
      </w:r>
      <w:r w:rsidR="00DF6DB5" w:rsidRPr="00B17679">
        <w:rPr>
          <w:rFonts w:ascii="Times New Roman" w:eastAsia="Times New Roman" w:hAnsi="Times New Roman"/>
          <w:i/>
          <w:sz w:val="18"/>
          <w:szCs w:val="18"/>
        </w:rPr>
        <w:t>Administrative</w:t>
      </w:r>
      <w:r w:rsidR="00DF6DB5" w:rsidRPr="00B17679">
        <w:rPr>
          <w:rFonts w:ascii="Times New Roman" w:eastAsia="Times New Roman" w:hAnsi="Times New Roman"/>
          <w:sz w:val="18"/>
          <w:szCs w:val="18"/>
        </w:rPr>
        <w:t xml:space="preserve"> </w:t>
      </w:r>
      <w:r w:rsidR="00081C15" w:rsidRPr="00B17679">
        <w:rPr>
          <w:rFonts w:ascii="Times New Roman" w:eastAsia="Times New Roman" w:hAnsi="Times New Roman"/>
          <w:sz w:val="18"/>
          <w:szCs w:val="18"/>
        </w:rPr>
        <w:t xml:space="preserve">and </w:t>
      </w:r>
      <w:r w:rsidR="00DF6DB5" w:rsidRPr="00B17679">
        <w:rPr>
          <w:rFonts w:ascii="Times New Roman" w:eastAsia="Times New Roman" w:hAnsi="Times New Roman"/>
          <w:i/>
          <w:sz w:val="18"/>
          <w:szCs w:val="18"/>
        </w:rPr>
        <w:t xml:space="preserve">Research </w:t>
      </w:r>
      <w:r w:rsidR="00081C15" w:rsidRPr="00B17679">
        <w:rPr>
          <w:rFonts w:ascii="Times New Roman" w:eastAsia="Times New Roman" w:hAnsi="Times New Roman"/>
          <w:i/>
          <w:sz w:val="18"/>
          <w:szCs w:val="18"/>
        </w:rPr>
        <w:t xml:space="preserve">&amp; </w:t>
      </w:r>
      <w:r w:rsidR="00DF6DB5" w:rsidRPr="00B17679">
        <w:rPr>
          <w:rFonts w:ascii="Times New Roman" w:eastAsia="Times New Roman" w:hAnsi="Times New Roman"/>
          <w:i/>
          <w:sz w:val="18"/>
          <w:szCs w:val="18"/>
        </w:rPr>
        <w:t>Development</w:t>
      </w:r>
      <w:r w:rsidR="00DF6DB5" w:rsidRPr="00B17679">
        <w:rPr>
          <w:rFonts w:ascii="Times New Roman" w:eastAsia="Times New Roman" w:hAnsi="Times New Roman"/>
          <w:sz w:val="18"/>
          <w:szCs w:val="18"/>
        </w:rPr>
        <w:t>.</w:t>
      </w:r>
    </w:p>
    <w:p w14:paraId="61EF2576" w14:textId="77777777" w:rsidR="009140DE" w:rsidRDefault="009140DE" w:rsidP="0023210C">
      <w:pPr>
        <w:widowControl/>
        <w:tabs>
          <w:tab w:val="left" w:pos="90"/>
        </w:tabs>
        <w:spacing w:before="60" w:after="0"/>
        <w:jc w:val="both"/>
        <w:rPr>
          <w:rFonts w:ascii="Times New Roman" w:eastAsia="Times New Roman" w:hAnsi="Times New Roman"/>
          <w:sz w:val="21"/>
          <w:szCs w:val="24"/>
        </w:rPr>
      </w:pPr>
    </w:p>
    <w:p w14:paraId="2E7D1475" w14:textId="01B680A7" w:rsidR="000F0A0B" w:rsidRPr="00233B8E" w:rsidRDefault="004928E7" w:rsidP="0023210C">
      <w:pPr>
        <w:keepNext/>
        <w:widowControl/>
        <w:tabs>
          <w:tab w:val="left" w:pos="0"/>
        </w:tabs>
        <w:spacing w:after="80"/>
        <w:jc w:val="both"/>
        <w:rPr>
          <w:rFonts w:ascii="Times New Roman" w:eastAsia="Times New Roman" w:hAnsi="Times New Roman"/>
          <w:b/>
          <w:i/>
        </w:rPr>
      </w:pPr>
      <w:r w:rsidRPr="00233B8E">
        <w:rPr>
          <w:rFonts w:ascii="Times New Roman" w:eastAsia="Times New Roman" w:hAnsi="Times New Roman"/>
          <w:b/>
          <w:i/>
        </w:rPr>
        <w:lastRenderedPageBreak/>
        <w:t xml:space="preserve">Explanation of </w:t>
      </w:r>
      <w:r w:rsidRPr="00233B8E">
        <w:rPr>
          <w:rFonts w:ascii="Times New Roman" w:eastAsia="Times New Roman" w:hAnsi="Times New Roman"/>
          <w:b/>
          <w:i/>
          <w:color w:val="000000"/>
        </w:rPr>
        <w:t>Quarterly</w:t>
      </w:r>
      <w:r w:rsidRPr="00233B8E">
        <w:rPr>
          <w:rFonts w:ascii="Times New Roman" w:eastAsia="Times New Roman" w:hAnsi="Times New Roman"/>
          <w:b/>
          <w:i/>
        </w:rPr>
        <w:t xml:space="preserve"> Results for the </w:t>
      </w:r>
      <w:r w:rsidR="009A2D28">
        <w:rPr>
          <w:rFonts w:ascii="Times New Roman" w:eastAsia="Times New Roman" w:hAnsi="Times New Roman"/>
          <w:b/>
          <w:i/>
        </w:rPr>
        <w:t>three</w:t>
      </w:r>
      <w:r w:rsidR="004F29C8">
        <w:rPr>
          <w:rFonts w:ascii="Times New Roman" w:eastAsia="Times New Roman" w:hAnsi="Times New Roman"/>
          <w:b/>
          <w:i/>
        </w:rPr>
        <w:t xml:space="preserve"> months ended </w:t>
      </w:r>
      <w:r w:rsidR="000E08E0">
        <w:rPr>
          <w:rFonts w:ascii="Times New Roman" w:eastAsia="Times New Roman" w:hAnsi="Times New Roman"/>
          <w:b/>
          <w:i/>
        </w:rPr>
        <w:t>September 30, 2025</w:t>
      </w:r>
      <w:r w:rsidRPr="00233B8E">
        <w:rPr>
          <w:rFonts w:ascii="Times New Roman" w:eastAsia="Times New Roman" w:hAnsi="Times New Roman"/>
          <w:b/>
          <w:i/>
        </w:rPr>
        <w:t xml:space="preserve"> (</w:t>
      </w:r>
      <w:r w:rsidR="00735A12" w:rsidRPr="00233B8E">
        <w:rPr>
          <w:rFonts w:ascii="Times New Roman" w:eastAsia="Times New Roman" w:hAnsi="Times New Roman"/>
          <w:b/>
          <w:i/>
        </w:rPr>
        <w:t>“</w:t>
      </w:r>
      <w:r w:rsidR="00B4081B">
        <w:rPr>
          <w:rFonts w:ascii="Times New Roman" w:eastAsia="Times New Roman" w:hAnsi="Times New Roman"/>
          <w:b/>
          <w:i/>
        </w:rPr>
        <w:t>Q</w:t>
      </w:r>
      <w:r w:rsidR="003107B5">
        <w:rPr>
          <w:rFonts w:ascii="Times New Roman" w:eastAsia="Times New Roman" w:hAnsi="Times New Roman"/>
          <w:b/>
          <w:i/>
        </w:rPr>
        <w:t>3</w:t>
      </w:r>
      <w:r w:rsidR="003E5345">
        <w:rPr>
          <w:rFonts w:ascii="Times New Roman" w:eastAsia="Times New Roman" w:hAnsi="Times New Roman"/>
          <w:b/>
          <w:i/>
        </w:rPr>
        <w:t xml:space="preserve"> 202</w:t>
      </w:r>
      <w:r w:rsidR="00774572">
        <w:rPr>
          <w:rFonts w:ascii="Times New Roman" w:eastAsia="Times New Roman" w:hAnsi="Times New Roman"/>
          <w:b/>
          <w:i/>
        </w:rPr>
        <w:t>5</w:t>
      </w:r>
      <w:r w:rsidR="00735A12" w:rsidRPr="00233B8E">
        <w:rPr>
          <w:rFonts w:ascii="Times New Roman" w:eastAsia="Times New Roman" w:hAnsi="Times New Roman"/>
          <w:b/>
          <w:i/>
        </w:rPr>
        <w:t>”</w:t>
      </w:r>
      <w:r w:rsidRPr="00233B8E">
        <w:rPr>
          <w:rFonts w:ascii="Times New Roman" w:eastAsia="Times New Roman" w:hAnsi="Times New Roman"/>
          <w:b/>
          <w:i/>
        </w:rPr>
        <w:t>)</w:t>
      </w:r>
      <w:r w:rsidR="00262570" w:rsidRPr="00233B8E">
        <w:rPr>
          <w:rFonts w:ascii="Times New Roman" w:eastAsia="Times New Roman" w:hAnsi="Times New Roman"/>
          <w:b/>
          <w:i/>
        </w:rPr>
        <w:t xml:space="preserve"> compared to the same </w:t>
      </w:r>
      <w:r w:rsidR="00C7645F">
        <w:rPr>
          <w:rFonts w:ascii="Times New Roman" w:eastAsia="Times New Roman" w:hAnsi="Times New Roman"/>
          <w:b/>
          <w:i/>
        </w:rPr>
        <w:t>three</w:t>
      </w:r>
      <w:r w:rsidR="002400ED">
        <w:rPr>
          <w:rFonts w:ascii="Times New Roman" w:eastAsia="Times New Roman" w:hAnsi="Times New Roman"/>
          <w:b/>
          <w:i/>
        </w:rPr>
        <w:t>-</w:t>
      </w:r>
      <w:r w:rsidR="00A01D9F" w:rsidRPr="00233B8E">
        <w:rPr>
          <w:rFonts w:ascii="Times New Roman" w:eastAsia="Times New Roman" w:hAnsi="Times New Roman"/>
          <w:b/>
          <w:i/>
        </w:rPr>
        <w:t>month</w:t>
      </w:r>
      <w:r w:rsidR="00262570" w:rsidRPr="00233B8E">
        <w:rPr>
          <w:rFonts w:ascii="Times New Roman" w:eastAsia="Times New Roman" w:hAnsi="Times New Roman"/>
          <w:b/>
          <w:i/>
        </w:rPr>
        <w:t xml:space="preserve"> period in the prior year (“</w:t>
      </w:r>
      <w:r w:rsidR="00B4081B">
        <w:rPr>
          <w:rFonts w:ascii="Times New Roman" w:eastAsia="Times New Roman" w:hAnsi="Times New Roman"/>
          <w:b/>
          <w:i/>
        </w:rPr>
        <w:t>Q</w:t>
      </w:r>
      <w:r w:rsidR="00D9522A">
        <w:rPr>
          <w:rFonts w:ascii="Times New Roman" w:eastAsia="Times New Roman" w:hAnsi="Times New Roman"/>
          <w:b/>
          <w:i/>
        </w:rPr>
        <w:t>2</w:t>
      </w:r>
      <w:r w:rsidR="003E5345">
        <w:rPr>
          <w:rFonts w:ascii="Times New Roman" w:eastAsia="Times New Roman" w:hAnsi="Times New Roman"/>
          <w:b/>
          <w:i/>
        </w:rPr>
        <w:t xml:space="preserve"> 202</w:t>
      </w:r>
      <w:r w:rsidR="00774572">
        <w:rPr>
          <w:rFonts w:ascii="Times New Roman" w:eastAsia="Times New Roman" w:hAnsi="Times New Roman"/>
          <w:b/>
          <w:i/>
        </w:rPr>
        <w:t>4</w:t>
      </w:r>
      <w:r w:rsidR="00735A12" w:rsidRPr="00233B8E">
        <w:rPr>
          <w:rFonts w:ascii="Times New Roman" w:eastAsia="Times New Roman" w:hAnsi="Times New Roman"/>
          <w:b/>
          <w:i/>
        </w:rPr>
        <w:t>”</w:t>
      </w:r>
      <w:r w:rsidR="00262570" w:rsidRPr="00233B8E">
        <w:rPr>
          <w:rFonts w:ascii="Times New Roman" w:eastAsia="Times New Roman" w:hAnsi="Times New Roman"/>
          <w:b/>
          <w:i/>
        </w:rPr>
        <w:t>)</w:t>
      </w:r>
    </w:p>
    <w:p w14:paraId="0F869842" w14:textId="2488FFC6" w:rsidR="000F0A0B" w:rsidRDefault="004928E7" w:rsidP="0023210C">
      <w:pPr>
        <w:widowControl/>
        <w:spacing w:after="80"/>
        <w:jc w:val="both"/>
        <w:rPr>
          <w:rFonts w:ascii="Times New Roman" w:eastAsia="Times New Roman" w:hAnsi="Times New Roman"/>
        </w:rPr>
      </w:pPr>
      <w:r w:rsidRPr="002711E4">
        <w:rPr>
          <w:rFonts w:ascii="Times New Roman" w:eastAsia="Times New Roman" w:hAnsi="Times New Roman"/>
        </w:rPr>
        <w:t>Net</w:t>
      </w:r>
      <w:r w:rsidR="00BA1250" w:rsidRPr="002711E4">
        <w:rPr>
          <w:rFonts w:ascii="Times New Roman" w:eastAsia="Times New Roman" w:hAnsi="Times New Roman"/>
        </w:rPr>
        <w:t xml:space="preserve"> </w:t>
      </w:r>
      <w:r w:rsidR="00D9522A">
        <w:rPr>
          <w:rFonts w:ascii="Times New Roman" w:eastAsia="Times New Roman" w:hAnsi="Times New Roman"/>
        </w:rPr>
        <w:t>loss</w:t>
      </w:r>
      <w:r w:rsidR="00774572">
        <w:rPr>
          <w:rFonts w:ascii="Times New Roman" w:eastAsia="Times New Roman" w:hAnsi="Times New Roman"/>
        </w:rPr>
        <w:t xml:space="preserve"> </w:t>
      </w:r>
      <w:r w:rsidR="00BA1250" w:rsidRPr="002711E4">
        <w:rPr>
          <w:rFonts w:ascii="Times New Roman" w:eastAsia="Times New Roman" w:hAnsi="Times New Roman"/>
        </w:rPr>
        <w:t xml:space="preserve">for </w:t>
      </w:r>
      <w:r w:rsidR="003107B5">
        <w:rPr>
          <w:rFonts w:ascii="Times New Roman" w:eastAsia="Times New Roman" w:hAnsi="Times New Roman"/>
        </w:rPr>
        <w:t>Q3</w:t>
      </w:r>
      <w:r w:rsidR="00774572">
        <w:rPr>
          <w:rFonts w:ascii="Times New Roman" w:eastAsia="Times New Roman" w:hAnsi="Times New Roman"/>
        </w:rPr>
        <w:t xml:space="preserve"> 2025</w:t>
      </w:r>
      <w:r w:rsidR="00BA1250" w:rsidRPr="002711E4">
        <w:rPr>
          <w:rFonts w:ascii="Times New Roman" w:eastAsia="Times New Roman" w:hAnsi="Times New Roman"/>
        </w:rPr>
        <w:t xml:space="preserve"> was $</w:t>
      </w:r>
      <w:r w:rsidR="003107B5">
        <w:rPr>
          <w:rFonts w:ascii="Times New Roman" w:eastAsia="Times New Roman" w:hAnsi="Times New Roman"/>
        </w:rPr>
        <w:t>9,369,714</w:t>
      </w:r>
      <w:r w:rsidR="00C205E8">
        <w:rPr>
          <w:rFonts w:ascii="Times New Roman" w:eastAsia="Times New Roman" w:hAnsi="Times New Roman"/>
        </w:rPr>
        <w:t xml:space="preserve"> </w:t>
      </w:r>
      <w:r w:rsidR="00BA1250" w:rsidRPr="002711E4">
        <w:rPr>
          <w:rFonts w:ascii="Times New Roman" w:eastAsia="Times New Roman" w:hAnsi="Times New Roman"/>
        </w:rPr>
        <w:t xml:space="preserve">compared to </w:t>
      </w:r>
      <w:r w:rsidR="00921634" w:rsidRPr="002711E4">
        <w:rPr>
          <w:rFonts w:ascii="Times New Roman" w:eastAsia="Times New Roman" w:hAnsi="Times New Roman"/>
        </w:rPr>
        <w:t xml:space="preserve">a </w:t>
      </w:r>
      <w:r w:rsidRPr="002711E4">
        <w:rPr>
          <w:rFonts w:ascii="Times New Roman" w:eastAsia="Times New Roman" w:hAnsi="Times New Roman"/>
        </w:rPr>
        <w:t xml:space="preserve">net </w:t>
      </w:r>
      <w:r w:rsidR="00BA1250" w:rsidRPr="002711E4">
        <w:rPr>
          <w:rFonts w:ascii="Times New Roman" w:eastAsia="Times New Roman" w:hAnsi="Times New Roman"/>
        </w:rPr>
        <w:t>loss</w:t>
      </w:r>
      <w:r w:rsidR="00EF1EE3" w:rsidRPr="002711E4">
        <w:rPr>
          <w:rFonts w:ascii="Times New Roman" w:eastAsia="Times New Roman" w:hAnsi="Times New Roman"/>
        </w:rPr>
        <w:t xml:space="preserve"> </w:t>
      </w:r>
      <w:r w:rsidR="00BA1250" w:rsidRPr="002711E4">
        <w:rPr>
          <w:rFonts w:ascii="Times New Roman" w:eastAsia="Times New Roman" w:hAnsi="Times New Roman"/>
        </w:rPr>
        <w:t>of $</w:t>
      </w:r>
      <w:r w:rsidR="003107B5">
        <w:rPr>
          <w:rFonts w:ascii="Times New Roman" w:eastAsia="Times New Roman" w:hAnsi="Times New Roman"/>
        </w:rPr>
        <w:t>12,740,537</w:t>
      </w:r>
      <w:r w:rsidR="00D9522A">
        <w:rPr>
          <w:rFonts w:ascii="Times New Roman" w:eastAsia="Times New Roman" w:hAnsi="Times New Roman"/>
        </w:rPr>
        <w:t xml:space="preserve"> </w:t>
      </w:r>
      <w:r w:rsidR="00BA1250" w:rsidRPr="002711E4">
        <w:rPr>
          <w:rFonts w:ascii="Times New Roman" w:eastAsia="Times New Roman" w:hAnsi="Times New Roman"/>
        </w:rPr>
        <w:t xml:space="preserve">in </w:t>
      </w:r>
      <w:r w:rsidR="003107B5">
        <w:rPr>
          <w:rFonts w:ascii="Times New Roman" w:eastAsia="Times New Roman" w:hAnsi="Times New Roman"/>
        </w:rPr>
        <w:t>Q3</w:t>
      </w:r>
      <w:r w:rsidR="00774572">
        <w:rPr>
          <w:rFonts w:ascii="Times New Roman" w:eastAsia="Times New Roman" w:hAnsi="Times New Roman"/>
        </w:rPr>
        <w:t xml:space="preserve"> 2024</w:t>
      </w:r>
      <w:r w:rsidR="00E06788" w:rsidRPr="002711E4">
        <w:rPr>
          <w:rFonts w:ascii="Times New Roman" w:eastAsia="Times New Roman" w:hAnsi="Times New Roman"/>
        </w:rPr>
        <w:t>,</w:t>
      </w:r>
      <w:r w:rsidR="00735CDC" w:rsidRPr="002711E4">
        <w:rPr>
          <w:rFonts w:ascii="Times New Roman" w:eastAsia="Times New Roman" w:hAnsi="Times New Roman"/>
        </w:rPr>
        <w:t xml:space="preserve"> </w:t>
      </w:r>
      <w:r w:rsidR="008358C7">
        <w:rPr>
          <w:rFonts w:ascii="Times New Roman" w:eastAsia="Times New Roman" w:hAnsi="Times New Roman"/>
        </w:rPr>
        <w:t>a</w:t>
      </w:r>
      <w:r w:rsidR="003E5345">
        <w:rPr>
          <w:rFonts w:ascii="Times New Roman" w:eastAsia="Times New Roman" w:hAnsi="Times New Roman"/>
        </w:rPr>
        <w:t xml:space="preserve"> </w:t>
      </w:r>
      <w:r w:rsidR="003107B5">
        <w:rPr>
          <w:rFonts w:ascii="Times New Roman" w:eastAsia="Times New Roman" w:hAnsi="Times New Roman"/>
        </w:rPr>
        <w:t>decrease</w:t>
      </w:r>
      <w:r w:rsidR="003E5345">
        <w:rPr>
          <w:rFonts w:ascii="Times New Roman" w:eastAsia="Times New Roman" w:hAnsi="Times New Roman"/>
        </w:rPr>
        <w:t xml:space="preserve"> of</w:t>
      </w:r>
      <w:r w:rsidR="002934A5" w:rsidRPr="002711E4">
        <w:rPr>
          <w:rFonts w:ascii="Times New Roman" w:eastAsia="Times New Roman" w:hAnsi="Times New Roman"/>
        </w:rPr>
        <w:t xml:space="preserve"> $</w:t>
      </w:r>
      <w:r w:rsidR="003107B5">
        <w:rPr>
          <w:rFonts w:ascii="Times New Roman" w:eastAsia="Times New Roman" w:hAnsi="Times New Roman"/>
        </w:rPr>
        <w:t>3,370,823</w:t>
      </w:r>
      <w:r w:rsidR="00F25BED" w:rsidRPr="009930C8">
        <w:rPr>
          <w:rFonts w:ascii="Times New Roman" w:eastAsia="Times New Roman" w:hAnsi="Times New Roman"/>
        </w:rPr>
        <w:t>.</w:t>
      </w:r>
      <w:r w:rsidR="00BA1250" w:rsidRPr="002711E4">
        <w:rPr>
          <w:rFonts w:ascii="Times New Roman" w:eastAsia="Times New Roman" w:hAnsi="Times New Roman"/>
        </w:rPr>
        <w:t xml:space="preserve"> </w:t>
      </w:r>
      <w:r w:rsidRPr="002711E4">
        <w:rPr>
          <w:rFonts w:ascii="Times New Roman" w:eastAsia="Times New Roman" w:hAnsi="Times New Roman"/>
        </w:rPr>
        <w:t xml:space="preserve"> The following discusses the significant variances between </w:t>
      </w:r>
      <w:r w:rsidR="003107B5">
        <w:rPr>
          <w:rFonts w:ascii="Times New Roman" w:eastAsia="Times New Roman" w:hAnsi="Times New Roman"/>
        </w:rPr>
        <w:t>Q3</w:t>
      </w:r>
      <w:r w:rsidR="00774572">
        <w:rPr>
          <w:rFonts w:ascii="Times New Roman" w:eastAsia="Times New Roman" w:hAnsi="Times New Roman"/>
        </w:rPr>
        <w:t xml:space="preserve"> 2025</w:t>
      </w:r>
      <w:r w:rsidRPr="002711E4">
        <w:rPr>
          <w:rFonts w:ascii="Times New Roman" w:eastAsia="Times New Roman" w:hAnsi="Times New Roman"/>
        </w:rPr>
        <w:t xml:space="preserve"> </w:t>
      </w:r>
      <w:r w:rsidR="00B866C3" w:rsidRPr="002711E4">
        <w:rPr>
          <w:rFonts w:ascii="Times New Roman" w:eastAsia="Times New Roman" w:hAnsi="Times New Roman"/>
        </w:rPr>
        <w:t xml:space="preserve">and </w:t>
      </w:r>
      <w:r w:rsidR="003107B5">
        <w:rPr>
          <w:rFonts w:ascii="Times New Roman" w:eastAsia="Times New Roman" w:hAnsi="Times New Roman"/>
        </w:rPr>
        <w:t>Q3</w:t>
      </w:r>
      <w:r w:rsidR="00774572">
        <w:rPr>
          <w:rFonts w:ascii="Times New Roman" w:eastAsia="Times New Roman" w:hAnsi="Times New Roman"/>
        </w:rPr>
        <w:t xml:space="preserve"> 2024</w:t>
      </w:r>
      <w:r w:rsidRPr="002711E4">
        <w:rPr>
          <w:rFonts w:ascii="Times New Roman" w:eastAsia="Times New Roman" w:hAnsi="Times New Roman"/>
        </w:rPr>
        <w:t>.</w:t>
      </w:r>
    </w:p>
    <w:p w14:paraId="5E221F5F" w14:textId="3025DA2F" w:rsidR="002F0C40" w:rsidRDefault="002F0C40" w:rsidP="002F0C40">
      <w:pPr>
        <w:widowControl/>
        <w:spacing w:after="80"/>
        <w:jc w:val="both"/>
        <w:rPr>
          <w:rFonts w:ascii="Times New Roman" w:eastAsia="Times New Roman" w:hAnsi="Times New Roman"/>
        </w:rPr>
      </w:pPr>
      <w:r>
        <w:rPr>
          <w:rFonts w:ascii="Times New Roman" w:eastAsia="Times New Roman" w:hAnsi="Times New Roman"/>
        </w:rPr>
        <w:t>Non-recurring engineering and product revenue (“NRE”) was $</w:t>
      </w:r>
      <w:r w:rsidR="00D9522A">
        <w:rPr>
          <w:rFonts w:ascii="Times New Roman" w:eastAsia="Times New Roman" w:hAnsi="Times New Roman"/>
        </w:rPr>
        <w:t>2</w:t>
      </w:r>
      <w:r w:rsidR="003107B5">
        <w:rPr>
          <w:rFonts w:ascii="Times New Roman" w:eastAsia="Times New Roman" w:hAnsi="Times New Roman"/>
        </w:rPr>
        <w:t>98,434</w:t>
      </w:r>
      <w:r>
        <w:rPr>
          <w:rFonts w:ascii="Times New Roman" w:eastAsia="Times New Roman" w:hAnsi="Times New Roman"/>
        </w:rPr>
        <w:t xml:space="preserve"> in </w:t>
      </w:r>
      <w:r w:rsidR="003107B5">
        <w:rPr>
          <w:rFonts w:ascii="Times New Roman" w:eastAsia="Times New Roman" w:hAnsi="Times New Roman"/>
        </w:rPr>
        <w:t>Q3</w:t>
      </w:r>
      <w:r w:rsidR="00774572">
        <w:rPr>
          <w:rFonts w:ascii="Times New Roman" w:eastAsia="Times New Roman" w:hAnsi="Times New Roman"/>
        </w:rPr>
        <w:t xml:space="preserve"> 2025</w:t>
      </w:r>
      <w:r>
        <w:rPr>
          <w:rFonts w:ascii="Times New Roman" w:eastAsia="Times New Roman" w:hAnsi="Times New Roman"/>
        </w:rPr>
        <w:t xml:space="preserve"> compared to </w:t>
      </w:r>
      <w:r w:rsidR="003107B5">
        <w:rPr>
          <w:rFonts w:ascii="Times New Roman" w:eastAsia="Times New Roman" w:hAnsi="Times New Roman"/>
        </w:rPr>
        <w:t>$3,685 i</w:t>
      </w:r>
      <w:r>
        <w:rPr>
          <w:rFonts w:ascii="Times New Roman" w:eastAsia="Times New Roman" w:hAnsi="Times New Roman"/>
        </w:rPr>
        <w:t xml:space="preserve">n </w:t>
      </w:r>
      <w:r w:rsidR="003107B5">
        <w:rPr>
          <w:rFonts w:ascii="Times New Roman" w:eastAsia="Times New Roman" w:hAnsi="Times New Roman"/>
        </w:rPr>
        <w:t>Q3</w:t>
      </w:r>
      <w:r w:rsidR="00774572">
        <w:rPr>
          <w:rFonts w:ascii="Times New Roman" w:eastAsia="Times New Roman" w:hAnsi="Times New Roman"/>
        </w:rPr>
        <w:t xml:space="preserve"> 2024</w:t>
      </w:r>
      <w:r>
        <w:rPr>
          <w:rFonts w:ascii="Times New Roman" w:eastAsia="Times New Roman" w:hAnsi="Times New Roman"/>
        </w:rPr>
        <w:t>, a</w:t>
      </w:r>
      <w:r w:rsidR="00796203">
        <w:rPr>
          <w:rFonts w:ascii="Times New Roman" w:eastAsia="Times New Roman" w:hAnsi="Times New Roman"/>
        </w:rPr>
        <w:t>n increase of</w:t>
      </w:r>
      <w:r>
        <w:rPr>
          <w:rFonts w:ascii="Times New Roman" w:eastAsia="Times New Roman" w:hAnsi="Times New Roman"/>
        </w:rPr>
        <w:t xml:space="preserve"> $</w:t>
      </w:r>
      <w:r w:rsidR="003107B5">
        <w:rPr>
          <w:rFonts w:ascii="Times New Roman" w:eastAsia="Times New Roman" w:hAnsi="Times New Roman"/>
        </w:rPr>
        <w:t>294,749</w:t>
      </w:r>
      <w:r>
        <w:rPr>
          <w:rFonts w:ascii="Times New Roman" w:eastAsia="Times New Roman" w:hAnsi="Times New Roman"/>
        </w:rPr>
        <w:t xml:space="preserve">. Historically the Company provided NRE services to multiple customers for unique projects that are being addressed utilizing the capabilities of the POET Optical Interposer. </w:t>
      </w:r>
    </w:p>
    <w:p w14:paraId="7539FBFE" w14:textId="337E357D" w:rsidR="00FD53AF" w:rsidRDefault="00FD53AF" w:rsidP="00FD53AF">
      <w:pPr>
        <w:widowControl/>
        <w:tabs>
          <w:tab w:val="left" w:pos="4536"/>
          <w:tab w:val="left" w:pos="4820"/>
        </w:tabs>
        <w:spacing w:after="120"/>
        <w:jc w:val="both"/>
        <w:rPr>
          <w:rFonts w:ascii="Times New Roman" w:eastAsia="Times New Roman" w:hAnsi="Times New Roman"/>
        </w:rPr>
      </w:pPr>
      <w:r>
        <w:rPr>
          <w:rFonts w:ascii="Times New Roman" w:eastAsia="Times New Roman" w:hAnsi="Times New Roman"/>
        </w:rPr>
        <w:t xml:space="preserve">R&amp;D </w:t>
      </w:r>
      <w:r w:rsidR="002F0C40">
        <w:rPr>
          <w:rFonts w:ascii="Times New Roman" w:eastAsia="Times New Roman" w:hAnsi="Times New Roman"/>
        </w:rPr>
        <w:t>increased by $</w:t>
      </w:r>
      <w:r w:rsidR="00DF7F27">
        <w:rPr>
          <w:rFonts w:ascii="Times New Roman" w:eastAsia="Times New Roman" w:hAnsi="Times New Roman"/>
        </w:rPr>
        <w:t>1,</w:t>
      </w:r>
      <w:r w:rsidR="003107B5">
        <w:rPr>
          <w:rFonts w:ascii="Times New Roman" w:eastAsia="Times New Roman" w:hAnsi="Times New Roman"/>
        </w:rPr>
        <w:t>970,222</w:t>
      </w:r>
      <w:r>
        <w:rPr>
          <w:rFonts w:ascii="Times New Roman" w:eastAsia="Times New Roman" w:hAnsi="Times New Roman"/>
        </w:rPr>
        <w:t xml:space="preserve"> (</w:t>
      </w:r>
      <w:r w:rsidR="003107B5">
        <w:rPr>
          <w:rFonts w:ascii="Times New Roman" w:eastAsia="Times New Roman" w:hAnsi="Times New Roman"/>
        </w:rPr>
        <w:t>112</w:t>
      </w:r>
      <w:r>
        <w:rPr>
          <w:rFonts w:ascii="Times New Roman" w:eastAsia="Times New Roman" w:hAnsi="Times New Roman"/>
        </w:rPr>
        <w:t>%) to $</w:t>
      </w:r>
      <w:r w:rsidR="00DF7F27">
        <w:rPr>
          <w:rFonts w:ascii="Times New Roman" w:eastAsia="Times New Roman" w:hAnsi="Times New Roman"/>
        </w:rPr>
        <w:t>3,</w:t>
      </w:r>
      <w:r w:rsidR="003107B5">
        <w:rPr>
          <w:rFonts w:ascii="Times New Roman" w:eastAsia="Times New Roman" w:hAnsi="Times New Roman"/>
        </w:rPr>
        <w:t>735,703</w:t>
      </w:r>
      <w:r>
        <w:rPr>
          <w:rFonts w:ascii="Times New Roman" w:eastAsia="Times New Roman" w:hAnsi="Times New Roman"/>
        </w:rPr>
        <w:t xml:space="preserve"> in </w:t>
      </w:r>
      <w:r w:rsidR="003107B5">
        <w:rPr>
          <w:rFonts w:ascii="Times New Roman" w:eastAsia="Times New Roman" w:hAnsi="Times New Roman"/>
        </w:rPr>
        <w:t>Q3</w:t>
      </w:r>
      <w:r w:rsidR="00774572">
        <w:rPr>
          <w:rFonts w:ascii="Times New Roman" w:eastAsia="Times New Roman" w:hAnsi="Times New Roman"/>
        </w:rPr>
        <w:t xml:space="preserve"> 2025</w:t>
      </w:r>
      <w:r>
        <w:rPr>
          <w:rFonts w:ascii="Times New Roman" w:eastAsia="Times New Roman" w:hAnsi="Times New Roman"/>
        </w:rPr>
        <w:t xml:space="preserve"> from $</w:t>
      </w:r>
      <w:r w:rsidR="002F4181">
        <w:rPr>
          <w:rFonts w:ascii="Times New Roman" w:eastAsia="Times New Roman" w:hAnsi="Times New Roman"/>
        </w:rPr>
        <w:t>1,765,481</w:t>
      </w:r>
      <w:r>
        <w:rPr>
          <w:rFonts w:ascii="Times New Roman" w:eastAsia="Times New Roman" w:hAnsi="Times New Roman"/>
        </w:rPr>
        <w:t xml:space="preserve"> in </w:t>
      </w:r>
      <w:r w:rsidR="003107B5">
        <w:rPr>
          <w:rFonts w:ascii="Times New Roman" w:eastAsia="Times New Roman" w:hAnsi="Times New Roman"/>
        </w:rPr>
        <w:t>Q3</w:t>
      </w:r>
      <w:r w:rsidR="00774572">
        <w:rPr>
          <w:rFonts w:ascii="Times New Roman" w:eastAsia="Times New Roman" w:hAnsi="Times New Roman"/>
        </w:rPr>
        <w:t xml:space="preserve"> 2024</w:t>
      </w:r>
      <w:r>
        <w:rPr>
          <w:rFonts w:ascii="Times New Roman" w:eastAsia="Times New Roman" w:hAnsi="Times New Roman"/>
        </w:rPr>
        <w:t>.</w:t>
      </w:r>
      <w:r w:rsidR="00DF7F27">
        <w:rPr>
          <w:rFonts w:ascii="Times New Roman" w:eastAsia="Times New Roman" w:hAnsi="Times New Roman"/>
        </w:rPr>
        <w:t xml:space="preserve"> </w:t>
      </w:r>
      <w:r w:rsidR="002F4181">
        <w:rPr>
          <w:rFonts w:ascii="Times New Roman" w:eastAsia="Times New Roman" w:hAnsi="Times New Roman"/>
        </w:rPr>
        <w:t>T</w:t>
      </w:r>
      <w:r w:rsidR="00DF7F27">
        <w:rPr>
          <w:rFonts w:ascii="Times New Roman" w:eastAsia="Times New Roman" w:hAnsi="Times New Roman"/>
        </w:rPr>
        <w:t xml:space="preserve">he Company established production capacity and capabilities with two new facilities in Malaysia. The Company incurred significant costs in “bringing up” these facilities to meet expectations. </w:t>
      </w:r>
      <w:r w:rsidR="002F4181">
        <w:rPr>
          <w:rFonts w:ascii="Times New Roman" w:eastAsia="Times New Roman" w:hAnsi="Times New Roman"/>
        </w:rPr>
        <w:t xml:space="preserve">The Company’s expansion has also resulted in higher R&amp;D related compensation in Q3 2025 compared to Q3 2024. R&amp;D related compensation was $1,507,509 in Q3 2025 compared to $1,035,627 in Q3 2024, an increase of $471,882. </w:t>
      </w:r>
      <w:r w:rsidR="00796203">
        <w:rPr>
          <w:rFonts w:ascii="Times New Roman" w:eastAsia="Times New Roman" w:hAnsi="Times New Roman"/>
        </w:rPr>
        <w:t>It is expected that R&amp;D</w:t>
      </w:r>
      <w:r>
        <w:rPr>
          <w:rFonts w:ascii="Times New Roman" w:eastAsia="Times New Roman" w:hAnsi="Times New Roman"/>
        </w:rPr>
        <w:t xml:space="preserve"> for a Company at this stage of development will vary from period to period based on the development cycle and the immediate product development needs of the Company. </w:t>
      </w:r>
    </w:p>
    <w:p w14:paraId="7547B1AD" w14:textId="3989BDD3" w:rsidR="00DF7F27" w:rsidRDefault="00DF7F27" w:rsidP="00DF7F27">
      <w:pPr>
        <w:widowControl/>
        <w:spacing w:after="120"/>
        <w:jc w:val="both"/>
        <w:rPr>
          <w:rFonts w:ascii="Times New Roman" w:hAnsi="Times New Roman"/>
          <w:color w:val="000000" w:themeColor="text1"/>
          <w:lang w:val="en-CA"/>
        </w:rPr>
      </w:pPr>
      <w:r>
        <w:rPr>
          <w:rFonts w:ascii="Times New Roman" w:eastAsia="Times New Roman" w:hAnsi="Times New Roman"/>
        </w:rPr>
        <w:t>Depreciation and amortization increased by $</w:t>
      </w:r>
      <w:r w:rsidR="002F4181">
        <w:rPr>
          <w:rFonts w:ascii="Times New Roman" w:eastAsia="Times New Roman" w:hAnsi="Times New Roman"/>
        </w:rPr>
        <w:t>366,749</w:t>
      </w:r>
      <w:r>
        <w:rPr>
          <w:rFonts w:ascii="Times New Roman" w:eastAsia="Times New Roman" w:hAnsi="Times New Roman"/>
        </w:rPr>
        <w:t xml:space="preserve"> (</w:t>
      </w:r>
      <w:r w:rsidR="002F4181">
        <w:rPr>
          <w:rFonts w:ascii="Times New Roman" w:eastAsia="Times New Roman" w:hAnsi="Times New Roman"/>
        </w:rPr>
        <w:t>70</w:t>
      </w:r>
      <w:r>
        <w:rPr>
          <w:rFonts w:ascii="Times New Roman" w:eastAsia="Times New Roman" w:hAnsi="Times New Roman"/>
        </w:rPr>
        <w:t xml:space="preserve">%) to </w:t>
      </w:r>
      <w:r w:rsidR="002F4181">
        <w:rPr>
          <w:rFonts w:ascii="Times New Roman" w:eastAsia="Times New Roman" w:hAnsi="Times New Roman"/>
        </w:rPr>
        <w:t>$892,704</w:t>
      </w:r>
      <w:r>
        <w:rPr>
          <w:rFonts w:ascii="Times New Roman" w:eastAsia="Times New Roman" w:hAnsi="Times New Roman"/>
        </w:rPr>
        <w:t xml:space="preserve"> in </w:t>
      </w:r>
      <w:r w:rsidR="003107B5">
        <w:rPr>
          <w:rFonts w:ascii="Times New Roman" w:eastAsia="Times New Roman" w:hAnsi="Times New Roman"/>
        </w:rPr>
        <w:t>Q3</w:t>
      </w:r>
      <w:r>
        <w:rPr>
          <w:rFonts w:ascii="Times New Roman" w:eastAsia="Times New Roman" w:hAnsi="Times New Roman"/>
        </w:rPr>
        <w:t xml:space="preserve"> 2025 from $</w:t>
      </w:r>
      <w:r w:rsidR="009A01A8">
        <w:rPr>
          <w:rFonts w:ascii="Times New Roman" w:eastAsia="Times New Roman" w:hAnsi="Times New Roman"/>
        </w:rPr>
        <w:t>525,955</w:t>
      </w:r>
      <w:r>
        <w:rPr>
          <w:rFonts w:ascii="Times New Roman" w:eastAsia="Times New Roman" w:hAnsi="Times New Roman"/>
        </w:rPr>
        <w:t xml:space="preserve"> in </w:t>
      </w:r>
      <w:r w:rsidR="003107B5">
        <w:rPr>
          <w:rFonts w:ascii="Times New Roman" w:eastAsia="Times New Roman" w:hAnsi="Times New Roman"/>
        </w:rPr>
        <w:t>Q3</w:t>
      </w:r>
      <w:r>
        <w:rPr>
          <w:rFonts w:ascii="Times New Roman" w:eastAsia="Times New Roman" w:hAnsi="Times New Roman"/>
        </w:rPr>
        <w:t xml:space="preserve"> 2024. As the Company embarks on its new phase of growth, focused on manufacturing, it acquired significant fixed assets in 2024. Many of these assets were placed in operations in the latter part of 2024 and into </w:t>
      </w:r>
      <w:r w:rsidR="003107B5">
        <w:rPr>
          <w:rFonts w:ascii="Times New Roman" w:eastAsia="Times New Roman" w:hAnsi="Times New Roman"/>
        </w:rPr>
        <w:t>Q3</w:t>
      </w:r>
      <w:r>
        <w:rPr>
          <w:rFonts w:ascii="Times New Roman" w:eastAsia="Times New Roman" w:hAnsi="Times New Roman"/>
        </w:rPr>
        <w:t xml:space="preserve"> 2025.</w:t>
      </w:r>
    </w:p>
    <w:p w14:paraId="2F49EFC4" w14:textId="22811018" w:rsidR="00A220AF" w:rsidRDefault="00111093" w:rsidP="0023210C">
      <w:pPr>
        <w:widowControl/>
        <w:spacing w:after="120"/>
        <w:jc w:val="both"/>
        <w:rPr>
          <w:rFonts w:ascii="Times New Roman" w:hAnsi="Times New Roman"/>
          <w:color w:val="000000" w:themeColor="text1"/>
          <w:lang w:val="en-CA"/>
        </w:rPr>
      </w:pPr>
      <w:bookmarkStart w:id="11" w:name="_Hlk133656190"/>
      <w:r>
        <w:rPr>
          <w:rFonts w:ascii="Times New Roman" w:hAnsi="Times New Roman"/>
          <w:color w:val="000000" w:themeColor="text1"/>
          <w:lang w:val="en-CA"/>
        </w:rPr>
        <w:t xml:space="preserve">Professional fees </w:t>
      </w:r>
      <w:r w:rsidR="009A01A8">
        <w:rPr>
          <w:rFonts w:ascii="Times New Roman" w:hAnsi="Times New Roman"/>
          <w:color w:val="000000" w:themeColor="text1"/>
          <w:lang w:val="en-CA"/>
        </w:rPr>
        <w:t>de</w:t>
      </w:r>
      <w:r w:rsidR="00DF7F27">
        <w:rPr>
          <w:rFonts w:ascii="Times New Roman" w:hAnsi="Times New Roman"/>
          <w:color w:val="000000" w:themeColor="text1"/>
          <w:lang w:val="en-CA"/>
        </w:rPr>
        <w:t>creased</w:t>
      </w:r>
      <w:r>
        <w:rPr>
          <w:rFonts w:ascii="Times New Roman" w:hAnsi="Times New Roman"/>
          <w:color w:val="000000" w:themeColor="text1"/>
          <w:lang w:val="en-CA"/>
        </w:rPr>
        <w:t xml:space="preserve"> by $</w:t>
      </w:r>
      <w:r w:rsidR="009A01A8">
        <w:rPr>
          <w:rFonts w:ascii="Times New Roman" w:hAnsi="Times New Roman"/>
          <w:color w:val="000000" w:themeColor="text1"/>
          <w:lang w:val="en-CA"/>
        </w:rPr>
        <w:t>109,458</w:t>
      </w:r>
      <w:r>
        <w:rPr>
          <w:rFonts w:ascii="Times New Roman" w:hAnsi="Times New Roman"/>
          <w:color w:val="000000" w:themeColor="text1"/>
          <w:lang w:val="en-CA"/>
        </w:rPr>
        <w:t xml:space="preserve"> </w:t>
      </w:r>
      <w:r w:rsidR="008E68DD">
        <w:rPr>
          <w:rFonts w:ascii="Times New Roman" w:hAnsi="Times New Roman"/>
          <w:color w:val="000000" w:themeColor="text1"/>
          <w:lang w:val="en-CA"/>
        </w:rPr>
        <w:t>(</w:t>
      </w:r>
      <w:r w:rsidR="009A01A8">
        <w:rPr>
          <w:rFonts w:ascii="Times New Roman" w:hAnsi="Times New Roman"/>
          <w:color w:val="000000" w:themeColor="text1"/>
          <w:lang w:val="en-CA"/>
        </w:rPr>
        <w:t>23</w:t>
      </w:r>
      <w:r>
        <w:rPr>
          <w:rFonts w:ascii="Times New Roman" w:hAnsi="Times New Roman"/>
          <w:color w:val="000000" w:themeColor="text1"/>
          <w:lang w:val="en-CA"/>
        </w:rPr>
        <w:t xml:space="preserve">%) to </w:t>
      </w:r>
      <w:r w:rsidR="009A01A8">
        <w:rPr>
          <w:rFonts w:ascii="Times New Roman" w:hAnsi="Times New Roman"/>
          <w:color w:val="000000" w:themeColor="text1"/>
          <w:lang w:val="en-CA"/>
        </w:rPr>
        <w:t>371,413</w:t>
      </w:r>
      <w:r>
        <w:rPr>
          <w:rFonts w:ascii="Times New Roman" w:hAnsi="Times New Roman"/>
          <w:color w:val="000000" w:themeColor="text1"/>
          <w:lang w:val="en-CA"/>
        </w:rPr>
        <w:t xml:space="preserve"> in </w:t>
      </w:r>
      <w:r w:rsidR="003107B5">
        <w:rPr>
          <w:rFonts w:ascii="Times New Roman" w:hAnsi="Times New Roman"/>
          <w:color w:val="000000" w:themeColor="text1"/>
          <w:lang w:val="en-CA"/>
        </w:rPr>
        <w:t>Q3</w:t>
      </w:r>
      <w:r w:rsidR="00774572">
        <w:rPr>
          <w:rFonts w:ascii="Times New Roman" w:hAnsi="Times New Roman"/>
          <w:color w:val="000000" w:themeColor="text1"/>
          <w:lang w:val="en-CA"/>
        </w:rPr>
        <w:t xml:space="preserve"> 2025</w:t>
      </w:r>
      <w:r>
        <w:rPr>
          <w:rFonts w:ascii="Times New Roman" w:hAnsi="Times New Roman"/>
          <w:color w:val="000000" w:themeColor="text1"/>
          <w:lang w:val="en-CA"/>
        </w:rPr>
        <w:t xml:space="preserve"> from $</w:t>
      </w:r>
      <w:r w:rsidR="009A01A8">
        <w:rPr>
          <w:rFonts w:ascii="Times New Roman" w:hAnsi="Times New Roman"/>
          <w:color w:val="000000" w:themeColor="text1"/>
          <w:lang w:val="en-CA"/>
        </w:rPr>
        <w:t>480,871</w:t>
      </w:r>
      <w:r>
        <w:rPr>
          <w:rFonts w:ascii="Times New Roman" w:hAnsi="Times New Roman"/>
          <w:color w:val="000000" w:themeColor="text1"/>
          <w:lang w:val="en-CA"/>
        </w:rPr>
        <w:t xml:space="preserve"> in </w:t>
      </w:r>
      <w:r w:rsidR="003107B5">
        <w:rPr>
          <w:rFonts w:ascii="Times New Roman" w:hAnsi="Times New Roman"/>
          <w:color w:val="000000" w:themeColor="text1"/>
          <w:lang w:val="en-CA"/>
        </w:rPr>
        <w:t>Q3</w:t>
      </w:r>
      <w:r w:rsidR="00774572">
        <w:rPr>
          <w:rFonts w:ascii="Times New Roman" w:hAnsi="Times New Roman"/>
          <w:color w:val="000000" w:themeColor="text1"/>
          <w:lang w:val="en-CA"/>
        </w:rPr>
        <w:t xml:space="preserve"> 2024</w:t>
      </w:r>
      <w:r>
        <w:rPr>
          <w:rFonts w:ascii="Times New Roman" w:hAnsi="Times New Roman"/>
          <w:color w:val="000000" w:themeColor="text1"/>
          <w:lang w:val="en-CA"/>
        </w:rPr>
        <w:t xml:space="preserve">. </w:t>
      </w:r>
      <w:bookmarkEnd w:id="11"/>
      <w:r w:rsidR="009A01A8">
        <w:rPr>
          <w:rFonts w:ascii="Times New Roman" w:hAnsi="Times New Roman"/>
          <w:color w:val="000000" w:themeColor="text1"/>
          <w:lang w:val="en-CA"/>
        </w:rPr>
        <w:t xml:space="preserve">The number of </w:t>
      </w:r>
      <w:proofErr w:type="gramStart"/>
      <w:r w:rsidR="009A01A8">
        <w:rPr>
          <w:rFonts w:ascii="Times New Roman" w:hAnsi="Times New Roman"/>
          <w:color w:val="000000" w:themeColor="text1"/>
          <w:lang w:val="en-CA"/>
        </w:rPr>
        <w:t>capital</w:t>
      </w:r>
      <w:proofErr w:type="gramEnd"/>
      <w:r w:rsidR="009A01A8">
        <w:rPr>
          <w:rFonts w:ascii="Times New Roman" w:hAnsi="Times New Roman"/>
          <w:color w:val="000000" w:themeColor="text1"/>
          <w:lang w:val="en-CA"/>
        </w:rPr>
        <w:t xml:space="preserve"> raises in 2024 resulted in higher professional fees, many of which were recognized in Q3 2024. The Company only completed two capital raises by Q3 2025 which resulted in lower related professional fees.</w:t>
      </w:r>
    </w:p>
    <w:p w14:paraId="51CDFD15" w14:textId="5D1E9FD2" w:rsidR="00F1485A" w:rsidRDefault="004928E7" w:rsidP="0023210C">
      <w:pPr>
        <w:widowControl/>
        <w:spacing w:after="120"/>
        <w:jc w:val="both"/>
        <w:rPr>
          <w:rFonts w:ascii="Times New Roman" w:eastAsia="Times New Roman" w:hAnsi="Times New Roman"/>
        </w:rPr>
      </w:pPr>
      <w:r w:rsidRPr="00720BA1">
        <w:rPr>
          <w:rFonts w:ascii="Times New Roman" w:eastAsia="Times New Roman" w:hAnsi="Times New Roman"/>
        </w:rPr>
        <w:t xml:space="preserve">Non-cash stock-based compensation </w:t>
      </w:r>
      <w:r w:rsidR="00C83F5A">
        <w:rPr>
          <w:rFonts w:ascii="Times New Roman" w:eastAsia="Times New Roman" w:hAnsi="Times New Roman"/>
        </w:rPr>
        <w:t>increased</w:t>
      </w:r>
      <w:r w:rsidR="004854B0">
        <w:rPr>
          <w:rFonts w:ascii="Times New Roman" w:eastAsia="Times New Roman" w:hAnsi="Times New Roman"/>
        </w:rPr>
        <w:t xml:space="preserve"> </w:t>
      </w:r>
      <w:r w:rsidR="007353F8" w:rsidRPr="00C205E8">
        <w:rPr>
          <w:rFonts w:ascii="Times New Roman" w:eastAsia="Times New Roman" w:hAnsi="Times New Roman"/>
        </w:rPr>
        <w:t>b</w:t>
      </w:r>
      <w:r w:rsidRPr="00C205E8">
        <w:rPr>
          <w:rFonts w:ascii="Times New Roman" w:eastAsia="Times New Roman" w:hAnsi="Times New Roman"/>
        </w:rPr>
        <w:t>y $</w:t>
      </w:r>
      <w:r w:rsidR="00C83F5A">
        <w:rPr>
          <w:rFonts w:ascii="Times New Roman" w:eastAsia="Times New Roman" w:hAnsi="Times New Roman"/>
        </w:rPr>
        <w:t>339,458</w:t>
      </w:r>
      <w:r w:rsidR="00BB166C" w:rsidRPr="00C205E8">
        <w:rPr>
          <w:rFonts w:ascii="Times New Roman" w:eastAsia="Times New Roman" w:hAnsi="Times New Roman"/>
        </w:rPr>
        <w:t xml:space="preserve"> </w:t>
      </w:r>
      <w:r w:rsidRPr="00C205E8">
        <w:rPr>
          <w:rFonts w:ascii="Times New Roman" w:eastAsia="Times New Roman" w:hAnsi="Times New Roman"/>
        </w:rPr>
        <w:t>(</w:t>
      </w:r>
      <w:r w:rsidR="00C83F5A">
        <w:rPr>
          <w:rFonts w:ascii="Times New Roman" w:eastAsia="Times New Roman" w:hAnsi="Times New Roman"/>
        </w:rPr>
        <w:t>2</w:t>
      </w:r>
      <w:r w:rsidR="00D172B1">
        <w:rPr>
          <w:rFonts w:ascii="Times New Roman" w:eastAsia="Times New Roman" w:hAnsi="Times New Roman"/>
        </w:rPr>
        <w:t>2</w:t>
      </w:r>
      <w:r w:rsidRPr="00C205E8">
        <w:rPr>
          <w:rFonts w:ascii="Times New Roman" w:eastAsia="Times New Roman" w:hAnsi="Times New Roman"/>
        </w:rPr>
        <w:t>%) to $</w:t>
      </w:r>
      <w:r w:rsidR="00C83F5A">
        <w:rPr>
          <w:rFonts w:ascii="Times New Roman" w:eastAsia="Times New Roman" w:hAnsi="Times New Roman"/>
        </w:rPr>
        <w:t>1,864,589</w:t>
      </w:r>
      <w:r w:rsidRPr="00C205E8">
        <w:rPr>
          <w:rFonts w:ascii="Times New Roman" w:eastAsia="Times New Roman" w:hAnsi="Times New Roman"/>
        </w:rPr>
        <w:t xml:space="preserve"> in </w:t>
      </w:r>
      <w:r w:rsidR="003107B5">
        <w:rPr>
          <w:rFonts w:ascii="Times New Roman" w:eastAsia="Times New Roman" w:hAnsi="Times New Roman"/>
        </w:rPr>
        <w:t>Q3</w:t>
      </w:r>
      <w:r w:rsidR="00774572">
        <w:rPr>
          <w:rFonts w:ascii="Times New Roman" w:eastAsia="Times New Roman" w:hAnsi="Times New Roman"/>
        </w:rPr>
        <w:t xml:space="preserve"> 2025</w:t>
      </w:r>
      <w:r w:rsidR="00DA5FE1" w:rsidRPr="00C205E8">
        <w:rPr>
          <w:rFonts w:ascii="Times New Roman" w:eastAsia="Times New Roman" w:hAnsi="Times New Roman"/>
        </w:rPr>
        <w:t xml:space="preserve"> </w:t>
      </w:r>
      <w:r w:rsidRPr="00C205E8">
        <w:rPr>
          <w:rFonts w:ascii="Times New Roman" w:eastAsia="Times New Roman" w:hAnsi="Times New Roman"/>
        </w:rPr>
        <w:t>from</w:t>
      </w:r>
      <w:r w:rsidRPr="00720BA1">
        <w:rPr>
          <w:rFonts w:ascii="Times New Roman" w:eastAsia="Times New Roman" w:hAnsi="Times New Roman"/>
        </w:rPr>
        <w:t xml:space="preserve"> $</w:t>
      </w:r>
      <w:r w:rsidR="00D172B1">
        <w:rPr>
          <w:rFonts w:ascii="Times New Roman" w:eastAsia="Times New Roman" w:hAnsi="Times New Roman"/>
        </w:rPr>
        <w:t>1,</w:t>
      </w:r>
      <w:r w:rsidR="00C83F5A">
        <w:rPr>
          <w:rFonts w:ascii="Times New Roman" w:eastAsia="Times New Roman" w:hAnsi="Times New Roman"/>
        </w:rPr>
        <w:t>525,131</w:t>
      </w:r>
      <w:r w:rsidR="0092528D">
        <w:rPr>
          <w:rFonts w:ascii="Times New Roman" w:eastAsia="Times New Roman" w:hAnsi="Times New Roman"/>
        </w:rPr>
        <w:t xml:space="preserve"> </w:t>
      </w:r>
      <w:r>
        <w:rPr>
          <w:rFonts w:ascii="Times New Roman" w:eastAsia="Times New Roman" w:hAnsi="Times New Roman"/>
        </w:rPr>
        <w:t xml:space="preserve">in </w:t>
      </w:r>
      <w:r w:rsidR="003107B5">
        <w:rPr>
          <w:rFonts w:ascii="Times New Roman" w:eastAsia="Times New Roman" w:hAnsi="Times New Roman"/>
        </w:rPr>
        <w:t>Q3</w:t>
      </w:r>
      <w:r w:rsidR="00774572">
        <w:rPr>
          <w:rFonts w:ascii="Times New Roman" w:eastAsia="Times New Roman" w:hAnsi="Times New Roman"/>
        </w:rPr>
        <w:t xml:space="preserve"> 2024</w:t>
      </w:r>
      <w:r w:rsidRPr="00720BA1">
        <w:rPr>
          <w:rFonts w:ascii="Times New Roman" w:eastAsia="Times New Roman" w:hAnsi="Times New Roman"/>
        </w:rPr>
        <w:t xml:space="preserve">. The valuation of stock options is driven by </w:t>
      </w:r>
      <w:proofErr w:type="gramStart"/>
      <w:r w:rsidRPr="00720BA1">
        <w:rPr>
          <w:rFonts w:ascii="Times New Roman" w:eastAsia="Times New Roman" w:hAnsi="Times New Roman"/>
        </w:rPr>
        <w:t>a number of</w:t>
      </w:r>
      <w:proofErr w:type="gramEnd"/>
      <w:r w:rsidRPr="00720BA1">
        <w:rPr>
          <w:rFonts w:ascii="Times New Roman" w:eastAsia="Times New Roman" w:hAnsi="Times New Roman"/>
        </w:rPr>
        <w:t xml:space="preserve"> factors including the number of options granted, the strike price and the volatility of the Company’s stock. The stock option expense is dependent on the timing of the stock option grant and the amortization of the options as they vest. The stock options vest in accordance with the policies determined by the Board of Directors at the time of the grant consistent with the provisions of the Plan</w:t>
      </w:r>
      <w:r>
        <w:rPr>
          <w:rFonts w:ascii="Times New Roman" w:eastAsia="Times New Roman" w:hAnsi="Times New Roman"/>
        </w:rPr>
        <w:t>.</w:t>
      </w:r>
      <w:r w:rsidR="00C83F5A">
        <w:rPr>
          <w:rFonts w:ascii="Times New Roman" w:eastAsia="Times New Roman" w:hAnsi="Times New Roman"/>
        </w:rPr>
        <w:t xml:space="preserve"> Additionally, the Company has started to issue registered stock units (“RSUs”) to its directors and employees. Non-cash stock-based compensation includes periodic the fair value of RSUs granted in the quarter.</w:t>
      </w:r>
    </w:p>
    <w:p w14:paraId="1A31EA02" w14:textId="441E1CF1" w:rsidR="00C26445" w:rsidRDefault="007E2465" w:rsidP="0023210C">
      <w:pPr>
        <w:widowControl/>
        <w:spacing w:after="120"/>
        <w:jc w:val="both"/>
        <w:rPr>
          <w:rFonts w:ascii="Times New Roman" w:eastAsia="Times New Roman" w:hAnsi="Times New Roman"/>
        </w:rPr>
      </w:pPr>
      <w:r>
        <w:rPr>
          <w:rFonts w:ascii="Times New Roman" w:eastAsia="Times New Roman" w:hAnsi="Times New Roman"/>
        </w:rPr>
        <w:t>Finance advisory fees was $</w:t>
      </w:r>
      <w:r w:rsidR="00C83F5A">
        <w:rPr>
          <w:rFonts w:ascii="Times New Roman" w:eastAsia="Times New Roman" w:hAnsi="Times New Roman"/>
        </w:rPr>
        <w:t>1,816,272</w:t>
      </w:r>
      <w:r>
        <w:rPr>
          <w:rFonts w:ascii="Times New Roman" w:eastAsia="Times New Roman" w:hAnsi="Times New Roman"/>
        </w:rPr>
        <w:t xml:space="preserve"> in </w:t>
      </w:r>
      <w:r w:rsidR="003107B5">
        <w:rPr>
          <w:rFonts w:ascii="Times New Roman" w:eastAsia="Times New Roman" w:hAnsi="Times New Roman"/>
        </w:rPr>
        <w:t>Q3</w:t>
      </w:r>
      <w:r w:rsidR="00774572">
        <w:rPr>
          <w:rFonts w:ascii="Times New Roman" w:eastAsia="Times New Roman" w:hAnsi="Times New Roman"/>
        </w:rPr>
        <w:t xml:space="preserve"> 2025</w:t>
      </w:r>
      <w:r>
        <w:rPr>
          <w:rFonts w:ascii="Times New Roman" w:eastAsia="Times New Roman" w:hAnsi="Times New Roman"/>
        </w:rPr>
        <w:t xml:space="preserve"> compared to </w:t>
      </w:r>
      <w:r w:rsidR="00D172B1">
        <w:rPr>
          <w:rFonts w:ascii="Times New Roman" w:eastAsia="Times New Roman" w:hAnsi="Times New Roman"/>
        </w:rPr>
        <w:t>$</w:t>
      </w:r>
      <w:r w:rsidR="00C83F5A">
        <w:rPr>
          <w:rFonts w:ascii="Times New Roman" w:eastAsia="Times New Roman" w:hAnsi="Times New Roman"/>
        </w:rPr>
        <w:t>1,319,392</w:t>
      </w:r>
      <w:r w:rsidR="00D172B1">
        <w:rPr>
          <w:rFonts w:ascii="Times New Roman" w:eastAsia="Times New Roman" w:hAnsi="Times New Roman"/>
        </w:rPr>
        <w:t xml:space="preserve"> in</w:t>
      </w:r>
      <w:r>
        <w:rPr>
          <w:rFonts w:ascii="Times New Roman" w:eastAsia="Times New Roman" w:hAnsi="Times New Roman"/>
        </w:rPr>
        <w:t xml:space="preserve"> </w:t>
      </w:r>
      <w:r w:rsidR="003107B5">
        <w:rPr>
          <w:rFonts w:ascii="Times New Roman" w:eastAsia="Times New Roman" w:hAnsi="Times New Roman"/>
        </w:rPr>
        <w:t>Q3</w:t>
      </w:r>
      <w:r w:rsidR="00774572">
        <w:rPr>
          <w:rFonts w:ascii="Times New Roman" w:eastAsia="Times New Roman" w:hAnsi="Times New Roman"/>
        </w:rPr>
        <w:t xml:space="preserve"> 2024</w:t>
      </w:r>
      <w:r w:rsidR="00C83F5A">
        <w:rPr>
          <w:rFonts w:ascii="Times New Roman" w:eastAsia="Times New Roman" w:hAnsi="Times New Roman"/>
        </w:rPr>
        <w:t>, an increase of $496,880 (38%)</w:t>
      </w:r>
      <w:r>
        <w:rPr>
          <w:rFonts w:ascii="Times New Roman" w:eastAsia="Times New Roman" w:hAnsi="Times New Roman"/>
        </w:rPr>
        <w:t>. The</w:t>
      </w:r>
      <w:r w:rsidR="00C26445">
        <w:rPr>
          <w:rFonts w:ascii="Times New Roman" w:eastAsia="Times New Roman" w:hAnsi="Times New Roman"/>
        </w:rPr>
        <w:t xml:space="preserve"> finance advisory fees </w:t>
      </w:r>
      <w:r w:rsidR="009A2D28">
        <w:rPr>
          <w:rFonts w:ascii="Times New Roman" w:eastAsia="Times New Roman" w:hAnsi="Times New Roman"/>
        </w:rPr>
        <w:t>are</w:t>
      </w:r>
      <w:r w:rsidR="00C26445">
        <w:rPr>
          <w:rFonts w:ascii="Times New Roman" w:eastAsia="Times New Roman" w:hAnsi="Times New Roman"/>
        </w:rPr>
        <w:t xml:space="preserve"> </w:t>
      </w:r>
      <w:r w:rsidR="00987264">
        <w:rPr>
          <w:rFonts w:ascii="Times New Roman" w:eastAsia="Times New Roman" w:hAnsi="Times New Roman"/>
        </w:rPr>
        <w:t xml:space="preserve">paid </w:t>
      </w:r>
      <w:r w:rsidR="00C26445">
        <w:rPr>
          <w:rFonts w:ascii="Times New Roman" w:eastAsia="Times New Roman" w:hAnsi="Times New Roman"/>
        </w:rPr>
        <w:t>to a firm assisting the Company</w:t>
      </w:r>
      <w:r w:rsidR="00B35943">
        <w:rPr>
          <w:rFonts w:ascii="Times New Roman" w:eastAsia="Times New Roman" w:hAnsi="Times New Roman"/>
        </w:rPr>
        <w:t xml:space="preserve"> on</w:t>
      </w:r>
      <w:r w:rsidR="00C26445">
        <w:rPr>
          <w:rFonts w:ascii="Times New Roman" w:eastAsia="Times New Roman" w:hAnsi="Times New Roman"/>
        </w:rPr>
        <w:t xml:space="preserve"> financial and strategic matters.</w:t>
      </w:r>
      <w:r w:rsidR="00375C63">
        <w:rPr>
          <w:rFonts w:ascii="Times New Roman" w:eastAsia="Times New Roman" w:hAnsi="Times New Roman"/>
        </w:rPr>
        <w:t xml:space="preserve"> The firm’s guidance contributed to the Company’s capital raise success in 2024</w:t>
      </w:r>
      <w:r w:rsidR="00C83F5A">
        <w:rPr>
          <w:rFonts w:ascii="Times New Roman" w:eastAsia="Times New Roman" w:hAnsi="Times New Roman"/>
        </w:rPr>
        <w:t xml:space="preserve"> and into Q3 2025</w:t>
      </w:r>
      <w:r w:rsidR="00375C63">
        <w:rPr>
          <w:rFonts w:ascii="Times New Roman" w:eastAsia="Times New Roman" w:hAnsi="Times New Roman"/>
        </w:rPr>
        <w:t xml:space="preserve"> which exceeded $</w:t>
      </w:r>
      <w:r w:rsidR="00193744">
        <w:rPr>
          <w:rFonts w:ascii="Times New Roman" w:eastAsia="Times New Roman" w:hAnsi="Times New Roman"/>
        </w:rPr>
        <w:t>145 million</w:t>
      </w:r>
      <w:r w:rsidR="00375C63">
        <w:rPr>
          <w:rFonts w:ascii="Times New Roman" w:eastAsia="Times New Roman" w:hAnsi="Times New Roman"/>
        </w:rPr>
        <w:t xml:space="preserve">. </w:t>
      </w:r>
      <w:r w:rsidR="00C26445">
        <w:rPr>
          <w:rFonts w:ascii="Times New Roman" w:eastAsia="Times New Roman" w:hAnsi="Times New Roman"/>
        </w:rPr>
        <w:t xml:space="preserve"> </w:t>
      </w:r>
    </w:p>
    <w:p w14:paraId="33E33511" w14:textId="2A225FBA" w:rsidR="000D7232" w:rsidRDefault="000D7232" w:rsidP="0023210C">
      <w:pPr>
        <w:widowControl/>
        <w:spacing w:after="120"/>
        <w:jc w:val="both"/>
        <w:rPr>
          <w:rFonts w:ascii="Times New Roman" w:eastAsia="Times New Roman" w:hAnsi="Times New Roman"/>
        </w:rPr>
      </w:pPr>
      <w:r>
        <w:rPr>
          <w:rFonts w:ascii="Times New Roman" w:eastAsia="Times New Roman" w:hAnsi="Times New Roman"/>
        </w:rPr>
        <w:t xml:space="preserve">The Company issued warrants </w:t>
      </w:r>
      <w:bookmarkStart w:id="12" w:name="_Hlk197450353"/>
      <w:r w:rsidR="00926A9F">
        <w:rPr>
          <w:rFonts w:ascii="Times New Roman" w:eastAsia="Times New Roman" w:hAnsi="Times New Roman"/>
        </w:rPr>
        <w:t xml:space="preserve">which are exercisable </w:t>
      </w:r>
      <w:bookmarkEnd w:id="12"/>
      <w:r>
        <w:rPr>
          <w:rFonts w:ascii="Times New Roman" w:eastAsia="Times New Roman" w:hAnsi="Times New Roman"/>
        </w:rPr>
        <w:t xml:space="preserve">in a foreign currency in </w:t>
      </w:r>
      <w:r w:rsidR="00BE1EAD">
        <w:rPr>
          <w:rFonts w:ascii="Times New Roman" w:eastAsia="Times New Roman" w:hAnsi="Times New Roman"/>
        </w:rPr>
        <w:t>2023</w:t>
      </w:r>
      <w:r w:rsidR="00A54744">
        <w:rPr>
          <w:rFonts w:ascii="Times New Roman" w:eastAsia="Times New Roman" w:hAnsi="Times New Roman"/>
        </w:rPr>
        <w:t xml:space="preserve"> and </w:t>
      </w:r>
      <w:r w:rsidR="00A220AF">
        <w:rPr>
          <w:rFonts w:ascii="Times New Roman" w:eastAsia="Times New Roman" w:hAnsi="Times New Roman"/>
        </w:rPr>
        <w:t>throughout</w:t>
      </w:r>
      <w:r w:rsidR="00A54744">
        <w:rPr>
          <w:rFonts w:ascii="Times New Roman" w:eastAsia="Times New Roman" w:hAnsi="Times New Roman"/>
        </w:rPr>
        <w:t xml:space="preserve"> 2024</w:t>
      </w:r>
      <w:r>
        <w:rPr>
          <w:rFonts w:ascii="Times New Roman" w:eastAsia="Times New Roman" w:hAnsi="Times New Roman"/>
        </w:rPr>
        <w:t xml:space="preserve">. The issuance of those warrants created a derivative liability which is periodically </w:t>
      </w:r>
      <w:r w:rsidR="00235A9A">
        <w:rPr>
          <w:rFonts w:ascii="Times New Roman" w:eastAsia="Times New Roman" w:hAnsi="Times New Roman"/>
        </w:rPr>
        <w:t>re</w:t>
      </w:r>
      <w:r w:rsidR="00FC54DA">
        <w:rPr>
          <w:rFonts w:ascii="Times New Roman" w:eastAsia="Times New Roman" w:hAnsi="Times New Roman"/>
        </w:rPr>
        <w:t xml:space="preserve">measured and </w:t>
      </w:r>
      <w:r>
        <w:rPr>
          <w:rFonts w:ascii="Times New Roman" w:eastAsia="Times New Roman" w:hAnsi="Times New Roman"/>
        </w:rPr>
        <w:t xml:space="preserve">adjusted to reflect the fair value of the warrants. The Company had a non-cash </w:t>
      </w:r>
      <w:r w:rsidR="00D172B1">
        <w:rPr>
          <w:rFonts w:ascii="Times New Roman" w:eastAsia="Times New Roman" w:hAnsi="Times New Roman"/>
        </w:rPr>
        <w:t>loss</w:t>
      </w:r>
      <w:r w:rsidR="00324C47">
        <w:rPr>
          <w:rFonts w:ascii="Times New Roman" w:eastAsia="Times New Roman" w:hAnsi="Times New Roman"/>
        </w:rPr>
        <w:t xml:space="preserve"> of </w:t>
      </w:r>
      <w:r>
        <w:rPr>
          <w:rFonts w:ascii="Times New Roman" w:eastAsia="Times New Roman" w:hAnsi="Times New Roman"/>
        </w:rPr>
        <w:t>$</w:t>
      </w:r>
      <w:r w:rsidR="00ED1FE4">
        <w:rPr>
          <w:rFonts w:ascii="Times New Roman" w:eastAsia="Times New Roman" w:hAnsi="Times New Roman"/>
        </w:rPr>
        <w:t>2,414,223</w:t>
      </w:r>
      <w:r w:rsidR="00324C47">
        <w:rPr>
          <w:rFonts w:ascii="Times New Roman" w:eastAsia="Times New Roman" w:hAnsi="Times New Roman"/>
        </w:rPr>
        <w:t xml:space="preserve"> </w:t>
      </w:r>
      <w:r>
        <w:rPr>
          <w:rFonts w:ascii="Times New Roman" w:eastAsia="Times New Roman" w:hAnsi="Times New Roman"/>
        </w:rPr>
        <w:t xml:space="preserve">during </w:t>
      </w:r>
      <w:r w:rsidR="003107B5">
        <w:rPr>
          <w:rFonts w:ascii="Times New Roman" w:eastAsia="Times New Roman" w:hAnsi="Times New Roman"/>
        </w:rPr>
        <w:t>Q3</w:t>
      </w:r>
      <w:r w:rsidR="00774572">
        <w:rPr>
          <w:rFonts w:ascii="Times New Roman" w:eastAsia="Times New Roman" w:hAnsi="Times New Roman"/>
        </w:rPr>
        <w:t xml:space="preserve"> 2025</w:t>
      </w:r>
      <w:r w:rsidR="0029633A">
        <w:rPr>
          <w:rFonts w:ascii="Times New Roman" w:eastAsia="Times New Roman" w:hAnsi="Times New Roman"/>
        </w:rPr>
        <w:t xml:space="preserve"> </w:t>
      </w:r>
      <w:r w:rsidR="00324C47">
        <w:rPr>
          <w:rFonts w:ascii="Times New Roman" w:eastAsia="Times New Roman" w:hAnsi="Times New Roman"/>
        </w:rPr>
        <w:t xml:space="preserve">from its adjustment, </w:t>
      </w:r>
      <w:r w:rsidR="0029633A">
        <w:rPr>
          <w:rFonts w:ascii="Times New Roman" w:eastAsia="Times New Roman" w:hAnsi="Times New Roman"/>
        </w:rPr>
        <w:t xml:space="preserve">which represents a </w:t>
      </w:r>
      <w:r w:rsidR="00ED1FE4">
        <w:rPr>
          <w:rFonts w:ascii="Times New Roman" w:eastAsia="Times New Roman" w:hAnsi="Times New Roman"/>
        </w:rPr>
        <w:t>de</w:t>
      </w:r>
      <w:r w:rsidR="0029633A">
        <w:rPr>
          <w:rFonts w:ascii="Times New Roman" w:eastAsia="Times New Roman" w:hAnsi="Times New Roman"/>
        </w:rPr>
        <w:t>crease of $</w:t>
      </w:r>
      <w:r w:rsidR="00ED1FE4">
        <w:rPr>
          <w:rFonts w:ascii="Times New Roman" w:eastAsia="Times New Roman" w:hAnsi="Times New Roman"/>
        </w:rPr>
        <w:t>3,765,613</w:t>
      </w:r>
      <w:r w:rsidR="0029633A">
        <w:rPr>
          <w:rFonts w:ascii="Times New Roman" w:eastAsia="Times New Roman" w:hAnsi="Times New Roman"/>
        </w:rPr>
        <w:t xml:space="preserve"> over </w:t>
      </w:r>
      <w:r w:rsidR="003107B5">
        <w:rPr>
          <w:rFonts w:ascii="Times New Roman" w:eastAsia="Times New Roman" w:hAnsi="Times New Roman"/>
        </w:rPr>
        <w:t>Q3</w:t>
      </w:r>
      <w:r w:rsidR="00774572">
        <w:rPr>
          <w:rFonts w:ascii="Times New Roman" w:eastAsia="Times New Roman" w:hAnsi="Times New Roman"/>
        </w:rPr>
        <w:t xml:space="preserve"> 2024</w:t>
      </w:r>
      <w:r w:rsidR="0029633A">
        <w:rPr>
          <w:rFonts w:ascii="Times New Roman" w:eastAsia="Times New Roman" w:hAnsi="Times New Roman"/>
        </w:rPr>
        <w:t xml:space="preserve"> where the non-cash adjustment was</w:t>
      </w:r>
      <w:r w:rsidR="00324C47">
        <w:rPr>
          <w:rFonts w:ascii="Times New Roman" w:eastAsia="Times New Roman" w:hAnsi="Times New Roman"/>
        </w:rPr>
        <w:t xml:space="preserve"> a loss</w:t>
      </w:r>
      <w:r w:rsidR="0029633A">
        <w:rPr>
          <w:rFonts w:ascii="Times New Roman" w:eastAsia="Times New Roman" w:hAnsi="Times New Roman"/>
        </w:rPr>
        <w:t xml:space="preserve"> $</w:t>
      </w:r>
      <w:r w:rsidR="00ED1FE4">
        <w:rPr>
          <w:rFonts w:ascii="Times New Roman" w:eastAsia="Times New Roman" w:hAnsi="Times New Roman"/>
        </w:rPr>
        <w:t>6,179,836</w:t>
      </w:r>
      <w:r w:rsidR="00324C47">
        <w:rPr>
          <w:rFonts w:ascii="Times New Roman" w:eastAsia="Times New Roman" w:hAnsi="Times New Roman"/>
        </w:rPr>
        <w:t xml:space="preserve">. </w:t>
      </w:r>
    </w:p>
    <w:p w14:paraId="4320C49F" w14:textId="710B5148" w:rsidR="0011315E" w:rsidRDefault="004928E7" w:rsidP="0023210C">
      <w:pPr>
        <w:widowControl/>
        <w:spacing w:after="120"/>
        <w:jc w:val="both"/>
        <w:rPr>
          <w:rFonts w:ascii="Times New Roman" w:eastAsia="Times New Roman" w:hAnsi="Times New Roman"/>
          <w:lang w:val="en-CA"/>
        </w:rPr>
      </w:pPr>
      <w:r>
        <w:rPr>
          <w:rFonts w:ascii="Times New Roman" w:eastAsia="Times New Roman" w:hAnsi="Times New Roman"/>
        </w:rPr>
        <w:t xml:space="preserve">Other income, including interest </w:t>
      </w:r>
      <w:r w:rsidR="0059364D">
        <w:rPr>
          <w:rFonts w:ascii="Times New Roman" w:eastAsia="Times New Roman" w:hAnsi="Times New Roman"/>
        </w:rPr>
        <w:t>increased</w:t>
      </w:r>
      <w:r w:rsidR="00C3675B">
        <w:rPr>
          <w:rFonts w:ascii="Times New Roman" w:eastAsia="Times New Roman" w:hAnsi="Times New Roman"/>
        </w:rPr>
        <w:t xml:space="preserve"> </w:t>
      </w:r>
      <w:r>
        <w:rPr>
          <w:rFonts w:ascii="Times New Roman" w:eastAsia="Times New Roman" w:hAnsi="Times New Roman"/>
        </w:rPr>
        <w:t>by $</w:t>
      </w:r>
      <w:r w:rsidR="00ED1FE4">
        <w:rPr>
          <w:rFonts w:ascii="Times New Roman" w:eastAsia="Times New Roman" w:hAnsi="Times New Roman"/>
        </w:rPr>
        <w:t>772,670</w:t>
      </w:r>
      <w:r w:rsidR="00E8237F">
        <w:rPr>
          <w:rFonts w:ascii="Times New Roman" w:eastAsia="Times New Roman" w:hAnsi="Times New Roman"/>
        </w:rPr>
        <w:t xml:space="preserve"> (</w:t>
      </w:r>
      <w:r w:rsidR="00ED1FE4">
        <w:rPr>
          <w:rFonts w:ascii="Times New Roman" w:eastAsia="Times New Roman" w:hAnsi="Times New Roman"/>
        </w:rPr>
        <w:t>357</w:t>
      </w:r>
      <w:r w:rsidR="00BB166C">
        <w:rPr>
          <w:rFonts w:ascii="Times New Roman" w:eastAsia="Times New Roman" w:hAnsi="Times New Roman"/>
        </w:rPr>
        <w:t>%</w:t>
      </w:r>
      <w:r w:rsidR="00E8237F">
        <w:rPr>
          <w:rFonts w:ascii="Times New Roman" w:eastAsia="Times New Roman" w:hAnsi="Times New Roman"/>
        </w:rPr>
        <w:t xml:space="preserve">) to </w:t>
      </w:r>
      <w:r w:rsidR="00655553">
        <w:rPr>
          <w:rFonts w:ascii="Times New Roman" w:eastAsia="Times New Roman" w:hAnsi="Times New Roman"/>
        </w:rPr>
        <w:t>$</w:t>
      </w:r>
      <w:r w:rsidR="00ED1FE4">
        <w:rPr>
          <w:rFonts w:ascii="Times New Roman" w:eastAsia="Times New Roman" w:hAnsi="Times New Roman"/>
        </w:rPr>
        <w:t>989,007</w:t>
      </w:r>
      <w:r w:rsidR="00E8237F">
        <w:rPr>
          <w:rFonts w:ascii="Times New Roman" w:eastAsia="Times New Roman" w:hAnsi="Times New Roman"/>
        </w:rPr>
        <w:t xml:space="preserve"> in </w:t>
      </w:r>
      <w:r w:rsidR="003107B5">
        <w:rPr>
          <w:rFonts w:ascii="Times New Roman" w:eastAsia="Times New Roman" w:hAnsi="Times New Roman"/>
        </w:rPr>
        <w:t>Q3</w:t>
      </w:r>
      <w:r w:rsidR="00774572">
        <w:rPr>
          <w:rFonts w:ascii="Times New Roman" w:eastAsia="Times New Roman" w:hAnsi="Times New Roman"/>
        </w:rPr>
        <w:t xml:space="preserve"> 2025</w:t>
      </w:r>
      <w:r w:rsidR="00E8237F">
        <w:rPr>
          <w:rFonts w:ascii="Times New Roman" w:eastAsia="Times New Roman" w:hAnsi="Times New Roman"/>
        </w:rPr>
        <w:t xml:space="preserve"> from </w:t>
      </w:r>
      <w:r w:rsidR="004C3AE5">
        <w:rPr>
          <w:rFonts w:ascii="Times New Roman" w:eastAsia="Times New Roman" w:hAnsi="Times New Roman"/>
        </w:rPr>
        <w:t>$</w:t>
      </w:r>
      <w:r w:rsidR="00ED1FE4">
        <w:rPr>
          <w:rFonts w:ascii="Times New Roman" w:eastAsia="Times New Roman" w:hAnsi="Times New Roman"/>
        </w:rPr>
        <w:t>216,337</w:t>
      </w:r>
      <w:r w:rsidR="00E8237F">
        <w:rPr>
          <w:rFonts w:ascii="Times New Roman" w:eastAsia="Times New Roman" w:hAnsi="Times New Roman"/>
        </w:rPr>
        <w:t xml:space="preserve"> in </w:t>
      </w:r>
      <w:r w:rsidR="003107B5">
        <w:rPr>
          <w:rFonts w:ascii="Times New Roman" w:eastAsia="Times New Roman" w:hAnsi="Times New Roman"/>
        </w:rPr>
        <w:t>Q3</w:t>
      </w:r>
      <w:r w:rsidR="00774572">
        <w:rPr>
          <w:rFonts w:ascii="Times New Roman" w:eastAsia="Times New Roman" w:hAnsi="Times New Roman"/>
        </w:rPr>
        <w:t xml:space="preserve"> 2024</w:t>
      </w:r>
      <w:r w:rsidR="00EF7B1A">
        <w:rPr>
          <w:rFonts w:ascii="Times New Roman" w:eastAsia="Times New Roman" w:hAnsi="Times New Roman"/>
          <w:lang w:val="en-CA"/>
        </w:rPr>
        <w:t>.</w:t>
      </w:r>
      <w:r w:rsidR="00BB166C">
        <w:rPr>
          <w:rFonts w:ascii="Times New Roman" w:eastAsia="Times New Roman" w:hAnsi="Times New Roman"/>
          <w:lang w:val="en-CA"/>
        </w:rPr>
        <w:t xml:space="preserve"> The amounts recognized in both periods were all interest income earned on the Company’s cash reserves</w:t>
      </w:r>
      <w:r w:rsidR="00B35943">
        <w:rPr>
          <w:rFonts w:ascii="Times New Roman" w:eastAsia="Times New Roman" w:hAnsi="Times New Roman"/>
          <w:lang w:val="en-CA"/>
        </w:rPr>
        <w:t>.</w:t>
      </w:r>
      <w:r w:rsidR="005E48D4">
        <w:rPr>
          <w:rFonts w:ascii="Times New Roman" w:eastAsia="Times New Roman" w:hAnsi="Times New Roman"/>
          <w:lang w:val="en-CA"/>
        </w:rPr>
        <w:t xml:space="preserve">  The company raised significant funds </w:t>
      </w:r>
      <w:r w:rsidR="004B1B2E">
        <w:rPr>
          <w:rFonts w:ascii="Times New Roman" w:eastAsia="Times New Roman" w:hAnsi="Times New Roman"/>
          <w:lang w:val="en-CA"/>
        </w:rPr>
        <w:t xml:space="preserve">between </w:t>
      </w:r>
      <w:r w:rsidR="003107B5">
        <w:rPr>
          <w:rFonts w:ascii="Times New Roman" w:eastAsia="Times New Roman" w:hAnsi="Times New Roman"/>
          <w:lang w:val="en-CA"/>
        </w:rPr>
        <w:t>Q3</w:t>
      </w:r>
      <w:r w:rsidR="004B1B2E">
        <w:rPr>
          <w:rFonts w:ascii="Times New Roman" w:eastAsia="Times New Roman" w:hAnsi="Times New Roman"/>
          <w:lang w:val="en-CA"/>
        </w:rPr>
        <w:t xml:space="preserve"> 2024 and </w:t>
      </w:r>
      <w:r w:rsidR="003107B5">
        <w:rPr>
          <w:rFonts w:ascii="Times New Roman" w:eastAsia="Times New Roman" w:hAnsi="Times New Roman"/>
          <w:lang w:val="en-CA"/>
        </w:rPr>
        <w:t>Q3</w:t>
      </w:r>
      <w:r w:rsidR="004B1B2E">
        <w:rPr>
          <w:rFonts w:ascii="Times New Roman" w:eastAsia="Times New Roman" w:hAnsi="Times New Roman"/>
          <w:lang w:val="en-CA"/>
        </w:rPr>
        <w:t xml:space="preserve"> 2025</w:t>
      </w:r>
      <w:r w:rsidR="005E48D4">
        <w:rPr>
          <w:rFonts w:ascii="Times New Roman" w:eastAsia="Times New Roman" w:hAnsi="Times New Roman"/>
          <w:lang w:val="en-CA"/>
        </w:rPr>
        <w:t>.</w:t>
      </w:r>
      <w:r w:rsidR="00F81A11">
        <w:rPr>
          <w:rFonts w:ascii="Times New Roman" w:eastAsia="Times New Roman" w:hAnsi="Times New Roman"/>
          <w:lang w:val="en-CA"/>
        </w:rPr>
        <w:t xml:space="preserve"> </w:t>
      </w:r>
    </w:p>
    <w:p w14:paraId="5105C26A" w14:textId="42282B0E" w:rsidR="004B1B2E" w:rsidRDefault="004B1B2E" w:rsidP="0023210C">
      <w:pPr>
        <w:widowControl/>
        <w:spacing w:after="120"/>
        <w:jc w:val="both"/>
        <w:rPr>
          <w:rFonts w:ascii="Times New Roman" w:eastAsia="Times New Roman" w:hAnsi="Times New Roman"/>
          <w:lang w:val="en-CA"/>
        </w:rPr>
      </w:pPr>
      <w:r>
        <w:rPr>
          <w:rFonts w:ascii="Times New Roman" w:eastAsia="Times New Roman" w:hAnsi="Times New Roman"/>
          <w:lang w:val="en-CA"/>
        </w:rPr>
        <w:lastRenderedPageBreak/>
        <w:t xml:space="preserve">Unrealized foreign exchange </w:t>
      </w:r>
      <w:r w:rsidR="00ED1FE4">
        <w:rPr>
          <w:rFonts w:ascii="Times New Roman" w:eastAsia="Times New Roman" w:hAnsi="Times New Roman"/>
          <w:lang w:val="en-CA"/>
        </w:rPr>
        <w:t>gain</w:t>
      </w:r>
      <w:r>
        <w:rPr>
          <w:rFonts w:ascii="Times New Roman" w:eastAsia="Times New Roman" w:hAnsi="Times New Roman"/>
          <w:lang w:val="en-CA"/>
        </w:rPr>
        <w:t xml:space="preserve"> was $</w:t>
      </w:r>
      <w:r w:rsidR="00ED1FE4">
        <w:rPr>
          <w:rFonts w:ascii="Times New Roman" w:eastAsia="Times New Roman" w:hAnsi="Times New Roman"/>
          <w:lang w:val="en-CA"/>
        </w:rPr>
        <w:t>1,641,602</w:t>
      </w:r>
      <w:r>
        <w:rPr>
          <w:rFonts w:ascii="Times New Roman" w:eastAsia="Times New Roman" w:hAnsi="Times New Roman"/>
          <w:lang w:val="en-CA"/>
        </w:rPr>
        <w:t xml:space="preserve"> in </w:t>
      </w:r>
      <w:r w:rsidR="003107B5">
        <w:rPr>
          <w:rFonts w:ascii="Times New Roman" w:eastAsia="Times New Roman" w:hAnsi="Times New Roman"/>
          <w:lang w:val="en-CA"/>
        </w:rPr>
        <w:t>Q3</w:t>
      </w:r>
      <w:r>
        <w:rPr>
          <w:rFonts w:ascii="Times New Roman" w:eastAsia="Times New Roman" w:hAnsi="Times New Roman"/>
          <w:lang w:val="en-CA"/>
        </w:rPr>
        <w:t xml:space="preserve"> 2025 compared to nil in </w:t>
      </w:r>
      <w:r w:rsidR="003107B5">
        <w:rPr>
          <w:rFonts w:ascii="Times New Roman" w:eastAsia="Times New Roman" w:hAnsi="Times New Roman"/>
          <w:lang w:val="en-CA"/>
        </w:rPr>
        <w:t>Q3</w:t>
      </w:r>
      <w:r>
        <w:rPr>
          <w:rFonts w:ascii="Times New Roman" w:eastAsia="Times New Roman" w:hAnsi="Times New Roman"/>
          <w:lang w:val="en-CA"/>
        </w:rPr>
        <w:t xml:space="preserve"> 2024. The unrealized foreign exchange </w:t>
      </w:r>
      <w:r w:rsidR="00ED1FE4">
        <w:rPr>
          <w:rFonts w:ascii="Times New Roman" w:eastAsia="Times New Roman" w:hAnsi="Times New Roman"/>
          <w:lang w:val="en-CA"/>
        </w:rPr>
        <w:t>gain</w:t>
      </w:r>
      <w:r>
        <w:rPr>
          <w:rFonts w:ascii="Times New Roman" w:eastAsia="Times New Roman" w:hAnsi="Times New Roman"/>
          <w:lang w:val="en-CA"/>
        </w:rPr>
        <w:t xml:space="preserve"> is a result of the volatility of the US dollar during the period in relation to other currencies that the Company has in reserve.</w:t>
      </w:r>
    </w:p>
    <w:p w14:paraId="453FC66F" w14:textId="77777777" w:rsidR="004B1B2E" w:rsidRDefault="004B1B2E" w:rsidP="0023210C">
      <w:pPr>
        <w:widowControl/>
        <w:spacing w:after="120"/>
        <w:jc w:val="both"/>
        <w:rPr>
          <w:rFonts w:ascii="Times New Roman" w:eastAsia="Times New Roman" w:hAnsi="Times New Roman"/>
          <w:lang w:val="en-CA"/>
        </w:rPr>
      </w:pPr>
    </w:p>
    <w:p w14:paraId="2883BF40" w14:textId="20CB5E1A" w:rsidR="004B1B2E" w:rsidRPr="0082077B" w:rsidRDefault="004B1B2E" w:rsidP="004B1B2E">
      <w:pPr>
        <w:widowControl/>
        <w:spacing w:after="120"/>
        <w:jc w:val="both"/>
        <w:rPr>
          <w:rFonts w:ascii="Times New Roman" w:eastAsia="Times New Roman" w:hAnsi="Times New Roman"/>
          <w:b/>
          <w:i/>
        </w:rPr>
      </w:pPr>
      <w:r w:rsidRPr="0082077B">
        <w:rPr>
          <w:rFonts w:ascii="Times New Roman" w:eastAsia="Times New Roman" w:hAnsi="Times New Roman"/>
          <w:b/>
          <w:i/>
        </w:rPr>
        <w:t xml:space="preserve">Explanation of Results for the </w:t>
      </w:r>
      <w:r w:rsidR="000E08E0">
        <w:rPr>
          <w:rFonts w:ascii="Times New Roman" w:eastAsia="Times New Roman" w:hAnsi="Times New Roman"/>
          <w:b/>
          <w:i/>
        </w:rPr>
        <w:t>nine months ended</w:t>
      </w:r>
      <w:r w:rsidRPr="0082077B">
        <w:rPr>
          <w:rFonts w:ascii="Times New Roman" w:eastAsia="Times New Roman" w:hAnsi="Times New Roman"/>
          <w:b/>
          <w:i/>
        </w:rPr>
        <w:t xml:space="preserve"> </w:t>
      </w:r>
      <w:r w:rsidR="000E08E0">
        <w:rPr>
          <w:rFonts w:ascii="Times New Roman" w:eastAsia="Times New Roman" w:hAnsi="Times New Roman"/>
          <w:b/>
          <w:i/>
        </w:rPr>
        <w:t>September 30, 2025</w:t>
      </w:r>
      <w:r w:rsidRPr="0082077B">
        <w:rPr>
          <w:rFonts w:ascii="Times New Roman" w:eastAsia="Times New Roman" w:hAnsi="Times New Roman"/>
          <w:b/>
          <w:i/>
        </w:rPr>
        <w:t xml:space="preserve"> (the “period”) compared to the same </w:t>
      </w:r>
      <w:r w:rsidR="00205785">
        <w:rPr>
          <w:rFonts w:ascii="Times New Roman" w:eastAsia="Times New Roman" w:hAnsi="Times New Roman"/>
          <w:b/>
          <w:i/>
        </w:rPr>
        <w:t>nine</w:t>
      </w:r>
      <w:r w:rsidRPr="0082077B">
        <w:rPr>
          <w:rFonts w:ascii="Times New Roman" w:eastAsia="Times New Roman" w:hAnsi="Times New Roman"/>
          <w:b/>
          <w:i/>
        </w:rPr>
        <w:t>-month period in the prior year (“</w:t>
      </w:r>
      <w:r>
        <w:rPr>
          <w:rFonts w:ascii="Times New Roman" w:eastAsia="Times New Roman" w:hAnsi="Times New Roman"/>
          <w:b/>
          <w:i/>
        </w:rPr>
        <w:t>2024</w:t>
      </w:r>
      <w:r w:rsidRPr="0082077B">
        <w:rPr>
          <w:rFonts w:ascii="Times New Roman" w:eastAsia="Times New Roman" w:hAnsi="Times New Roman"/>
          <w:b/>
          <w:i/>
        </w:rPr>
        <w:t>”)</w:t>
      </w:r>
    </w:p>
    <w:p w14:paraId="614CB2E5" w14:textId="191C5BD5" w:rsidR="004B1B2E" w:rsidRPr="0082077B" w:rsidRDefault="004B1B2E" w:rsidP="004B1B2E">
      <w:pPr>
        <w:widowControl/>
        <w:spacing w:after="120"/>
        <w:jc w:val="both"/>
        <w:rPr>
          <w:rFonts w:ascii="Times New Roman" w:eastAsia="Times New Roman" w:hAnsi="Times New Roman"/>
        </w:rPr>
      </w:pPr>
      <w:r w:rsidRPr="0082077B">
        <w:rPr>
          <w:rFonts w:ascii="Times New Roman" w:eastAsia="Times New Roman" w:hAnsi="Times New Roman"/>
        </w:rPr>
        <w:t>Net loss for the period was $</w:t>
      </w:r>
      <w:r w:rsidR="00205785">
        <w:rPr>
          <w:rFonts w:ascii="Times New Roman" w:eastAsia="Times New Roman" w:hAnsi="Times New Roman"/>
        </w:rPr>
        <w:t>20,291,531</w:t>
      </w:r>
      <w:r w:rsidRPr="0082077B">
        <w:rPr>
          <w:rFonts w:ascii="Times New Roman" w:eastAsia="Times New Roman" w:hAnsi="Times New Roman"/>
        </w:rPr>
        <w:t xml:space="preserve"> compared to a net loss of $</w:t>
      </w:r>
      <w:r w:rsidR="00205785">
        <w:rPr>
          <w:rFonts w:ascii="Times New Roman" w:eastAsia="Times New Roman" w:hAnsi="Times New Roman"/>
        </w:rPr>
        <w:t>26,436,584</w:t>
      </w:r>
      <w:r w:rsidRPr="0082077B">
        <w:rPr>
          <w:rFonts w:ascii="Times New Roman" w:eastAsia="Times New Roman" w:hAnsi="Times New Roman"/>
        </w:rPr>
        <w:t xml:space="preserve"> in </w:t>
      </w:r>
      <w:r>
        <w:rPr>
          <w:rFonts w:ascii="Times New Roman" w:eastAsia="Times New Roman" w:hAnsi="Times New Roman"/>
        </w:rPr>
        <w:t>2024</w:t>
      </w:r>
      <w:r w:rsidRPr="0082077B">
        <w:rPr>
          <w:rFonts w:ascii="Times New Roman" w:eastAsia="Times New Roman" w:hAnsi="Times New Roman"/>
        </w:rPr>
        <w:t xml:space="preserve">, </w:t>
      </w:r>
      <w:r w:rsidR="00292CAC" w:rsidRPr="0082077B">
        <w:rPr>
          <w:rFonts w:ascii="Times New Roman" w:eastAsia="Times New Roman" w:hAnsi="Times New Roman"/>
        </w:rPr>
        <w:t>a</w:t>
      </w:r>
      <w:r w:rsidRPr="0082077B">
        <w:rPr>
          <w:rFonts w:ascii="Times New Roman" w:eastAsia="Times New Roman" w:hAnsi="Times New Roman"/>
        </w:rPr>
        <w:t xml:space="preserve"> </w:t>
      </w:r>
      <w:r w:rsidR="00B96390">
        <w:rPr>
          <w:rFonts w:ascii="Times New Roman" w:eastAsia="Times New Roman" w:hAnsi="Times New Roman"/>
        </w:rPr>
        <w:t>de</w:t>
      </w:r>
      <w:r>
        <w:rPr>
          <w:rFonts w:ascii="Times New Roman" w:eastAsia="Times New Roman" w:hAnsi="Times New Roman"/>
        </w:rPr>
        <w:t>crease</w:t>
      </w:r>
      <w:r w:rsidRPr="0082077B">
        <w:rPr>
          <w:rFonts w:ascii="Times New Roman" w:eastAsia="Times New Roman" w:hAnsi="Times New Roman"/>
        </w:rPr>
        <w:t xml:space="preserve"> of $</w:t>
      </w:r>
      <w:r w:rsidR="00205785">
        <w:rPr>
          <w:rFonts w:ascii="Times New Roman" w:eastAsia="Times New Roman" w:hAnsi="Times New Roman"/>
        </w:rPr>
        <w:t>6,145,053</w:t>
      </w:r>
      <w:r w:rsidRPr="0082077B">
        <w:rPr>
          <w:rFonts w:ascii="Times New Roman" w:eastAsia="Times New Roman" w:hAnsi="Times New Roman"/>
        </w:rPr>
        <w:t xml:space="preserve"> (</w:t>
      </w:r>
      <w:r w:rsidR="00B96390">
        <w:rPr>
          <w:rFonts w:ascii="Times New Roman" w:eastAsia="Times New Roman" w:hAnsi="Times New Roman"/>
        </w:rPr>
        <w:t>20</w:t>
      </w:r>
      <w:r w:rsidRPr="0082077B">
        <w:rPr>
          <w:rFonts w:ascii="Times New Roman" w:eastAsia="Times New Roman" w:hAnsi="Times New Roman"/>
        </w:rPr>
        <w:t xml:space="preserve">%).  The following discusses the significant variances between the period and </w:t>
      </w:r>
      <w:r>
        <w:rPr>
          <w:rFonts w:ascii="Times New Roman" w:eastAsia="Times New Roman" w:hAnsi="Times New Roman"/>
        </w:rPr>
        <w:t>202</w:t>
      </w:r>
      <w:r w:rsidR="00B96390">
        <w:rPr>
          <w:rFonts w:ascii="Times New Roman" w:eastAsia="Times New Roman" w:hAnsi="Times New Roman"/>
        </w:rPr>
        <w:t>4</w:t>
      </w:r>
      <w:r w:rsidRPr="0082077B">
        <w:rPr>
          <w:rFonts w:ascii="Times New Roman" w:eastAsia="Times New Roman" w:hAnsi="Times New Roman"/>
        </w:rPr>
        <w:t>.</w:t>
      </w:r>
    </w:p>
    <w:p w14:paraId="73BDDC2C" w14:textId="28CE1618" w:rsidR="00B96390" w:rsidRDefault="00B96390" w:rsidP="004B1B2E">
      <w:pPr>
        <w:widowControl/>
        <w:spacing w:after="120"/>
        <w:jc w:val="both"/>
        <w:rPr>
          <w:rFonts w:ascii="Times New Roman" w:eastAsia="Times New Roman" w:hAnsi="Times New Roman"/>
        </w:rPr>
      </w:pPr>
      <w:r>
        <w:rPr>
          <w:rFonts w:ascii="Times New Roman" w:eastAsia="Times New Roman" w:hAnsi="Times New Roman"/>
        </w:rPr>
        <w:t>Non-recurring engineering and product revenue (“NRE”) was $</w:t>
      </w:r>
      <w:r w:rsidR="00205785">
        <w:rPr>
          <w:rFonts w:ascii="Times New Roman" w:eastAsia="Times New Roman" w:hAnsi="Times New Roman"/>
        </w:rPr>
        <w:t>733,663</w:t>
      </w:r>
      <w:r>
        <w:rPr>
          <w:rFonts w:ascii="Times New Roman" w:eastAsia="Times New Roman" w:hAnsi="Times New Roman"/>
        </w:rPr>
        <w:t xml:space="preserve"> in the period compared to </w:t>
      </w:r>
      <w:r w:rsidR="00205785">
        <w:rPr>
          <w:rFonts w:ascii="Times New Roman" w:eastAsia="Times New Roman" w:hAnsi="Times New Roman"/>
        </w:rPr>
        <w:t>12,395</w:t>
      </w:r>
      <w:r>
        <w:rPr>
          <w:rFonts w:ascii="Times New Roman" w:eastAsia="Times New Roman" w:hAnsi="Times New Roman"/>
        </w:rPr>
        <w:t xml:space="preserve"> in 2024, an increase of $</w:t>
      </w:r>
      <w:r w:rsidR="00205785">
        <w:rPr>
          <w:rFonts w:ascii="Times New Roman" w:eastAsia="Times New Roman" w:hAnsi="Times New Roman"/>
        </w:rPr>
        <w:t>721,268</w:t>
      </w:r>
      <w:r>
        <w:rPr>
          <w:rFonts w:ascii="Times New Roman" w:eastAsia="Times New Roman" w:hAnsi="Times New Roman"/>
        </w:rPr>
        <w:t>. Historically the Company provided NRE services to multiple customers for unique projects that are being addressed utilizing the capabilities of the POET Optical Interposer.</w:t>
      </w:r>
    </w:p>
    <w:p w14:paraId="76459187" w14:textId="5CC997C9" w:rsidR="00B96390" w:rsidRDefault="00B96390" w:rsidP="00B96390">
      <w:pPr>
        <w:widowControl/>
        <w:tabs>
          <w:tab w:val="left" w:pos="4536"/>
          <w:tab w:val="left" w:pos="4820"/>
        </w:tabs>
        <w:spacing w:after="120"/>
        <w:jc w:val="both"/>
        <w:rPr>
          <w:rFonts w:ascii="Times New Roman" w:eastAsia="Times New Roman" w:hAnsi="Times New Roman"/>
        </w:rPr>
      </w:pPr>
      <w:r>
        <w:rPr>
          <w:rFonts w:ascii="Times New Roman" w:eastAsia="Times New Roman" w:hAnsi="Times New Roman"/>
        </w:rPr>
        <w:t>R&amp;D increased by $</w:t>
      </w:r>
      <w:r w:rsidR="00205785">
        <w:rPr>
          <w:rFonts w:ascii="Times New Roman" w:eastAsia="Times New Roman" w:hAnsi="Times New Roman"/>
        </w:rPr>
        <w:t>5,440,564</w:t>
      </w:r>
      <w:r>
        <w:rPr>
          <w:rFonts w:ascii="Times New Roman" w:eastAsia="Times New Roman" w:hAnsi="Times New Roman"/>
        </w:rPr>
        <w:t xml:space="preserve"> (</w:t>
      </w:r>
      <w:r w:rsidR="00205785">
        <w:rPr>
          <w:rFonts w:ascii="Times New Roman" w:eastAsia="Times New Roman" w:hAnsi="Times New Roman"/>
        </w:rPr>
        <w:t>94</w:t>
      </w:r>
      <w:r>
        <w:rPr>
          <w:rFonts w:ascii="Times New Roman" w:eastAsia="Times New Roman" w:hAnsi="Times New Roman"/>
        </w:rPr>
        <w:t>%) to $</w:t>
      </w:r>
      <w:r w:rsidR="00205785">
        <w:rPr>
          <w:rFonts w:ascii="Times New Roman" w:eastAsia="Times New Roman" w:hAnsi="Times New Roman"/>
        </w:rPr>
        <w:t>11,245,939</w:t>
      </w:r>
      <w:r>
        <w:rPr>
          <w:rFonts w:ascii="Times New Roman" w:eastAsia="Times New Roman" w:hAnsi="Times New Roman"/>
        </w:rPr>
        <w:t xml:space="preserve"> in the period from $</w:t>
      </w:r>
      <w:r w:rsidR="00205785">
        <w:rPr>
          <w:rFonts w:ascii="Times New Roman" w:eastAsia="Times New Roman" w:hAnsi="Times New Roman"/>
        </w:rPr>
        <w:t>5,805,375</w:t>
      </w:r>
      <w:r>
        <w:rPr>
          <w:rFonts w:ascii="Times New Roman" w:eastAsia="Times New Roman" w:hAnsi="Times New Roman"/>
        </w:rPr>
        <w:t xml:space="preserve"> in 2024. Due to taking control of SPX in December 2024, the Company included SPX’s operations in its consolidated R&amp;D during the period. Significant R&amp;D compensation cost was incurred in laying-off the SPX work force as part of its winding up plan. Additionally, the Company established production capacity and capabilities with two new facilities in Malaysia. The Company incurred significant costs in “bringing up” these facilities to meet expectations. </w:t>
      </w:r>
      <w:r w:rsidR="00205785">
        <w:rPr>
          <w:rFonts w:ascii="Times New Roman" w:eastAsia="Times New Roman" w:hAnsi="Times New Roman"/>
        </w:rPr>
        <w:t xml:space="preserve">The Company’s expansion has also resulted in higher R&amp;D related compensation in Q3 2025 compared to Q3 2024. R&amp;D related compensation was $4,975,567 in the period compared to $3,174,933 in 2024, an increase of $1,800,634. </w:t>
      </w:r>
      <w:r>
        <w:rPr>
          <w:rFonts w:ascii="Times New Roman" w:eastAsia="Times New Roman" w:hAnsi="Times New Roman"/>
        </w:rPr>
        <w:t xml:space="preserve">It is expected that R&amp;D for a Company at this stage of development will vary from period to period based on the development cycle and the immediate product development needs of the Company. </w:t>
      </w:r>
    </w:p>
    <w:p w14:paraId="0B988C28" w14:textId="724589BB" w:rsidR="00B96390" w:rsidRDefault="00B96390" w:rsidP="004B1B2E">
      <w:pPr>
        <w:widowControl/>
        <w:spacing w:after="120"/>
        <w:jc w:val="both"/>
        <w:rPr>
          <w:rFonts w:ascii="Times New Roman" w:eastAsia="Times New Roman" w:hAnsi="Times New Roman"/>
        </w:rPr>
      </w:pPr>
      <w:r>
        <w:rPr>
          <w:rFonts w:ascii="Times New Roman" w:hAnsi="Times New Roman"/>
          <w:color w:val="000000" w:themeColor="text1"/>
          <w:lang w:val="en-CA"/>
        </w:rPr>
        <w:t>Wages and benefits increased by $1,6</w:t>
      </w:r>
      <w:r w:rsidR="00205785">
        <w:rPr>
          <w:rFonts w:ascii="Times New Roman" w:hAnsi="Times New Roman"/>
          <w:color w:val="000000" w:themeColor="text1"/>
          <w:lang w:val="en-CA"/>
        </w:rPr>
        <w:t>24,355</w:t>
      </w:r>
      <w:r>
        <w:rPr>
          <w:rFonts w:ascii="Times New Roman" w:hAnsi="Times New Roman"/>
          <w:color w:val="000000" w:themeColor="text1"/>
          <w:lang w:val="en-CA"/>
        </w:rPr>
        <w:t xml:space="preserve"> (</w:t>
      </w:r>
      <w:r w:rsidR="00205785">
        <w:rPr>
          <w:rFonts w:ascii="Times New Roman" w:hAnsi="Times New Roman"/>
          <w:color w:val="000000" w:themeColor="text1"/>
          <w:lang w:val="en-CA"/>
        </w:rPr>
        <w:t>73</w:t>
      </w:r>
      <w:r>
        <w:rPr>
          <w:rFonts w:ascii="Times New Roman" w:hAnsi="Times New Roman"/>
          <w:color w:val="000000" w:themeColor="text1"/>
          <w:lang w:val="en-CA"/>
        </w:rPr>
        <w:t>%) to $</w:t>
      </w:r>
      <w:r w:rsidR="00205785">
        <w:rPr>
          <w:rFonts w:ascii="Times New Roman" w:hAnsi="Times New Roman"/>
          <w:color w:val="000000" w:themeColor="text1"/>
          <w:lang w:val="en-CA"/>
        </w:rPr>
        <w:t>3,840,960</w:t>
      </w:r>
      <w:r>
        <w:rPr>
          <w:rFonts w:ascii="Times New Roman" w:hAnsi="Times New Roman"/>
          <w:color w:val="000000" w:themeColor="text1"/>
          <w:lang w:val="en-CA"/>
        </w:rPr>
        <w:t xml:space="preserve"> in the period from $</w:t>
      </w:r>
      <w:r w:rsidR="00205785">
        <w:rPr>
          <w:rFonts w:ascii="Times New Roman" w:hAnsi="Times New Roman"/>
          <w:color w:val="000000" w:themeColor="text1"/>
          <w:lang w:val="en-CA"/>
        </w:rPr>
        <w:t>2,216,605</w:t>
      </w:r>
      <w:r>
        <w:rPr>
          <w:rFonts w:ascii="Times New Roman" w:hAnsi="Times New Roman"/>
          <w:color w:val="000000" w:themeColor="text1"/>
          <w:lang w:val="en-CA"/>
        </w:rPr>
        <w:t xml:space="preserve"> in 2024. The increase was a result of </w:t>
      </w:r>
      <w:r>
        <w:rPr>
          <w:rFonts w:ascii="Times New Roman" w:eastAsia="Times New Roman" w:hAnsi="Times New Roman"/>
        </w:rPr>
        <w:t xml:space="preserve">performance bonuses paid in the period to certain employees. Bonus in 2025 totaled $1,355,000. Only a small bonus was paid in 2024. </w:t>
      </w:r>
      <w:r w:rsidRPr="00471562">
        <w:rPr>
          <w:rFonts w:ascii="Times New Roman" w:eastAsia="Times New Roman" w:hAnsi="Times New Roman"/>
        </w:rPr>
        <w:t xml:space="preserve">The success of development to date and in the future is contingent on performance of key staff. Many development and financials </w:t>
      </w:r>
      <w:r>
        <w:rPr>
          <w:rFonts w:ascii="Times New Roman" w:eastAsia="Times New Roman" w:hAnsi="Times New Roman"/>
        </w:rPr>
        <w:t>goals</w:t>
      </w:r>
      <w:r w:rsidRPr="00471562">
        <w:rPr>
          <w:rFonts w:ascii="Times New Roman" w:eastAsia="Times New Roman" w:hAnsi="Times New Roman"/>
        </w:rPr>
        <w:t xml:space="preserve"> were achieved during the period and retention of these employees will be critical to Poet’s continued success.</w:t>
      </w:r>
      <w:r>
        <w:rPr>
          <w:rFonts w:ascii="Times New Roman" w:eastAsia="Times New Roman" w:hAnsi="Times New Roman"/>
        </w:rPr>
        <w:t xml:space="preserve"> The Company also had salary increases in the period. There was no salary increase in 2024.</w:t>
      </w:r>
    </w:p>
    <w:p w14:paraId="2D06C124" w14:textId="46D1F412" w:rsidR="00B96390" w:rsidRDefault="004B1B2E" w:rsidP="00B96390">
      <w:pPr>
        <w:widowControl/>
        <w:spacing w:after="120"/>
        <w:jc w:val="both"/>
        <w:rPr>
          <w:rFonts w:ascii="Times New Roman" w:hAnsi="Times New Roman"/>
          <w:color w:val="000000" w:themeColor="text1"/>
          <w:lang w:val="en-CA"/>
        </w:rPr>
      </w:pPr>
      <w:r w:rsidRPr="0082077B">
        <w:rPr>
          <w:rFonts w:ascii="Times New Roman" w:eastAsia="Times New Roman" w:hAnsi="Times New Roman"/>
        </w:rPr>
        <w:t>Depreciation and amortization increased by $</w:t>
      </w:r>
      <w:r w:rsidR="00205785">
        <w:rPr>
          <w:rFonts w:ascii="Times New Roman" w:eastAsia="Times New Roman" w:hAnsi="Times New Roman"/>
        </w:rPr>
        <w:t>867,472</w:t>
      </w:r>
      <w:r w:rsidRPr="0082077B">
        <w:rPr>
          <w:rFonts w:ascii="Times New Roman" w:eastAsia="Times New Roman" w:hAnsi="Times New Roman"/>
        </w:rPr>
        <w:t xml:space="preserve"> (</w:t>
      </w:r>
      <w:r w:rsidR="00205785">
        <w:rPr>
          <w:rFonts w:ascii="Times New Roman" w:eastAsia="Times New Roman" w:hAnsi="Times New Roman"/>
        </w:rPr>
        <w:t>56</w:t>
      </w:r>
      <w:r w:rsidRPr="0082077B">
        <w:rPr>
          <w:rFonts w:ascii="Times New Roman" w:eastAsia="Times New Roman" w:hAnsi="Times New Roman"/>
        </w:rPr>
        <w:t>%) to $</w:t>
      </w:r>
      <w:r w:rsidR="00205785">
        <w:rPr>
          <w:rFonts w:ascii="Times New Roman" w:eastAsia="Times New Roman" w:hAnsi="Times New Roman"/>
        </w:rPr>
        <w:t>2,412,386</w:t>
      </w:r>
      <w:r w:rsidRPr="0082077B">
        <w:rPr>
          <w:rFonts w:ascii="Times New Roman" w:eastAsia="Times New Roman" w:hAnsi="Times New Roman"/>
        </w:rPr>
        <w:t xml:space="preserve"> in the period from $</w:t>
      </w:r>
      <w:r w:rsidR="00205785">
        <w:rPr>
          <w:rFonts w:ascii="Times New Roman" w:eastAsia="Times New Roman" w:hAnsi="Times New Roman"/>
        </w:rPr>
        <w:t>1,544,914</w:t>
      </w:r>
      <w:r w:rsidRPr="0082077B">
        <w:rPr>
          <w:rFonts w:ascii="Times New Roman" w:eastAsia="Times New Roman" w:hAnsi="Times New Roman"/>
        </w:rPr>
        <w:t xml:space="preserve"> in </w:t>
      </w:r>
      <w:r w:rsidR="00B96390">
        <w:rPr>
          <w:rFonts w:ascii="Times New Roman" w:eastAsia="Times New Roman" w:hAnsi="Times New Roman"/>
        </w:rPr>
        <w:t>2024</w:t>
      </w:r>
      <w:r w:rsidRPr="0082077B">
        <w:rPr>
          <w:rFonts w:ascii="Times New Roman" w:eastAsia="Times New Roman" w:hAnsi="Times New Roman"/>
        </w:rPr>
        <w:t xml:space="preserve">. </w:t>
      </w:r>
      <w:r w:rsidR="00B96390">
        <w:rPr>
          <w:rFonts w:ascii="Times New Roman" w:eastAsia="Times New Roman" w:hAnsi="Times New Roman"/>
        </w:rPr>
        <w:t>As the Company embarks on its new phase of growth, focused on manufacturing, it acquired significant fixed assets in 2024. Many of these assets were placed in operations in the latter part of 2024 and into 2025.</w:t>
      </w:r>
    </w:p>
    <w:p w14:paraId="36960147" w14:textId="7063D923" w:rsidR="009A6102" w:rsidRDefault="009A6102" w:rsidP="009A6102">
      <w:pPr>
        <w:widowControl/>
        <w:spacing w:after="120"/>
        <w:jc w:val="both"/>
        <w:rPr>
          <w:rFonts w:ascii="Times New Roman" w:eastAsia="Times New Roman" w:hAnsi="Times New Roman"/>
        </w:rPr>
      </w:pPr>
      <w:r>
        <w:rPr>
          <w:rFonts w:ascii="Times New Roman" w:eastAsia="Times New Roman" w:hAnsi="Times New Roman"/>
        </w:rPr>
        <w:t>General expense and rent increased by $</w:t>
      </w:r>
      <w:r w:rsidR="006B030E">
        <w:rPr>
          <w:rFonts w:ascii="Times New Roman" w:eastAsia="Times New Roman" w:hAnsi="Times New Roman"/>
        </w:rPr>
        <w:t>920,328</w:t>
      </w:r>
      <w:r>
        <w:rPr>
          <w:rFonts w:ascii="Times New Roman" w:eastAsia="Times New Roman" w:hAnsi="Times New Roman"/>
        </w:rPr>
        <w:t xml:space="preserve"> (</w:t>
      </w:r>
      <w:r w:rsidR="006B030E">
        <w:rPr>
          <w:rFonts w:ascii="Times New Roman" w:eastAsia="Times New Roman" w:hAnsi="Times New Roman"/>
        </w:rPr>
        <w:t>62</w:t>
      </w:r>
      <w:r>
        <w:rPr>
          <w:rFonts w:ascii="Times New Roman" w:eastAsia="Times New Roman" w:hAnsi="Times New Roman"/>
        </w:rPr>
        <w:t>%) to $</w:t>
      </w:r>
      <w:r w:rsidR="006B030E">
        <w:rPr>
          <w:rFonts w:ascii="Times New Roman" w:eastAsia="Times New Roman" w:hAnsi="Times New Roman"/>
        </w:rPr>
        <w:t>2,404,952</w:t>
      </w:r>
      <w:r>
        <w:rPr>
          <w:rFonts w:ascii="Times New Roman" w:eastAsia="Times New Roman" w:hAnsi="Times New Roman"/>
        </w:rPr>
        <w:t xml:space="preserve"> in the period from $</w:t>
      </w:r>
      <w:r w:rsidR="006B030E">
        <w:rPr>
          <w:rFonts w:ascii="Times New Roman" w:eastAsia="Times New Roman" w:hAnsi="Times New Roman"/>
        </w:rPr>
        <w:t>1,484,624</w:t>
      </w:r>
      <w:r>
        <w:rPr>
          <w:rFonts w:ascii="Times New Roman" w:eastAsia="Times New Roman" w:hAnsi="Times New Roman"/>
        </w:rPr>
        <w:t xml:space="preserve"> in 2024. During the period, the Company increased its investor relations and marketing initiatives. The Company engaged a new firm to assist with these services during the period. Additionally, the Company moved its operations in Singapore to a new and larger facility. The Company paid rent for both facilities during the period.</w:t>
      </w:r>
    </w:p>
    <w:p w14:paraId="499D91D8" w14:textId="5A3BAC5F" w:rsidR="009A6102" w:rsidRDefault="009A6102" w:rsidP="009A6102">
      <w:pPr>
        <w:widowControl/>
        <w:spacing w:after="120"/>
        <w:jc w:val="both"/>
        <w:rPr>
          <w:rFonts w:ascii="Times New Roman" w:eastAsia="Times New Roman" w:hAnsi="Times New Roman"/>
        </w:rPr>
      </w:pPr>
      <w:r>
        <w:rPr>
          <w:rFonts w:ascii="Times New Roman" w:eastAsia="Times New Roman" w:hAnsi="Times New Roman"/>
        </w:rPr>
        <w:t xml:space="preserve">Finance advisory fees </w:t>
      </w:r>
      <w:r w:rsidR="006B030E">
        <w:rPr>
          <w:rFonts w:ascii="Times New Roman" w:eastAsia="Times New Roman" w:hAnsi="Times New Roman"/>
        </w:rPr>
        <w:t>increased by $1,333,570 (59%) to $3,595,538</w:t>
      </w:r>
      <w:r>
        <w:rPr>
          <w:rFonts w:ascii="Times New Roman" w:eastAsia="Times New Roman" w:hAnsi="Times New Roman"/>
        </w:rPr>
        <w:t xml:space="preserve"> in </w:t>
      </w:r>
      <w:r w:rsidR="006B030E">
        <w:rPr>
          <w:rFonts w:ascii="Times New Roman" w:eastAsia="Times New Roman" w:hAnsi="Times New Roman"/>
        </w:rPr>
        <w:t>period from $2,261,968 in 2024</w:t>
      </w:r>
      <w:r>
        <w:rPr>
          <w:rFonts w:ascii="Times New Roman" w:eastAsia="Times New Roman" w:hAnsi="Times New Roman"/>
        </w:rPr>
        <w:t xml:space="preserve"> in 2024. The finance advisory fees </w:t>
      </w:r>
      <w:r w:rsidR="009A2D28">
        <w:rPr>
          <w:rFonts w:ascii="Times New Roman" w:eastAsia="Times New Roman" w:hAnsi="Times New Roman"/>
        </w:rPr>
        <w:t>are</w:t>
      </w:r>
      <w:r>
        <w:rPr>
          <w:rFonts w:ascii="Times New Roman" w:eastAsia="Times New Roman" w:hAnsi="Times New Roman"/>
        </w:rPr>
        <w:t xml:space="preserve"> paid to a firm assisting the Company on financial and strategic matters. The firm’s guidance contributed to the Company’s capital raise success in 2024 which exceeded $</w:t>
      </w:r>
      <w:r w:rsidR="00193744">
        <w:rPr>
          <w:rFonts w:ascii="Times New Roman" w:eastAsia="Times New Roman" w:hAnsi="Times New Roman"/>
        </w:rPr>
        <w:t>145 million</w:t>
      </w:r>
      <w:r>
        <w:rPr>
          <w:rFonts w:ascii="Times New Roman" w:eastAsia="Times New Roman" w:hAnsi="Times New Roman"/>
        </w:rPr>
        <w:t xml:space="preserve">.  </w:t>
      </w:r>
    </w:p>
    <w:p w14:paraId="61106F5B" w14:textId="3B5EA7FC" w:rsidR="004B1B2E" w:rsidRDefault="004B1B2E" w:rsidP="004B1B2E">
      <w:pPr>
        <w:widowControl/>
        <w:spacing w:after="120"/>
        <w:jc w:val="both"/>
        <w:rPr>
          <w:rFonts w:ascii="Times New Roman" w:eastAsia="Times New Roman" w:hAnsi="Times New Roman"/>
        </w:rPr>
      </w:pPr>
      <w:r>
        <w:rPr>
          <w:rFonts w:ascii="Times New Roman" w:eastAsia="Times New Roman" w:hAnsi="Times New Roman"/>
        </w:rPr>
        <w:t>The Company issued warrants in a foreign currency in</w:t>
      </w:r>
      <w:r w:rsidR="0017362E">
        <w:rPr>
          <w:rFonts w:ascii="Times New Roman" w:eastAsia="Times New Roman" w:hAnsi="Times New Roman"/>
        </w:rPr>
        <w:t xml:space="preserve"> 2023 and</w:t>
      </w:r>
      <w:r>
        <w:rPr>
          <w:rFonts w:ascii="Times New Roman" w:eastAsia="Times New Roman" w:hAnsi="Times New Roman"/>
        </w:rPr>
        <w:t xml:space="preserve"> </w:t>
      </w:r>
      <w:r w:rsidR="00B96390">
        <w:rPr>
          <w:rFonts w:ascii="Times New Roman" w:eastAsia="Times New Roman" w:hAnsi="Times New Roman"/>
        </w:rPr>
        <w:t>2024</w:t>
      </w:r>
      <w:r>
        <w:rPr>
          <w:rFonts w:ascii="Times New Roman" w:eastAsia="Times New Roman" w:hAnsi="Times New Roman"/>
        </w:rPr>
        <w:t xml:space="preserve">. The issuance of those warrants created a derivative liability which is periodically remeasured and adjusted to reflect the fair value of the warrants. The Company had a non-cash </w:t>
      </w:r>
      <w:r w:rsidR="009A6102">
        <w:rPr>
          <w:rFonts w:ascii="Times New Roman" w:eastAsia="Times New Roman" w:hAnsi="Times New Roman"/>
        </w:rPr>
        <w:t>gain</w:t>
      </w:r>
      <w:r>
        <w:rPr>
          <w:rFonts w:ascii="Times New Roman" w:eastAsia="Times New Roman" w:hAnsi="Times New Roman"/>
        </w:rPr>
        <w:t xml:space="preserve"> of $</w:t>
      </w:r>
      <w:r w:rsidR="0017362E">
        <w:rPr>
          <w:rFonts w:ascii="Times New Roman" w:eastAsia="Times New Roman" w:hAnsi="Times New Roman"/>
        </w:rPr>
        <w:t>5,408,757</w:t>
      </w:r>
      <w:r>
        <w:rPr>
          <w:rFonts w:ascii="Times New Roman" w:eastAsia="Times New Roman" w:hAnsi="Times New Roman"/>
        </w:rPr>
        <w:t xml:space="preserve"> during the period </w:t>
      </w:r>
      <w:r w:rsidR="009A6102">
        <w:rPr>
          <w:rFonts w:ascii="Times New Roman" w:eastAsia="Times New Roman" w:hAnsi="Times New Roman"/>
        </w:rPr>
        <w:t>compared to a non-cash loss of $</w:t>
      </w:r>
      <w:r w:rsidR="0017362E">
        <w:rPr>
          <w:rFonts w:ascii="Times New Roman" w:eastAsia="Times New Roman" w:hAnsi="Times New Roman"/>
        </w:rPr>
        <w:t>8,186,421</w:t>
      </w:r>
      <w:r w:rsidR="009A6102">
        <w:rPr>
          <w:rFonts w:ascii="Times New Roman" w:eastAsia="Times New Roman" w:hAnsi="Times New Roman"/>
        </w:rPr>
        <w:t xml:space="preserve"> in 2024 </w:t>
      </w:r>
      <w:r>
        <w:rPr>
          <w:rFonts w:ascii="Times New Roman" w:eastAsia="Times New Roman" w:hAnsi="Times New Roman"/>
        </w:rPr>
        <w:t>related to the fair value adjustment of the derivative liability on the remaining warrants.</w:t>
      </w:r>
      <w:r w:rsidR="0017362E">
        <w:rPr>
          <w:rFonts w:ascii="Times New Roman" w:eastAsia="Times New Roman" w:hAnsi="Times New Roman"/>
        </w:rPr>
        <w:t xml:space="preserve"> The gain or loss at each reporting date is highly dependent on the Company’s stock price on the reporting date.</w:t>
      </w:r>
      <w:r>
        <w:rPr>
          <w:rFonts w:ascii="Times New Roman" w:eastAsia="Times New Roman" w:hAnsi="Times New Roman"/>
        </w:rPr>
        <w:t xml:space="preserve">  </w:t>
      </w:r>
    </w:p>
    <w:p w14:paraId="63102606" w14:textId="37F838BA" w:rsidR="009A6102" w:rsidRDefault="004B1B2E" w:rsidP="004B1B2E">
      <w:pPr>
        <w:widowControl/>
        <w:spacing w:after="120"/>
        <w:jc w:val="both"/>
        <w:rPr>
          <w:rFonts w:ascii="Times New Roman" w:eastAsia="Times New Roman" w:hAnsi="Times New Roman"/>
          <w:lang w:val="en-CA"/>
        </w:rPr>
      </w:pPr>
      <w:r>
        <w:rPr>
          <w:rFonts w:ascii="Times New Roman" w:eastAsia="Times New Roman" w:hAnsi="Times New Roman"/>
        </w:rPr>
        <w:lastRenderedPageBreak/>
        <w:t>Other income, including interest increased by $</w:t>
      </w:r>
      <w:r w:rsidR="0017362E">
        <w:rPr>
          <w:rFonts w:ascii="Times New Roman" w:eastAsia="Times New Roman" w:hAnsi="Times New Roman"/>
        </w:rPr>
        <w:t>1,606,291</w:t>
      </w:r>
      <w:r>
        <w:rPr>
          <w:rFonts w:ascii="Times New Roman" w:eastAsia="Times New Roman" w:hAnsi="Times New Roman"/>
        </w:rPr>
        <w:t xml:space="preserve"> (</w:t>
      </w:r>
      <w:r w:rsidR="009A6102">
        <w:rPr>
          <w:rFonts w:ascii="Times New Roman" w:eastAsia="Times New Roman" w:hAnsi="Times New Roman"/>
        </w:rPr>
        <w:t>36</w:t>
      </w:r>
      <w:r w:rsidR="0017362E">
        <w:rPr>
          <w:rFonts w:ascii="Times New Roman" w:eastAsia="Times New Roman" w:hAnsi="Times New Roman"/>
        </w:rPr>
        <w:t>2</w:t>
      </w:r>
      <w:r>
        <w:rPr>
          <w:rFonts w:ascii="Times New Roman" w:eastAsia="Times New Roman" w:hAnsi="Times New Roman"/>
        </w:rPr>
        <w:t>%) to $</w:t>
      </w:r>
      <w:r w:rsidR="0017362E">
        <w:rPr>
          <w:rFonts w:ascii="Times New Roman" w:eastAsia="Times New Roman" w:hAnsi="Times New Roman"/>
        </w:rPr>
        <w:t>2,050,097</w:t>
      </w:r>
      <w:r>
        <w:rPr>
          <w:rFonts w:ascii="Times New Roman" w:eastAsia="Times New Roman" w:hAnsi="Times New Roman"/>
        </w:rPr>
        <w:t xml:space="preserve"> in the period from $</w:t>
      </w:r>
      <w:r w:rsidR="0017362E">
        <w:rPr>
          <w:rFonts w:ascii="Times New Roman" w:eastAsia="Times New Roman" w:hAnsi="Times New Roman"/>
        </w:rPr>
        <w:t>443,806</w:t>
      </w:r>
      <w:r>
        <w:rPr>
          <w:rFonts w:ascii="Times New Roman" w:eastAsia="Times New Roman" w:hAnsi="Times New Roman"/>
        </w:rPr>
        <w:t xml:space="preserve"> in </w:t>
      </w:r>
      <w:r w:rsidR="009A6102">
        <w:rPr>
          <w:rFonts w:ascii="Times New Roman" w:eastAsia="Times New Roman" w:hAnsi="Times New Roman"/>
        </w:rPr>
        <w:t>2024</w:t>
      </w:r>
      <w:r>
        <w:rPr>
          <w:rFonts w:ascii="Times New Roman" w:eastAsia="Times New Roman" w:hAnsi="Times New Roman"/>
          <w:lang w:val="en-CA"/>
        </w:rPr>
        <w:t xml:space="preserve">. The amounts recognized in both periods were all interest income earned on the Company’s cash reserves. The company raised significant funds </w:t>
      </w:r>
      <w:r w:rsidR="009A6102">
        <w:rPr>
          <w:rFonts w:ascii="Times New Roman" w:eastAsia="Times New Roman" w:hAnsi="Times New Roman"/>
          <w:lang w:val="en-CA"/>
        </w:rPr>
        <w:t>between 2024 and</w:t>
      </w:r>
      <w:r>
        <w:rPr>
          <w:rFonts w:ascii="Times New Roman" w:eastAsia="Times New Roman" w:hAnsi="Times New Roman"/>
          <w:lang w:val="en-CA"/>
        </w:rPr>
        <w:t xml:space="preserve"> </w:t>
      </w:r>
      <w:r w:rsidR="00B96390">
        <w:rPr>
          <w:rFonts w:ascii="Times New Roman" w:eastAsia="Times New Roman" w:hAnsi="Times New Roman"/>
          <w:lang w:val="en-CA"/>
        </w:rPr>
        <w:t>2025</w:t>
      </w:r>
      <w:r>
        <w:rPr>
          <w:rFonts w:ascii="Times New Roman" w:eastAsia="Times New Roman" w:hAnsi="Times New Roman"/>
          <w:lang w:val="en-CA"/>
        </w:rPr>
        <w:t>.</w:t>
      </w:r>
    </w:p>
    <w:p w14:paraId="0C94EA73" w14:textId="246CB170" w:rsidR="009A6102" w:rsidRDefault="009A6102" w:rsidP="009A6102">
      <w:pPr>
        <w:widowControl/>
        <w:spacing w:after="120"/>
        <w:jc w:val="both"/>
        <w:rPr>
          <w:rFonts w:ascii="Times New Roman" w:eastAsia="Times New Roman" w:hAnsi="Times New Roman"/>
          <w:lang w:val="en-CA"/>
        </w:rPr>
      </w:pPr>
      <w:r>
        <w:rPr>
          <w:rFonts w:ascii="Times New Roman" w:eastAsia="Times New Roman" w:hAnsi="Times New Roman"/>
          <w:lang w:val="en-CA"/>
        </w:rPr>
        <w:t xml:space="preserve">Unrealized foreign exchange </w:t>
      </w:r>
      <w:r w:rsidR="0017362E">
        <w:rPr>
          <w:rFonts w:ascii="Times New Roman" w:eastAsia="Times New Roman" w:hAnsi="Times New Roman"/>
          <w:lang w:val="en-CA"/>
        </w:rPr>
        <w:t>gain</w:t>
      </w:r>
      <w:r>
        <w:rPr>
          <w:rFonts w:ascii="Times New Roman" w:eastAsia="Times New Roman" w:hAnsi="Times New Roman"/>
          <w:lang w:val="en-CA"/>
        </w:rPr>
        <w:t xml:space="preserve"> was $</w:t>
      </w:r>
      <w:r w:rsidR="0017362E">
        <w:rPr>
          <w:rFonts w:ascii="Times New Roman" w:eastAsia="Times New Roman" w:hAnsi="Times New Roman"/>
          <w:lang w:val="en-CA"/>
        </w:rPr>
        <w:t>192,911</w:t>
      </w:r>
      <w:r>
        <w:rPr>
          <w:rFonts w:ascii="Times New Roman" w:eastAsia="Times New Roman" w:hAnsi="Times New Roman"/>
          <w:lang w:val="en-CA"/>
        </w:rPr>
        <w:t xml:space="preserve"> in the period compared to nil in 2024. The unrealized foreign exchange </w:t>
      </w:r>
      <w:r w:rsidR="0017362E">
        <w:rPr>
          <w:rFonts w:ascii="Times New Roman" w:eastAsia="Times New Roman" w:hAnsi="Times New Roman"/>
          <w:lang w:val="en-CA"/>
        </w:rPr>
        <w:t>gain</w:t>
      </w:r>
      <w:r>
        <w:rPr>
          <w:rFonts w:ascii="Times New Roman" w:eastAsia="Times New Roman" w:hAnsi="Times New Roman"/>
          <w:lang w:val="en-CA"/>
        </w:rPr>
        <w:t xml:space="preserve"> is a result of the volatility of the US dollar during the period in relation to other currencies that the Company has in reserve.</w:t>
      </w:r>
    </w:p>
    <w:p w14:paraId="4F560255" w14:textId="77777777" w:rsidR="007B1F2F" w:rsidRPr="0017362E" w:rsidRDefault="007B1F2F" w:rsidP="0023210C">
      <w:pPr>
        <w:keepNext/>
        <w:widowControl/>
        <w:spacing w:after="40"/>
        <w:jc w:val="both"/>
        <w:outlineLvl w:val="0"/>
        <w:rPr>
          <w:rFonts w:ascii="Times New Roman" w:eastAsia="Times New Roman" w:hAnsi="Times New Roman"/>
          <w:b/>
          <w:i/>
          <w:lang w:val="en-CA"/>
        </w:rPr>
      </w:pPr>
    </w:p>
    <w:p w14:paraId="6D4DAFC6" w14:textId="522ACF0D" w:rsidR="007A2A34" w:rsidRDefault="004928E7" w:rsidP="0023210C">
      <w:pPr>
        <w:keepNext/>
        <w:widowControl/>
        <w:spacing w:after="40"/>
        <w:jc w:val="both"/>
        <w:outlineLvl w:val="0"/>
        <w:rPr>
          <w:rFonts w:ascii="Times New Roman" w:eastAsia="Times New Roman" w:hAnsi="Times New Roman"/>
          <w:b/>
          <w:i/>
        </w:rPr>
      </w:pPr>
      <w:r w:rsidRPr="00233B8E">
        <w:rPr>
          <w:rFonts w:ascii="Times New Roman" w:eastAsia="Times New Roman" w:hAnsi="Times New Roman"/>
          <w:b/>
          <w:i/>
        </w:rPr>
        <w:t>Explanation of Material Variations by Quarter for the Last Eight Quarters</w:t>
      </w:r>
    </w:p>
    <w:p w14:paraId="63398EEE" w14:textId="77777777" w:rsidR="003E4831" w:rsidRDefault="003E4831" w:rsidP="0023210C">
      <w:pPr>
        <w:widowControl/>
        <w:spacing w:after="60"/>
        <w:jc w:val="both"/>
        <w:outlineLvl w:val="0"/>
        <w:rPr>
          <w:rFonts w:ascii="Times New Roman" w:eastAsia="Times New Roman" w:hAnsi="Times New Roman"/>
          <w:i/>
          <w:u w:val="single"/>
        </w:rPr>
      </w:pPr>
    </w:p>
    <w:p w14:paraId="09BE0BCD" w14:textId="700C57E6" w:rsidR="00872406" w:rsidRPr="004A74E0" w:rsidRDefault="00872406" w:rsidP="00872406">
      <w:pPr>
        <w:widowControl/>
        <w:spacing w:after="60"/>
        <w:jc w:val="both"/>
        <w:outlineLvl w:val="0"/>
        <w:rPr>
          <w:rFonts w:ascii="Times New Roman" w:eastAsia="Times New Roman" w:hAnsi="Times New Roman"/>
          <w:i/>
          <w:u w:val="single"/>
        </w:rPr>
      </w:pPr>
      <w:r w:rsidRPr="004A74E0">
        <w:rPr>
          <w:rFonts w:ascii="Times New Roman" w:eastAsia="Times New Roman" w:hAnsi="Times New Roman"/>
          <w:i/>
          <w:u w:val="single"/>
        </w:rPr>
        <w:t>Q</w:t>
      </w:r>
      <w:r>
        <w:rPr>
          <w:rFonts w:ascii="Times New Roman" w:eastAsia="Times New Roman" w:hAnsi="Times New Roman"/>
          <w:i/>
          <w:u w:val="single"/>
        </w:rPr>
        <w:t>3</w:t>
      </w:r>
      <w:r w:rsidRPr="004A74E0">
        <w:rPr>
          <w:rFonts w:ascii="Times New Roman" w:eastAsia="Times New Roman" w:hAnsi="Times New Roman"/>
          <w:i/>
          <w:u w:val="single"/>
        </w:rPr>
        <w:t xml:space="preserve"> 2025 compared to Q</w:t>
      </w:r>
      <w:r>
        <w:rPr>
          <w:rFonts w:ascii="Times New Roman" w:eastAsia="Times New Roman" w:hAnsi="Times New Roman"/>
          <w:i/>
          <w:u w:val="single"/>
        </w:rPr>
        <w:t>2</w:t>
      </w:r>
      <w:r w:rsidRPr="004A74E0">
        <w:rPr>
          <w:rFonts w:ascii="Times New Roman" w:eastAsia="Times New Roman" w:hAnsi="Times New Roman"/>
          <w:i/>
          <w:u w:val="single"/>
        </w:rPr>
        <w:t xml:space="preserve"> 2025 </w:t>
      </w:r>
    </w:p>
    <w:p w14:paraId="5AD77703" w14:textId="12F414F6" w:rsidR="00872406" w:rsidRPr="004A74E0" w:rsidRDefault="00872406" w:rsidP="00872406">
      <w:pPr>
        <w:widowControl/>
        <w:spacing w:after="80"/>
        <w:jc w:val="both"/>
        <w:rPr>
          <w:rFonts w:ascii="Times New Roman" w:eastAsia="Times New Roman" w:hAnsi="Times New Roman"/>
        </w:rPr>
      </w:pPr>
      <w:r w:rsidRPr="004A74E0">
        <w:rPr>
          <w:rFonts w:ascii="Times New Roman" w:eastAsia="Times New Roman" w:hAnsi="Times New Roman"/>
        </w:rPr>
        <w:t>Net loss for Q</w:t>
      </w:r>
      <w:r>
        <w:rPr>
          <w:rFonts w:ascii="Times New Roman" w:eastAsia="Times New Roman" w:hAnsi="Times New Roman"/>
        </w:rPr>
        <w:t>3</w:t>
      </w:r>
      <w:r w:rsidRPr="004A74E0">
        <w:rPr>
          <w:rFonts w:ascii="Times New Roman" w:eastAsia="Times New Roman" w:hAnsi="Times New Roman"/>
        </w:rPr>
        <w:t xml:space="preserve"> 2025 was $</w:t>
      </w:r>
      <w:r>
        <w:rPr>
          <w:rFonts w:ascii="Times New Roman" w:eastAsia="Times New Roman" w:hAnsi="Times New Roman"/>
        </w:rPr>
        <w:t>9,369,714</w:t>
      </w:r>
      <w:r w:rsidRPr="004A74E0">
        <w:rPr>
          <w:rFonts w:ascii="Times New Roman" w:eastAsia="Times New Roman" w:hAnsi="Times New Roman"/>
        </w:rPr>
        <w:t xml:space="preserve"> compared to net </w:t>
      </w:r>
      <w:r>
        <w:rPr>
          <w:rFonts w:ascii="Times New Roman" w:eastAsia="Times New Roman" w:hAnsi="Times New Roman"/>
        </w:rPr>
        <w:t>loss</w:t>
      </w:r>
      <w:r w:rsidRPr="004A74E0">
        <w:rPr>
          <w:rFonts w:ascii="Times New Roman" w:eastAsia="Times New Roman" w:hAnsi="Times New Roman"/>
        </w:rPr>
        <w:t xml:space="preserve"> of $</w:t>
      </w:r>
      <w:r>
        <w:rPr>
          <w:rFonts w:ascii="Times New Roman" w:eastAsia="Times New Roman" w:hAnsi="Times New Roman"/>
        </w:rPr>
        <w:t>17,263,375</w:t>
      </w:r>
      <w:r w:rsidRPr="004A74E0">
        <w:rPr>
          <w:rFonts w:ascii="Times New Roman" w:eastAsia="Times New Roman" w:hAnsi="Times New Roman"/>
        </w:rPr>
        <w:t xml:space="preserve"> in Q</w:t>
      </w:r>
      <w:r>
        <w:rPr>
          <w:rFonts w:ascii="Times New Roman" w:eastAsia="Times New Roman" w:hAnsi="Times New Roman"/>
        </w:rPr>
        <w:t>2</w:t>
      </w:r>
      <w:r w:rsidRPr="004A74E0">
        <w:rPr>
          <w:rFonts w:ascii="Times New Roman" w:eastAsia="Times New Roman" w:hAnsi="Times New Roman"/>
        </w:rPr>
        <w:t xml:space="preserve"> 2025 a decrease of $</w:t>
      </w:r>
      <w:r w:rsidR="00C54A46">
        <w:rPr>
          <w:rFonts w:ascii="Times New Roman" w:eastAsia="Times New Roman" w:hAnsi="Times New Roman"/>
        </w:rPr>
        <w:t>7,893,661</w:t>
      </w:r>
      <w:r w:rsidRPr="004A74E0">
        <w:rPr>
          <w:rFonts w:ascii="Times New Roman" w:eastAsia="Times New Roman" w:hAnsi="Times New Roman"/>
        </w:rPr>
        <w:t>.  The following discusses the significant variances between Q</w:t>
      </w:r>
      <w:r w:rsidR="00C54A46">
        <w:rPr>
          <w:rFonts w:ascii="Times New Roman" w:eastAsia="Times New Roman" w:hAnsi="Times New Roman"/>
        </w:rPr>
        <w:t>3</w:t>
      </w:r>
      <w:r w:rsidRPr="004A74E0">
        <w:rPr>
          <w:rFonts w:ascii="Times New Roman" w:eastAsia="Times New Roman" w:hAnsi="Times New Roman"/>
        </w:rPr>
        <w:t xml:space="preserve"> 2025 and Q</w:t>
      </w:r>
      <w:r w:rsidR="00C54A46">
        <w:rPr>
          <w:rFonts w:ascii="Times New Roman" w:eastAsia="Times New Roman" w:hAnsi="Times New Roman"/>
        </w:rPr>
        <w:t>2</w:t>
      </w:r>
      <w:r w:rsidRPr="004A74E0">
        <w:rPr>
          <w:rFonts w:ascii="Times New Roman" w:eastAsia="Times New Roman" w:hAnsi="Times New Roman"/>
        </w:rPr>
        <w:t xml:space="preserve"> 2025.</w:t>
      </w:r>
    </w:p>
    <w:p w14:paraId="05379AFF" w14:textId="26383486" w:rsidR="00872406" w:rsidRPr="004A74E0" w:rsidRDefault="00872406" w:rsidP="00872406">
      <w:pPr>
        <w:widowControl/>
        <w:spacing w:after="120"/>
        <w:jc w:val="both"/>
        <w:rPr>
          <w:rFonts w:ascii="Times New Roman" w:eastAsia="Times New Roman" w:hAnsi="Times New Roman"/>
        </w:rPr>
      </w:pPr>
      <w:r w:rsidRPr="004A74E0">
        <w:rPr>
          <w:rFonts w:ascii="Times New Roman" w:hAnsi="Times New Roman"/>
          <w:color w:val="000000" w:themeColor="text1"/>
          <w:lang w:val="en-CA"/>
        </w:rPr>
        <w:t xml:space="preserve">Professional fees </w:t>
      </w:r>
      <w:r w:rsidR="00C54A46">
        <w:rPr>
          <w:rFonts w:ascii="Times New Roman" w:hAnsi="Times New Roman"/>
          <w:color w:val="000000" w:themeColor="text1"/>
          <w:lang w:val="en-CA"/>
        </w:rPr>
        <w:t>decreased</w:t>
      </w:r>
      <w:r w:rsidRPr="004A74E0">
        <w:rPr>
          <w:rFonts w:ascii="Times New Roman" w:hAnsi="Times New Roman"/>
          <w:color w:val="000000" w:themeColor="text1"/>
          <w:lang w:val="en-CA"/>
        </w:rPr>
        <w:t xml:space="preserve"> by $</w:t>
      </w:r>
      <w:r w:rsidR="00C54A46">
        <w:rPr>
          <w:rFonts w:ascii="Times New Roman" w:hAnsi="Times New Roman"/>
          <w:color w:val="000000" w:themeColor="text1"/>
          <w:lang w:val="en-CA"/>
        </w:rPr>
        <w:t>191,170</w:t>
      </w:r>
      <w:r w:rsidRPr="004A74E0">
        <w:rPr>
          <w:rFonts w:ascii="Times New Roman" w:hAnsi="Times New Roman"/>
          <w:color w:val="000000" w:themeColor="text1"/>
          <w:lang w:val="en-CA"/>
        </w:rPr>
        <w:t xml:space="preserve"> (</w:t>
      </w:r>
      <w:r w:rsidR="00C54A46">
        <w:rPr>
          <w:rFonts w:ascii="Times New Roman" w:hAnsi="Times New Roman"/>
          <w:color w:val="000000" w:themeColor="text1"/>
          <w:lang w:val="en-CA"/>
        </w:rPr>
        <w:t>69</w:t>
      </w:r>
      <w:r w:rsidRPr="004A74E0">
        <w:rPr>
          <w:rFonts w:ascii="Times New Roman" w:hAnsi="Times New Roman"/>
          <w:color w:val="000000" w:themeColor="text1"/>
          <w:lang w:val="en-CA"/>
        </w:rPr>
        <w:t>%) to $</w:t>
      </w:r>
      <w:r w:rsidR="00C54A46">
        <w:rPr>
          <w:rFonts w:ascii="Times New Roman" w:hAnsi="Times New Roman"/>
          <w:color w:val="000000" w:themeColor="text1"/>
          <w:lang w:val="en-CA"/>
        </w:rPr>
        <w:t>371,413</w:t>
      </w:r>
      <w:r w:rsidRPr="004A74E0">
        <w:rPr>
          <w:rFonts w:ascii="Times New Roman" w:hAnsi="Times New Roman"/>
          <w:color w:val="000000" w:themeColor="text1"/>
          <w:lang w:val="en-CA"/>
        </w:rPr>
        <w:t xml:space="preserve"> in </w:t>
      </w:r>
      <w:r w:rsidR="00C54A46">
        <w:rPr>
          <w:rFonts w:ascii="Times New Roman" w:hAnsi="Times New Roman"/>
          <w:color w:val="000000" w:themeColor="text1"/>
          <w:lang w:val="en-CA"/>
        </w:rPr>
        <w:t>Q3 2025</w:t>
      </w:r>
      <w:r w:rsidRPr="004A74E0">
        <w:rPr>
          <w:rFonts w:ascii="Times New Roman" w:hAnsi="Times New Roman"/>
          <w:color w:val="000000" w:themeColor="text1"/>
          <w:lang w:val="en-CA"/>
        </w:rPr>
        <w:t xml:space="preserve"> from $</w:t>
      </w:r>
      <w:r w:rsidR="00C54A46">
        <w:rPr>
          <w:rFonts w:ascii="Times New Roman" w:hAnsi="Times New Roman"/>
          <w:color w:val="000000" w:themeColor="text1"/>
          <w:lang w:val="en-CA"/>
        </w:rPr>
        <w:t>562,583</w:t>
      </w:r>
      <w:r w:rsidRPr="004A74E0">
        <w:rPr>
          <w:rFonts w:ascii="Times New Roman" w:hAnsi="Times New Roman"/>
          <w:color w:val="000000" w:themeColor="text1"/>
          <w:lang w:val="en-CA"/>
        </w:rPr>
        <w:t xml:space="preserve"> in </w:t>
      </w:r>
      <w:r w:rsidR="00C54A46">
        <w:rPr>
          <w:rFonts w:ascii="Times New Roman" w:hAnsi="Times New Roman"/>
          <w:color w:val="000000" w:themeColor="text1"/>
          <w:lang w:val="en-CA"/>
        </w:rPr>
        <w:t>Q2 2025</w:t>
      </w:r>
      <w:r w:rsidRPr="004A74E0">
        <w:rPr>
          <w:rFonts w:ascii="Times New Roman" w:hAnsi="Times New Roman"/>
          <w:color w:val="000000" w:themeColor="text1"/>
          <w:lang w:val="en-CA"/>
        </w:rPr>
        <w:t xml:space="preserve">. Professional fees in </w:t>
      </w:r>
      <w:r w:rsidR="00C54A46">
        <w:rPr>
          <w:rFonts w:ascii="Times New Roman" w:hAnsi="Times New Roman"/>
          <w:color w:val="000000" w:themeColor="text1"/>
          <w:lang w:val="en-CA"/>
        </w:rPr>
        <w:t>Q2 2025</w:t>
      </w:r>
      <w:r w:rsidRPr="004A74E0">
        <w:rPr>
          <w:rFonts w:ascii="Times New Roman" w:hAnsi="Times New Roman"/>
          <w:color w:val="000000" w:themeColor="text1"/>
          <w:lang w:val="en-CA"/>
        </w:rPr>
        <w:t xml:space="preserve"> included the cost of the 2024 year</w:t>
      </w:r>
      <w:r w:rsidR="00C54A46">
        <w:rPr>
          <w:rFonts w:ascii="Times New Roman" w:hAnsi="Times New Roman"/>
          <w:color w:val="000000" w:themeColor="text1"/>
          <w:lang w:val="en-CA"/>
        </w:rPr>
        <w:t>-</w:t>
      </w:r>
      <w:r w:rsidRPr="004A74E0">
        <w:rPr>
          <w:rFonts w:ascii="Times New Roman" w:hAnsi="Times New Roman"/>
          <w:color w:val="000000" w:themeColor="text1"/>
          <w:lang w:val="en-CA"/>
        </w:rPr>
        <w:t xml:space="preserve">end audit which was paid during </w:t>
      </w:r>
      <w:r w:rsidR="00C54A46">
        <w:rPr>
          <w:rFonts w:ascii="Times New Roman" w:hAnsi="Times New Roman"/>
          <w:color w:val="000000" w:themeColor="text1"/>
          <w:lang w:val="en-CA"/>
        </w:rPr>
        <w:t>Q2 2025</w:t>
      </w:r>
      <w:r w:rsidRPr="004A74E0">
        <w:rPr>
          <w:rFonts w:ascii="Times New Roman" w:hAnsi="Times New Roman"/>
          <w:color w:val="000000" w:themeColor="text1"/>
          <w:lang w:val="en-CA"/>
        </w:rPr>
        <w:t>. The Company’s audit fee also included additional costs related to the audit and acquisition of SPX.</w:t>
      </w:r>
      <w:r w:rsidRPr="004A74E0">
        <w:rPr>
          <w:rFonts w:ascii="Times New Roman" w:eastAsia="Times New Roman" w:hAnsi="Times New Roman"/>
        </w:rPr>
        <w:t xml:space="preserve"> </w:t>
      </w:r>
    </w:p>
    <w:p w14:paraId="15CE7FE9" w14:textId="2D6946CB" w:rsidR="00872406" w:rsidRPr="004A74E0" w:rsidRDefault="00872406" w:rsidP="00872406">
      <w:pPr>
        <w:widowControl/>
        <w:spacing w:after="120"/>
        <w:jc w:val="both"/>
        <w:rPr>
          <w:rFonts w:ascii="Times New Roman" w:eastAsia="Times New Roman" w:hAnsi="Times New Roman"/>
        </w:rPr>
      </w:pPr>
      <w:r w:rsidRPr="004A74E0">
        <w:rPr>
          <w:rFonts w:ascii="Times New Roman" w:eastAsia="Times New Roman" w:hAnsi="Times New Roman"/>
        </w:rPr>
        <w:t>Non-cash stock-based compensation increased by $</w:t>
      </w:r>
      <w:r w:rsidR="00C54A46">
        <w:rPr>
          <w:rFonts w:ascii="Times New Roman" w:eastAsia="Times New Roman" w:hAnsi="Times New Roman"/>
        </w:rPr>
        <w:t>699,107</w:t>
      </w:r>
      <w:r w:rsidRPr="004A74E0">
        <w:rPr>
          <w:rFonts w:ascii="Times New Roman" w:eastAsia="Times New Roman" w:hAnsi="Times New Roman"/>
        </w:rPr>
        <w:t xml:space="preserve"> (</w:t>
      </w:r>
      <w:r w:rsidR="00C54A46">
        <w:rPr>
          <w:rFonts w:ascii="Times New Roman" w:eastAsia="Times New Roman" w:hAnsi="Times New Roman"/>
        </w:rPr>
        <w:t>83</w:t>
      </w:r>
      <w:r w:rsidRPr="004A74E0">
        <w:rPr>
          <w:rFonts w:ascii="Times New Roman" w:eastAsia="Times New Roman" w:hAnsi="Times New Roman"/>
        </w:rPr>
        <w:t>%) to $</w:t>
      </w:r>
      <w:r w:rsidR="00C54A46">
        <w:rPr>
          <w:rFonts w:ascii="Times New Roman" w:eastAsia="Times New Roman" w:hAnsi="Times New Roman"/>
        </w:rPr>
        <w:t>1,864,589</w:t>
      </w:r>
      <w:r w:rsidRPr="004A74E0">
        <w:rPr>
          <w:rFonts w:ascii="Times New Roman" w:eastAsia="Times New Roman" w:hAnsi="Times New Roman"/>
        </w:rPr>
        <w:t xml:space="preserve"> in </w:t>
      </w:r>
      <w:r w:rsidR="00C54A46">
        <w:rPr>
          <w:rFonts w:ascii="Times New Roman" w:eastAsia="Times New Roman" w:hAnsi="Times New Roman"/>
        </w:rPr>
        <w:t>Q3 2025</w:t>
      </w:r>
      <w:r w:rsidRPr="004A74E0">
        <w:rPr>
          <w:rFonts w:ascii="Times New Roman" w:eastAsia="Times New Roman" w:hAnsi="Times New Roman"/>
        </w:rPr>
        <w:t xml:space="preserve"> from $</w:t>
      </w:r>
      <w:r w:rsidR="00C54A46" w:rsidRPr="004A74E0">
        <w:rPr>
          <w:rFonts w:ascii="Times New Roman" w:eastAsia="Times New Roman" w:hAnsi="Times New Roman"/>
        </w:rPr>
        <w:t>1,165,482</w:t>
      </w:r>
      <w:r w:rsidRPr="004A74E0">
        <w:rPr>
          <w:rFonts w:ascii="Times New Roman" w:eastAsia="Times New Roman" w:hAnsi="Times New Roman"/>
        </w:rPr>
        <w:t xml:space="preserve"> in </w:t>
      </w:r>
      <w:r w:rsidR="00C54A46">
        <w:rPr>
          <w:rFonts w:ascii="Times New Roman" w:eastAsia="Times New Roman" w:hAnsi="Times New Roman"/>
        </w:rPr>
        <w:t>Q2 2025</w:t>
      </w:r>
      <w:r w:rsidRPr="004A74E0">
        <w:rPr>
          <w:rFonts w:ascii="Times New Roman" w:eastAsia="Times New Roman" w:hAnsi="Times New Roman"/>
        </w:rPr>
        <w:t xml:space="preserve">. The valuation of stock options is driven by </w:t>
      </w:r>
      <w:proofErr w:type="gramStart"/>
      <w:r w:rsidRPr="004A74E0">
        <w:rPr>
          <w:rFonts w:ascii="Times New Roman" w:eastAsia="Times New Roman" w:hAnsi="Times New Roman"/>
        </w:rPr>
        <w:t>a number of</w:t>
      </w:r>
      <w:proofErr w:type="gramEnd"/>
      <w:r w:rsidRPr="004A74E0">
        <w:rPr>
          <w:rFonts w:ascii="Times New Roman" w:eastAsia="Times New Roman" w:hAnsi="Times New Roman"/>
        </w:rPr>
        <w:t xml:space="preserve"> factors including the number of options granted, the strike price and the volatility of the Company’s stock. The stock option expense is dependent on the timing of the stock option grant and the amortization of the options as they vest. The stock options vest in accordance with the policies determined by the Board of Directors at the time of the grant consistent with the provisions of the Plan.</w:t>
      </w:r>
    </w:p>
    <w:p w14:paraId="2E0DC2D8" w14:textId="35BD0CC3" w:rsidR="00872406" w:rsidRDefault="00872406" w:rsidP="00872406">
      <w:pPr>
        <w:widowControl/>
        <w:spacing w:after="120"/>
        <w:jc w:val="both"/>
        <w:rPr>
          <w:rFonts w:ascii="Times New Roman" w:eastAsia="Times New Roman" w:hAnsi="Times New Roman"/>
        </w:rPr>
      </w:pPr>
      <w:r w:rsidRPr="004A74E0">
        <w:rPr>
          <w:rFonts w:ascii="Times New Roman" w:eastAsia="Times New Roman" w:hAnsi="Times New Roman"/>
        </w:rPr>
        <w:t>Finance advisory fees increased by $</w:t>
      </w:r>
      <w:r w:rsidR="00C54A46">
        <w:rPr>
          <w:rFonts w:ascii="Times New Roman" w:eastAsia="Times New Roman" w:hAnsi="Times New Roman"/>
        </w:rPr>
        <w:t>513,808</w:t>
      </w:r>
      <w:r w:rsidRPr="004A74E0">
        <w:rPr>
          <w:rFonts w:ascii="Times New Roman" w:eastAsia="Times New Roman" w:hAnsi="Times New Roman"/>
        </w:rPr>
        <w:t xml:space="preserve"> (</w:t>
      </w:r>
      <w:r w:rsidR="00C54A46">
        <w:rPr>
          <w:rFonts w:ascii="Times New Roman" w:eastAsia="Times New Roman" w:hAnsi="Times New Roman"/>
        </w:rPr>
        <w:t>108</w:t>
      </w:r>
      <w:r w:rsidRPr="004A74E0">
        <w:rPr>
          <w:rFonts w:ascii="Times New Roman" w:eastAsia="Times New Roman" w:hAnsi="Times New Roman"/>
        </w:rPr>
        <w:t>%) from $</w:t>
      </w:r>
      <w:r w:rsidR="00C54A46">
        <w:rPr>
          <w:rFonts w:ascii="Times New Roman" w:eastAsia="Times New Roman" w:hAnsi="Times New Roman"/>
        </w:rPr>
        <w:t>1,302,464</w:t>
      </w:r>
      <w:r w:rsidRPr="004A74E0">
        <w:rPr>
          <w:rFonts w:ascii="Times New Roman" w:eastAsia="Times New Roman" w:hAnsi="Times New Roman"/>
        </w:rPr>
        <w:t xml:space="preserve"> in </w:t>
      </w:r>
      <w:r w:rsidR="00C54A46">
        <w:rPr>
          <w:rFonts w:ascii="Times New Roman" w:eastAsia="Times New Roman" w:hAnsi="Times New Roman"/>
        </w:rPr>
        <w:t>Q2 2025</w:t>
      </w:r>
      <w:r w:rsidRPr="004A74E0">
        <w:rPr>
          <w:rFonts w:ascii="Times New Roman" w:eastAsia="Times New Roman" w:hAnsi="Times New Roman"/>
        </w:rPr>
        <w:t xml:space="preserve"> to $</w:t>
      </w:r>
      <w:r w:rsidR="00C54A46">
        <w:rPr>
          <w:rFonts w:ascii="Times New Roman" w:eastAsia="Times New Roman" w:hAnsi="Times New Roman"/>
        </w:rPr>
        <w:t>1,816,272</w:t>
      </w:r>
      <w:r w:rsidRPr="004A74E0">
        <w:rPr>
          <w:rFonts w:ascii="Times New Roman" w:eastAsia="Times New Roman" w:hAnsi="Times New Roman"/>
        </w:rPr>
        <w:t xml:space="preserve"> in </w:t>
      </w:r>
      <w:r w:rsidR="00C54A46">
        <w:rPr>
          <w:rFonts w:ascii="Times New Roman" w:eastAsia="Times New Roman" w:hAnsi="Times New Roman"/>
        </w:rPr>
        <w:t>Q3 2025</w:t>
      </w:r>
      <w:r w:rsidRPr="004A74E0">
        <w:rPr>
          <w:rFonts w:ascii="Times New Roman" w:eastAsia="Times New Roman" w:hAnsi="Times New Roman"/>
        </w:rPr>
        <w:t xml:space="preserve">. The finance advisory fees </w:t>
      </w:r>
      <w:r>
        <w:rPr>
          <w:rFonts w:ascii="Times New Roman" w:eastAsia="Times New Roman" w:hAnsi="Times New Roman"/>
        </w:rPr>
        <w:t>are paid</w:t>
      </w:r>
      <w:r w:rsidRPr="004A74E0">
        <w:rPr>
          <w:rFonts w:ascii="Times New Roman" w:eastAsia="Times New Roman" w:hAnsi="Times New Roman"/>
        </w:rPr>
        <w:t xml:space="preserve"> to a firm assisting the Company on financial and strategic matters. The firm’s guidance contributed to the Company’s capital raise success in 2025 of $55 million.  </w:t>
      </w:r>
    </w:p>
    <w:p w14:paraId="4E4314A2" w14:textId="46B32046" w:rsidR="00CC411C" w:rsidRDefault="00CC411C" w:rsidP="00CC411C">
      <w:pPr>
        <w:widowControl/>
        <w:spacing w:after="120"/>
        <w:jc w:val="both"/>
        <w:rPr>
          <w:rFonts w:ascii="Times New Roman" w:eastAsia="Times New Roman" w:hAnsi="Times New Roman"/>
        </w:rPr>
      </w:pPr>
      <w:r>
        <w:rPr>
          <w:rFonts w:ascii="Times New Roman" w:eastAsia="Times New Roman" w:hAnsi="Times New Roman"/>
        </w:rPr>
        <w:t>General expense and rent decreased by $512,660 (57%) to $497,118 in Q3 2025 from $1,009,778 in Q2 2025. During Q2 2025, the Company increased its investor relations and marketing initiatives over prior periods. The Company engaged a new firm to assist with these services in Q2 2025. The Company did not initiate any new programs in Q3 2025 but maintained its normal investor outreach programs.</w:t>
      </w:r>
    </w:p>
    <w:p w14:paraId="60F8B0F5" w14:textId="037EC0A7" w:rsidR="00872406" w:rsidRPr="004A74E0" w:rsidRDefault="00872406" w:rsidP="00872406">
      <w:pPr>
        <w:widowControl/>
        <w:spacing w:after="120"/>
        <w:jc w:val="both"/>
        <w:rPr>
          <w:rFonts w:ascii="Times New Roman" w:eastAsia="Times New Roman" w:hAnsi="Times New Roman"/>
        </w:rPr>
      </w:pPr>
      <w:r w:rsidRPr="004A74E0">
        <w:rPr>
          <w:rFonts w:ascii="Times New Roman" w:eastAsia="Times New Roman" w:hAnsi="Times New Roman"/>
        </w:rPr>
        <w:t xml:space="preserve">The Company issued warrants which are exercisable in a foreign currency in 2023 and throughout 2024. The issuance of those warrants created a derivative liability which is periodically remeasured and adjusted to reflect the fair value of the warrants. The Company had a non-cash </w:t>
      </w:r>
      <w:r w:rsidR="00CC411C">
        <w:rPr>
          <w:rFonts w:ascii="Times New Roman" w:eastAsia="Times New Roman" w:hAnsi="Times New Roman"/>
        </w:rPr>
        <w:t>loss</w:t>
      </w:r>
      <w:r w:rsidRPr="004A74E0">
        <w:rPr>
          <w:rFonts w:ascii="Times New Roman" w:eastAsia="Times New Roman" w:hAnsi="Times New Roman"/>
        </w:rPr>
        <w:t xml:space="preserve"> of $</w:t>
      </w:r>
      <w:r w:rsidR="00CC411C">
        <w:rPr>
          <w:rFonts w:ascii="Times New Roman" w:eastAsia="Times New Roman" w:hAnsi="Times New Roman"/>
        </w:rPr>
        <w:t>7,559,991</w:t>
      </w:r>
      <w:r w:rsidRPr="004A74E0">
        <w:rPr>
          <w:rFonts w:ascii="Times New Roman" w:eastAsia="Times New Roman" w:hAnsi="Times New Roman"/>
        </w:rPr>
        <w:t xml:space="preserve"> during </w:t>
      </w:r>
      <w:r w:rsidR="00C54A46">
        <w:rPr>
          <w:rFonts w:ascii="Times New Roman" w:eastAsia="Times New Roman" w:hAnsi="Times New Roman"/>
        </w:rPr>
        <w:t>Q2 2025</w:t>
      </w:r>
      <w:r w:rsidRPr="004A74E0">
        <w:rPr>
          <w:rFonts w:ascii="Times New Roman" w:eastAsia="Times New Roman" w:hAnsi="Times New Roman"/>
        </w:rPr>
        <w:t xml:space="preserve">. In </w:t>
      </w:r>
      <w:r w:rsidR="00C54A46">
        <w:rPr>
          <w:rFonts w:ascii="Times New Roman" w:eastAsia="Times New Roman" w:hAnsi="Times New Roman"/>
        </w:rPr>
        <w:t>Q3 2025</w:t>
      </w:r>
      <w:r w:rsidRPr="004A74E0">
        <w:rPr>
          <w:rFonts w:ascii="Times New Roman" w:eastAsia="Times New Roman" w:hAnsi="Times New Roman"/>
        </w:rPr>
        <w:t>, the Company had a non-cash loss of $</w:t>
      </w:r>
      <w:r w:rsidR="00CC411C">
        <w:rPr>
          <w:rFonts w:ascii="Times New Roman" w:eastAsia="Times New Roman" w:hAnsi="Times New Roman"/>
        </w:rPr>
        <w:t>2,414,223</w:t>
      </w:r>
      <w:r w:rsidRPr="004A74E0">
        <w:rPr>
          <w:rFonts w:ascii="Times New Roman" w:eastAsia="Times New Roman" w:hAnsi="Times New Roman"/>
        </w:rPr>
        <w:t xml:space="preserve"> from its adjustment, which represents a decrease of $</w:t>
      </w:r>
      <w:r w:rsidR="00CC411C">
        <w:rPr>
          <w:rFonts w:ascii="Times New Roman" w:eastAsia="Times New Roman" w:hAnsi="Times New Roman"/>
        </w:rPr>
        <w:t>5,145,768</w:t>
      </w:r>
      <w:r w:rsidRPr="004A74E0">
        <w:rPr>
          <w:rFonts w:ascii="Times New Roman" w:eastAsia="Times New Roman" w:hAnsi="Times New Roman"/>
        </w:rPr>
        <w:t xml:space="preserve"> from </w:t>
      </w:r>
      <w:r w:rsidR="00C54A46">
        <w:rPr>
          <w:rFonts w:ascii="Times New Roman" w:eastAsia="Times New Roman" w:hAnsi="Times New Roman"/>
        </w:rPr>
        <w:t>Q2 2025</w:t>
      </w:r>
      <w:r w:rsidRPr="004A74E0">
        <w:rPr>
          <w:rFonts w:ascii="Times New Roman" w:eastAsia="Times New Roman" w:hAnsi="Times New Roman"/>
        </w:rPr>
        <w:t>. The change in the derivative liability adjustment is affected by the Company’s stock price at each reporting date.</w:t>
      </w:r>
    </w:p>
    <w:p w14:paraId="3FA994B3" w14:textId="6D1D369E" w:rsidR="00872406" w:rsidRDefault="00872406" w:rsidP="00872406">
      <w:pPr>
        <w:widowControl/>
        <w:spacing w:after="120"/>
        <w:jc w:val="both"/>
        <w:rPr>
          <w:rFonts w:ascii="Times New Roman" w:eastAsia="Times New Roman" w:hAnsi="Times New Roman"/>
          <w:lang w:val="en-CA"/>
        </w:rPr>
      </w:pPr>
      <w:r>
        <w:rPr>
          <w:rFonts w:ascii="Times New Roman" w:eastAsia="Times New Roman" w:hAnsi="Times New Roman"/>
          <w:lang w:val="en-CA"/>
        </w:rPr>
        <w:t xml:space="preserve">Unrealized foreign exchange loss was $1,448,691 in </w:t>
      </w:r>
      <w:r w:rsidR="00C54A46">
        <w:rPr>
          <w:rFonts w:ascii="Times New Roman" w:eastAsia="Times New Roman" w:hAnsi="Times New Roman"/>
          <w:lang w:val="en-CA"/>
        </w:rPr>
        <w:t>Q</w:t>
      </w:r>
      <w:r w:rsidR="00CC411C">
        <w:rPr>
          <w:rFonts w:ascii="Times New Roman" w:eastAsia="Times New Roman" w:hAnsi="Times New Roman"/>
          <w:lang w:val="en-CA"/>
        </w:rPr>
        <w:t>2</w:t>
      </w:r>
      <w:r w:rsidR="00C54A46">
        <w:rPr>
          <w:rFonts w:ascii="Times New Roman" w:eastAsia="Times New Roman" w:hAnsi="Times New Roman"/>
          <w:lang w:val="en-CA"/>
        </w:rPr>
        <w:t xml:space="preserve"> 2025</w:t>
      </w:r>
      <w:r>
        <w:rPr>
          <w:rFonts w:ascii="Times New Roman" w:eastAsia="Times New Roman" w:hAnsi="Times New Roman"/>
          <w:lang w:val="en-CA"/>
        </w:rPr>
        <w:t xml:space="preserve"> compared to </w:t>
      </w:r>
      <w:r w:rsidR="00CC411C">
        <w:rPr>
          <w:rFonts w:ascii="Times New Roman" w:eastAsia="Times New Roman" w:hAnsi="Times New Roman"/>
          <w:lang w:val="en-CA"/>
        </w:rPr>
        <w:t>gain of $1,641,602 in Q3 2025</w:t>
      </w:r>
      <w:r>
        <w:rPr>
          <w:rFonts w:ascii="Times New Roman" w:eastAsia="Times New Roman" w:hAnsi="Times New Roman"/>
          <w:lang w:val="en-CA"/>
        </w:rPr>
        <w:t>. The unrealized foreign exchange loss is a result of the volatility of the US dollar during the period in relation to other currencies that the Company has in reserve.</w:t>
      </w:r>
    </w:p>
    <w:p w14:paraId="20A3C9E5" w14:textId="1A48EB31" w:rsidR="00CC411C" w:rsidRDefault="00CC411C" w:rsidP="00CC411C">
      <w:pPr>
        <w:widowControl/>
        <w:spacing w:after="120"/>
        <w:jc w:val="both"/>
        <w:rPr>
          <w:rFonts w:ascii="Times New Roman" w:eastAsia="Times New Roman" w:hAnsi="Times New Roman"/>
          <w:lang w:val="en-CA"/>
        </w:rPr>
      </w:pPr>
      <w:r>
        <w:rPr>
          <w:rFonts w:ascii="Times New Roman" w:eastAsia="Times New Roman" w:hAnsi="Times New Roman"/>
        </w:rPr>
        <w:t>Other income, including interest increased by $455,699 (86%) to $989,007 in Q3 2025 from $</w:t>
      </w:r>
      <w:r w:rsidR="00DF14EE">
        <w:rPr>
          <w:rFonts w:ascii="Times New Roman" w:eastAsia="Times New Roman" w:hAnsi="Times New Roman"/>
        </w:rPr>
        <w:t>533,308</w:t>
      </w:r>
      <w:r>
        <w:rPr>
          <w:rFonts w:ascii="Times New Roman" w:eastAsia="Times New Roman" w:hAnsi="Times New Roman"/>
        </w:rPr>
        <w:t xml:space="preserve"> in Q2 2025</w:t>
      </w:r>
      <w:r>
        <w:rPr>
          <w:rFonts w:ascii="Times New Roman" w:eastAsia="Times New Roman" w:hAnsi="Times New Roman"/>
          <w:lang w:val="en-CA"/>
        </w:rPr>
        <w:t>. The amounts recognized in both periods were all interest income earned on the Company’s cash reserves. The company raised significant funds between 2024 and 2025.</w:t>
      </w:r>
    </w:p>
    <w:p w14:paraId="01135043" w14:textId="3D392B7F" w:rsidR="009A6102" w:rsidRPr="004A74E0" w:rsidRDefault="009A6102" w:rsidP="009A6102">
      <w:pPr>
        <w:widowControl/>
        <w:spacing w:after="60"/>
        <w:jc w:val="both"/>
        <w:outlineLvl w:val="0"/>
        <w:rPr>
          <w:rFonts w:ascii="Times New Roman" w:eastAsia="Times New Roman" w:hAnsi="Times New Roman"/>
          <w:i/>
          <w:u w:val="single"/>
        </w:rPr>
      </w:pPr>
      <w:r w:rsidRPr="004A74E0">
        <w:rPr>
          <w:rFonts w:ascii="Times New Roman" w:eastAsia="Times New Roman" w:hAnsi="Times New Roman"/>
          <w:i/>
          <w:u w:val="single"/>
        </w:rPr>
        <w:lastRenderedPageBreak/>
        <w:t>Q</w:t>
      </w:r>
      <w:r w:rsidR="00837EED" w:rsidRPr="004A74E0">
        <w:rPr>
          <w:rFonts w:ascii="Times New Roman" w:eastAsia="Times New Roman" w:hAnsi="Times New Roman"/>
          <w:i/>
          <w:u w:val="single"/>
        </w:rPr>
        <w:t>2</w:t>
      </w:r>
      <w:r w:rsidRPr="004A74E0">
        <w:rPr>
          <w:rFonts w:ascii="Times New Roman" w:eastAsia="Times New Roman" w:hAnsi="Times New Roman"/>
          <w:i/>
          <w:u w:val="single"/>
        </w:rPr>
        <w:t xml:space="preserve"> 2025 compared to Q</w:t>
      </w:r>
      <w:r w:rsidR="00837EED" w:rsidRPr="004A74E0">
        <w:rPr>
          <w:rFonts w:ascii="Times New Roman" w:eastAsia="Times New Roman" w:hAnsi="Times New Roman"/>
          <w:i/>
          <w:u w:val="single"/>
        </w:rPr>
        <w:t>1 2025</w:t>
      </w:r>
      <w:r w:rsidRPr="004A74E0">
        <w:rPr>
          <w:rFonts w:ascii="Times New Roman" w:eastAsia="Times New Roman" w:hAnsi="Times New Roman"/>
          <w:i/>
          <w:u w:val="single"/>
        </w:rPr>
        <w:t xml:space="preserve"> </w:t>
      </w:r>
    </w:p>
    <w:p w14:paraId="5CFABB4F" w14:textId="7166A777" w:rsidR="009A6102" w:rsidRPr="004A74E0" w:rsidRDefault="009A6102" w:rsidP="009A6102">
      <w:pPr>
        <w:widowControl/>
        <w:spacing w:after="80"/>
        <w:jc w:val="both"/>
        <w:rPr>
          <w:rFonts w:ascii="Times New Roman" w:eastAsia="Times New Roman" w:hAnsi="Times New Roman"/>
        </w:rPr>
      </w:pPr>
      <w:r w:rsidRPr="004A74E0">
        <w:rPr>
          <w:rFonts w:ascii="Times New Roman" w:eastAsia="Times New Roman" w:hAnsi="Times New Roman"/>
        </w:rPr>
        <w:t xml:space="preserve">Net </w:t>
      </w:r>
      <w:r w:rsidR="00FE3AA5" w:rsidRPr="004A74E0">
        <w:rPr>
          <w:rFonts w:ascii="Times New Roman" w:eastAsia="Times New Roman" w:hAnsi="Times New Roman"/>
        </w:rPr>
        <w:t>loss</w:t>
      </w:r>
      <w:r w:rsidRPr="004A74E0">
        <w:rPr>
          <w:rFonts w:ascii="Times New Roman" w:eastAsia="Times New Roman" w:hAnsi="Times New Roman"/>
        </w:rPr>
        <w:t xml:space="preserve"> for Q</w:t>
      </w:r>
      <w:r w:rsidR="00FE3AA5" w:rsidRPr="004A74E0">
        <w:rPr>
          <w:rFonts w:ascii="Times New Roman" w:eastAsia="Times New Roman" w:hAnsi="Times New Roman"/>
        </w:rPr>
        <w:t>2</w:t>
      </w:r>
      <w:r w:rsidRPr="004A74E0">
        <w:rPr>
          <w:rFonts w:ascii="Times New Roman" w:eastAsia="Times New Roman" w:hAnsi="Times New Roman"/>
        </w:rPr>
        <w:t xml:space="preserve"> 2025 was $</w:t>
      </w:r>
      <w:r w:rsidR="00FE3AA5" w:rsidRPr="004A74E0">
        <w:rPr>
          <w:rFonts w:ascii="Times New Roman" w:eastAsia="Times New Roman" w:hAnsi="Times New Roman"/>
        </w:rPr>
        <w:t>17,263,375</w:t>
      </w:r>
      <w:r w:rsidRPr="004A74E0">
        <w:rPr>
          <w:rFonts w:ascii="Times New Roman" w:eastAsia="Times New Roman" w:hAnsi="Times New Roman"/>
        </w:rPr>
        <w:t xml:space="preserve"> compared to </w:t>
      </w:r>
      <w:r w:rsidR="00FE3AA5" w:rsidRPr="004A74E0">
        <w:rPr>
          <w:rFonts w:ascii="Times New Roman" w:eastAsia="Times New Roman" w:hAnsi="Times New Roman"/>
        </w:rPr>
        <w:t>net income</w:t>
      </w:r>
      <w:r w:rsidRPr="004A74E0">
        <w:rPr>
          <w:rFonts w:ascii="Times New Roman" w:eastAsia="Times New Roman" w:hAnsi="Times New Roman"/>
        </w:rPr>
        <w:t xml:space="preserve"> of $</w:t>
      </w:r>
      <w:r w:rsidR="00FE3AA5" w:rsidRPr="004A74E0">
        <w:rPr>
          <w:rFonts w:ascii="Times New Roman" w:eastAsia="Times New Roman" w:hAnsi="Times New Roman"/>
        </w:rPr>
        <w:t>6,341,558</w:t>
      </w:r>
      <w:r w:rsidRPr="004A74E0">
        <w:rPr>
          <w:rFonts w:ascii="Times New Roman" w:eastAsia="Times New Roman" w:hAnsi="Times New Roman"/>
        </w:rPr>
        <w:t xml:space="preserve"> in Q</w:t>
      </w:r>
      <w:r w:rsidR="00FE3AA5" w:rsidRPr="004A74E0">
        <w:rPr>
          <w:rFonts w:ascii="Times New Roman" w:eastAsia="Times New Roman" w:hAnsi="Times New Roman"/>
        </w:rPr>
        <w:t>1</w:t>
      </w:r>
      <w:r w:rsidRPr="004A74E0">
        <w:rPr>
          <w:rFonts w:ascii="Times New Roman" w:eastAsia="Times New Roman" w:hAnsi="Times New Roman"/>
        </w:rPr>
        <w:t xml:space="preserve"> 202</w:t>
      </w:r>
      <w:r w:rsidR="00FE3AA5" w:rsidRPr="004A74E0">
        <w:rPr>
          <w:rFonts w:ascii="Times New Roman" w:eastAsia="Times New Roman" w:hAnsi="Times New Roman"/>
        </w:rPr>
        <w:t>5 a decrease of $23,604,933</w:t>
      </w:r>
      <w:r w:rsidRPr="004A74E0">
        <w:rPr>
          <w:rFonts w:ascii="Times New Roman" w:eastAsia="Times New Roman" w:hAnsi="Times New Roman"/>
        </w:rPr>
        <w:t>.  The following discusses the significant variances between Q</w:t>
      </w:r>
      <w:r w:rsidR="00FE3AA5" w:rsidRPr="004A74E0">
        <w:rPr>
          <w:rFonts w:ascii="Times New Roman" w:eastAsia="Times New Roman" w:hAnsi="Times New Roman"/>
        </w:rPr>
        <w:t>2</w:t>
      </w:r>
      <w:r w:rsidRPr="004A74E0">
        <w:rPr>
          <w:rFonts w:ascii="Times New Roman" w:eastAsia="Times New Roman" w:hAnsi="Times New Roman"/>
        </w:rPr>
        <w:t xml:space="preserve"> 2025 and Q</w:t>
      </w:r>
      <w:r w:rsidR="00FE3AA5" w:rsidRPr="004A74E0">
        <w:rPr>
          <w:rFonts w:ascii="Times New Roman" w:eastAsia="Times New Roman" w:hAnsi="Times New Roman"/>
        </w:rPr>
        <w:t>1 2025</w:t>
      </w:r>
      <w:r w:rsidRPr="004A74E0">
        <w:rPr>
          <w:rFonts w:ascii="Times New Roman" w:eastAsia="Times New Roman" w:hAnsi="Times New Roman"/>
        </w:rPr>
        <w:t>.</w:t>
      </w:r>
    </w:p>
    <w:p w14:paraId="19F09C8C" w14:textId="7FEA324C" w:rsidR="009A6102" w:rsidRPr="004A74E0" w:rsidRDefault="009A6102" w:rsidP="009A6102">
      <w:pPr>
        <w:widowControl/>
        <w:spacing w:after="80"/>
        <w:jc w:val="both"/>
        <w:rPr>
          <w:rFonts w:ascii="Times New Roman" w:eastAsia="Times New Roman" w:hAnsi="Times New Roman"/>
        </w:rPr>
      </w:pPr>
      <w:r w:rsidRPr="004A74E0">
        <w:rPr>
          <w:rFonts w:ascii="Times New Roman" w:eastAsia="Times New Roman" w:hAnsi="Times New Roman"/>
        </w:rPr>
        <w:t>Non-recurring engineering and product revenue (“NRE”) was $</w:t>
      </w:r>
      <w:r w:rsidR="00FE3AA5" w:rsidRPr="004A74E0">
        <w:rPr>
          <w:rFonts w:ascii="Times New Roman" w:eastAsia="Times New Roman" w:hAnsi="Times New Roman"/>
        </w:rPr>
        <w:t>268,469</w:t>
      </w:r>
      <w:r w:rsidRPr="004A74E0">
        <w:rPr>
          <w:rFonts w:ascii="Times New Roman" w:eastAsia="Times New Roman" w:hAnsi="Times New Roman"/>
        </w:rPr>
        <w:t xml:space="preserve"> in </w:t>
      </w:r>
      <w:r w:rsidR="00FE3AA5" w:rsidRPr="004A74E0">
        <w:rPr>
          <w:rFonts w:ascii="Times New Roman" w:eastAsia="Times New Roman" w:hAnsi="Times New Roman"/>
        </w:rPr>
        <w:t>Q2 2025</w:t>
      </w:r>
      <w:r w:rsidRPr="004A74E0">
        <w:rPr>
          <w:rFonts w:ascii="Times New Roman" w:eastAsia="Times New Roman" w:hAnsi="Times New Roman"/>
        </w:rPr>
        <w:t xml:space="preserve"> compared to $</w:t>
      </w:r>
      <w:r w:rsidR="00FE3AA5" w:rsidRPr="004A74E0">
        <w:rPr>
          <w:rFonts w:ascii="Times New Roman" w:eastAsia="Times New Roman" w:hAnsi="Times New Roman"/>
        </w:rPr>
        <w:t>166,760</w:t>
      </w:r>
      <w:r w:rsidRPr="004A74E0">
        <w:rPr>
          <w:rFonts w:ascii="Times New Roman" w:eastAsia="Times New Roman" w:hAnsi="Times New Roman"/>
        </w:rPr>
        <w:t xml:space="preserve"> in </w:t>
      </w:r>
      <w:r w:rsidR="00FE3AA5" w:rsidRPr="004A74E0">
        <w:rPr>
          <w:rFonts w:ascii="Times New Roman" w:eastAsia="Times New Roman" w:hAnsi="Times New Roman"/>
        </w:rPr>
        <w:t>Q1 2025</w:t>
      </w:r>
      <w:r w:rsidRPr="004A74E0">
        <w:rPr>
          <w:rFonts w:ascii="Times New Roman" w:eastAsia="Times New Roman" w:hAnsi="Times New Roman"/>
        </w:rPr>
        <w:t>, an increase of $</w:t>
      </w:r>
      <w:r w:rsidR="00FE3AA5" w:rsidRPr="004A74E0">
        <w:rPr>
          <w:rFonts w:ascii="Times New Roman" w:eastAsia="Times New Roman" w:hAnsi="Times New Roman"/>
        </w:rPr>
        <w:t>101,709</w:t>
      </w:r>
      <w:r w:rsidRPr="004A74E0">
        <w:rPr>
          <w:rFonts w:ascii="Times New Roman" w:eastAsia="Times New Roman" w:hAnsi="Times New Roman"/>
        </w:rPr>
        <w:t xml:space="preserve"> (</w:t>
      </w:r>
      <w:r w:rsidR="00FE3AA5" w:rsidRPr="004A74E0">
        <w:rPr>
          <w:rFonts w:ascii="Times New Roman" w:eastAsia="Times New Roman" w:hAnsi="Times New Roman"/>
        </w:rPr>
        <w:t>61</w:t>
      </w:r>
      <w:r w:rsidRPr="004A74E0">
        <w:rPr>
          <w:rFonts w:ascii="Times New Roman" w:eastAsia="Times New Roman" w:hAnsi="Times New Roman"/>
        </w:rPr>
        <w:t xml:space="preserve">%). Historically the Company provided NRE services to multiple customers for unique projects that are being addressed utilizing the capabilities of the POET Optical Interposer. </w:t>
      </w:r>
    </w:p>
    <w:p w14:paraId="3EB25371" w14:textId="1CC222A4" w:rsidR="009A6102" w:rsidRPr="004A74E0" w:rsidRDefault="009A6102" w:rsidP="009A6102">
      <w:pPr>
        <w:widowControl/>
        <w:tabs>
          <w:tab w:val="left" w:pos="4536"/>
          <w:tab w:val="left" w:pos="4820"/>
        </w:tabs>
        <w:spacing w:after="120"/>
        <w:jc w:val="both"/>
        <w:rPr>
          <w:rFonts w:ascii="Times New Roman" w:eastAsia="Times New Roman" w:hAnsi="Times New Roman"/>
        </w:rPr>
      </w:pPr>
      <w:r w:rsidRPr="004A74E0">
        <w:rPr>
          <w:rFonts w:ascii="Times New Roman" w:eastAsia="Times New Roman" w:hAnsi="Times New Roman"/>
        </w:rPr>
        <w:t xml:space="preserve">R&amp;D </w:t>
      </w:r>
      <w:r w:rsidR="00FE3AA5" w:rsidRPr="004A74E0">
        <w:rPr>
          <w:rFonts w:ascii="Times New Roman" w:eastAsia="Times New Roman" w:hAnsi="Times New Roman"/>
        </w:rPr>
        <w:t>de</w:t>
      </w:r>
      <w:r w:rsidRPr="004A74E0">
        <w:rPr>
          <w:rFonts w:ascii="Times New Roman" w:eastAsia="Times New Roman" w:hAnsi="Times New Roman"/>
        </w:rPr>
        <w:t>creased by $</w:t>
      </w:r>
      <w:r w:rsidR="00FE3AA5" w:rsidRPr="004A74E0">
        <w:rPr>
          <w:rFonts w:ascii="Times New Roman" w:eastAsia="Times New Roman" w:hAnsi="Times New Roman"/>
        </w:rPr>
        <w:t>1,210,148</w:t>
      </w:r>
      <w:r w:rsidRPr="004A74E0">
        <w:rPr>
          <w:rFonts w:ascii="Times New Roman" w:eastAsia="Times New Roman" w:hAnsi="Times New Roman"/>
        </w:rPr>
        <w:t xml:space="preserve"> (2</w:t>
      </w:r>
      <w:r w:rsidR="00FE3AA5" w:rsidRPr="004A74E0">
        <w:rPr>
          <w:rFonts w:ascii="Times New Roman" w:eastAsia="Times New Roman" w:hAnsi="Times New Roman"/>
        </w:rPr>
        <w:t>8</w:t>
      </w:r>
      <w:r w:rsidRPr="004A74E0">
        <w:rPr>
          <w:rFonts w:ascii="Times New Roman" w:eastAsia="Times New Roman" w:hAnsi="Times New Roman"/>
        </w:rPr>
        <w:t>%) to $</w:t>
      </w:r>
      <w:r w:rsidR="00FE3AA5" w:rsidRPr="004A74E0">
        <w:rPr>
          <w:rFonts w:ascii="Times New Roman" w:eastAsia="Times New Roman" w:hAnsi="Times New Roman"/>
        </w:rPr>
        <w:t>3,150,044</w:t>
      </w:r>
      <w:r w:rsidRPr="004A74E0">
        <w:rPr>
          <w:rFonts w:ascii="Times New Roman" w:eastAsia="Times New Roman" w:hAnsi="Times New Roman"/>
        </w:rPr>
        <w:t xml:space="preserve">4 in </w:t>
      </w:r>
      <w:r w:rsidR="00FE3AA5" w:rsidRPr="004A74E0">
        <w:rPr>
          <w:rFonts w:ascii="Times New Roman" w:eastAsia="Times New Roman" w:hAnsi="Times New Roman"/>
        </w:rPr>
        <w:t>Q2 2025</w:t>
      </w:r>
      <w:r w:rsidRPr="004A74E0">
        <w:rPr>
          <w:rFonts w:ascii="Times New Roman" w:eastAsia="Times New Roman" w:hAnsi="Times New Roman"/>
        </w:rPr>
        <w:t xml:space="preserve"> from $</w:t>
      </w:r>
      <w:r w:rsidR="00FE3AA5" w:rsidRPr="004A74E0">
        <w:rPr>
          <w:rFonts w:ascii="Times New Roman" w:eastAsia="Times New Roman" w:hAnsi="Times New Roman"/>
        </w:rPr>
        <w:t>4,360,192</w:t>
      </w:r>
      <w:r w:rsidRPr="004A74E0">
        <w:rPr>
          <w:rFonts w:ascii="Times New Roman" w:eastAsia="Times New Roman" w:hAnsi="Times New Roman"/>
        </w:rPr>
        <w:t xml:space="preserve"> in </w:t>
      </w:r>
      <w:r w:rsidR="00FE3AA5" w:rsidRPr="004A74E0">
        <w:rPr>
          <w:rFonts w:ascii="Times New Roman" w:eastAsia="Times New Roman" w:hAnsi="Times New Roman"/>
        </w:rPr>
        <w:t>Q1 2025</w:t>
      </w:r>
      <w:r w:rsidRPr="004A74E0">
        <w:rPr>
          <w:rFonts w:ascii="Times New Roman" w:eastAsia="Times New Roman" w:hAnsi="Times New Roman"/>
        </w:rPr>
        <w:t xml:space="preserve">. Due to taking control of SPX in December 2024, the Company included SPX’s operations in its consolidated R&amp;D during the period. Significant R&amp;D compensation cost was incurred in </w:t>
      </w:r>
      <w:r w:rsidR="00FE3AA5" w:rsidRPr="004A74E0">
        <w:rPr>
          <w:rFonts w:ascii="Times New Roman" w:eastAsia="Times New Roman" w:hAnsi="Times New Roman"/>
        </w:rPr>
        <w:t xml:space="preserve">Q1 2025, </w:t>
      </w:r>
      <w:r w:rsidRPr="004A74E0">
        <w:rPr>
          <w:rFonts w:ascii="Times New Roman" w:eastAsia="Times New Roman" w:hAnsi="Times New Roman"/>
        </w:rPr>
        <w:t xml:space="preserve">laying-off the SPX work force as part of its winding up plan. It is however, expected that R&amp;D for a Company at this stage of development will vary from period to period based on the development cycle and the immediate product development needs of the Company. </w:t>
      </w:r>
    </w:p>
    <w:p w14:paraId="5A37F2D0" w14:textId="7488D568" w:rsidR="009A6102" w:rsidRPr="004A74E0" w:rsidRDefault="009A6102" w:rsidP="009A6102">
      <w:pPr>
        <w:widowControl/>
        <w:spacing w:after="120"/>
        <w:jc w:val="both"/>
        <w:rPr>
          <w:rFonts w:ascii="Times New Roman" w:eastAsia="Times New Roman" w:hAnsi="Times New Roman"/>
        </w:rPr>
      </w:pPr>
      <w:r w:rsidRPr="004A74E0">
        <w:rPr>
          <w:rFonts w:ascii="Times New Roman" w:hAnsi="Times New Roman"/>
          <w:color w:val="000000" w:themeColor="text1"/>
          <w:lang w:val="en-CA"/>
        </w:rPr>
        <w:t xml:space="preserve">Professional fees </w:t>
      </w:r>
      <w:r w:rsidR="00FE3AA5" w:rsidRPr="004A74E0">
        <w:rPr>
          <w:rFonts w:ascii="Times New Roman" w:hAnsi="Times New Roman"/>
          <w:color w:val="000000" w:themeColor="text1"/>
          <w:lang w:val="en-CA"/>
        </w:rPr>
        <w:t>increased</w:t>
      </w:r>
      <w:r w:rsidRPr="004A74E0">
        <w:rPr>
          <w:rFonts w:ascii="Times New Roman" w:hAnsi="Times New Roman"/>
          <w:color w:val="000000" w:themeColor="text1"/>
          <w:lang w:val="en-CA"/>
        </w:rPr>
        <w:t xml:space="preserve"> by $</w:t>
      </w:r>
      <w:r w:rsidR="00FE3AA5" w:rsidRPr="004A74E0">
        <w:rPr>
          <w:rFonts w:ascii="Times New Roman" w:hAnsi="Times New Roman"/>
          <w:color w:val="000000" w:themeColor="text1"/>
          <w:lang w:val="en-CA"/>
        </w:rPr>
        <w:t>286,399</w:t>
      </w:r>
      <w:r w:rsidRPr="004A74E0">
        <w:rPr>
          <w:rFonts w:ascii="Times New Roman" w:hAnsi="Times New Roman"/>
          <w:color w:val="000000" w:themeColor="text1"/>
          <w:lang w:val="en-CA"/>
        </w:rPr>
        <w:t xml:space="preserve"> (</w:t>
      </w:r>
      <w:r w:rsidR="00FE3AA5" w:rsidRPr="004A74E0">
        <w:rPr>
          <w:rFonts w:ascii="Times New Roman" w:hAnsi="Times New Roman"/>
          <w:color w:val="000000" w:themeColor="text1"/>
          <w:lang w:val="en-CA"/>
        </w:rPr>
        <w:t>104</w:t>
      </w:r>
      <w:r w:rsidRPr="004A74E0">
        <w:rPr>
          <w:rFonts w:ascii="Times New Roman" w:hAnsi="Times New Roman"/>
          <w:color w:val="000000" w:themeColor="text1"/>
          <w:lang w:val="en-CA"/>
        </w:rPr>
        <w:t>%) to $</w:t>
      </w:r>
      <w:r w:rsidR="00FE3AA5" w:rsidRPr="004A74E0">
        <w:rPr>
          <w:rFonts w:ascii="Times New Roman" w:hAnsi="Times New Roman"/>
          <w:color w:val="000000" w:themeColor="text1"/>
          <w:lang w:val="en-CA"/>
        </w:rPr>
        <w:t>562,583</w:t>
      </w:r>
      <w:r w:rsidRPr="004A74E0">
        <w:rPr>
          <w:rFonts w:ascii="Times New Roman" w:hAnsi="Times New Roman"/>
          <w:color w:val="000000" w:themeColor="text1"/>
          <w:lang w:val="en-CA"/>
        </w:rPr>
        <w:t xml:space="preserve"> in </w:t>
      </w:r>
      <w:r w:rsidR="00FE3AA5" w:rsidRPr="004A74E0">
        <w:rPr>
          <w:rFonts w:ascii="Times New Roman" w:hAnsi="Times New Roman"/>
          <w:color w:val="000000" w:themeColor="text1"/>
          <w:lang w:val="en-CA"/>
        </w:rPr>
        <w:t>Q2 2025</w:t>
      </w:r>
      <w:r w:rsidRPr="004A74E0">
        <w:rPr>
          <w:rFonts w:ascii="Times New Roman" w:hAnsi="Times New Roman"/>
          <w:color w:val="000000" w:themeColor="text1"/>
          <w:lang w:val="en-CA"/>
        </w:rPr>
        <w:t xml:space="preserve"> from $</w:t>
      </w:r>
      <w:r w:rsidR="00FE3AA5" w:rsidRPr="004A74E0">
        <w:rPr>
          <w:rFonts w:ascii="Times New Roman" w:hAnsi="Times New Roman"/>
          <w:color w:val="000000" w:themeColor="text1"/>
          <w:lang w:val="en-CA"/>
        </w:rPr>
        <w:t>276,184</w:t>
      </w:r>
      <w:r w:rsidRPr="004A74E0">
        <w:rPr>
          <w:rFonts w:ascii="Times New Roman" w:hAnsi="Times New Roman"/>
          <w:color w:val="000000" w:themeColor="text1"/>
          <w:lang w:val="en-CA"/>
        </w:rPr>
        <w:t xml:space="preserve"> in </w:t>
      </w:r>
      <w:r w:rsidR="00FE3AA5" w:rsidRPr="004A74E0">
        <w:rPr>
          <w:rFonts w:ascii="Times New Roman" w:hAnsi="Times New Roman"/>
          <w:color w:val="000000" w:themeColor="text1"/>
          <w:lang w:val="en-CA"/>
        </w:rPr>
        <w:t>Q1 2025</w:t>
      </w:r>
      <w:r w:rsidRPr="004A74E0">
        <w:rPr>
          <w:rFonts w:ascii="Times New Roman" w:hAnsi="Times New Roman"/>
          <w:color w:val="000000" w:themeColor="text1"/>
          <w:lang w:val="en-CA"/>
        </w:rPr>
        <w:t xml:space="preserve">. </w:t>
      </w:r>
      <w:r w:rsidR="00FE3AA5" w:rsidRPr="004A74E0">
        <w:rPr>
          <w:rFonts w:ascii="Times New Roman" w:hAnsi="Times New Roman"/>
          <w:color w:val="000000" w:themeColor="text1"/>
          <w:lang w:val="en-CA"/>
        </w:rPr>
        <w:t xml:space="preserve">Professional fees in Q2 2025 included the cost of the </w:t>
      </w:r>
      <w:proofErr w:type="gramStart"/>
      <w:r w:rsidR="00FE3AA5" w:rsidRPr="004A74E0">
        <w:rPr>
          <w:rFonts w:ascii="Times New Roman" w:hAnsi="Times New Roman"/>
          <w:color w:val="000000" w:themeColor="text1"/>
          <w:lang w:val="en-CA"/>
        </w:rPr>
        <w:t>2024 year</w:t>
      </w:r>
      <w:proofErr w:type="gramEnd"/>
      <w:r w:rsidR="00FE3AA5" w:rsidRPr="004A74E0">
        <w:rPr>
          <w:rFonts w:ascii="Times New Roman" w:hAnsi="Times New Roman"/>
          <w:color w:val="000000" w:themeColor="text1"/>
          <w:lang w:val="en-CA"/>
        </w:rPr>
        <w:t xml:space="preserve"> end audit which was paid during Q2 2025. The Company’s audit fee also included additional costs related to the audit and acquisition of SPX</w:t>
      </w:r>
      <w:r w:rsidR="001B1BB4" w:rsidRPr="004A74E0">
        <w:rPr>
          <w:rFonts w:ascii="Times New Roman" w:hAnsi="Times New Roman"/>
          <w:color w:val="000000" w:themeColor="text1"/>
          <w:lang w:val="en-CA"/>
        </w:rPr>
        <w:t>.</w:t>
      </w:r>
      <w:r w:rsidRPr="004A74E0">
        <w:rPr>
          <w:rFonts w:ascii="Times New Roman" w:eastAsia="Times New Roman" w:hAnsi="Times New Roman"/>
        </w:rPr>
        <w:t xml:space="preserve"> </w:t>
      </w:r>
    </w:p>
    <w:p w14:paraId="2F6AEA75" w14:textId="3B61A6CC" w:rsidR="009A6102" w:rsidRPr="004A74E0" w:rsidRDefault="009A6102" w:rsidP="009A6102">
      <w:pPr>
        <w:widowControl/>
        <w:spacing w:after="120"/>
        <w:jc w:val="both"/>
        <w:rPr>
          <w:rFonts w:ascii="Times New Roman" w:eastAsia="Times New Roman" w:hAnsi="Times New Roman"/>
        </w:rPr>
      </w:pPr>
      <w:r w:rsidRPr="004A74E0">
        <w:rPr>
          <w:rFonts w:ascii="Times New Roman" w:hAnsi="Times New Roman"/>
          <w:color w:val="000000" w:themeColor="text1"/>
          <w:lang w:val="en-CA"/>
        </w:rPr>
        <w:t xml:space="preserve">Wages and benefits </w:t>
      </w:r>
      <w:r w:rsidR="001B1BB4" w:rsidRPr="004A74E0">
        <w:rPr>
          <w:rFonts w:ascii="Times New Roman" w:hAnsi="Times New Roman"/>
          <w:color w:val="000000" w:themeColor="text1"/>
          <w:lang w:val="en-CA"/>
        </w:rPr>
        <w:t>decreased</w:t>
      </w:r>
      <w:r w:rsidRPr="004A74E0">
        <w:rPr>
          <w:rFonts w:ascii="Times New Roman" w:hAnsi="Times New Roman"/>
          <w:color w:val="000000" w:themeColor="text1"/>
          <w:lang w:val="en-CA"/>
        </w:rPr>
        <w:t xml:space="preserve"> by $</w:t>
      </w:r>
      <w:r w:rsidR="001B1BB4" w:rsidRPr="004A74E0">
        <w:rPr>
          <w:rFonts w:ascii="Times New Roman" w:hAnsi="Times New Roman"/>
          <w:color w:val="000000" w:themeColor="text1"/>
          <w:lang w:val="en-CA"/>
        </w:rPr>
        <w:t>1,080,894</w:t>
      </w:r>
      <w:r w:rsidRPr="004A74E0">
        <w:rPr>
          <w:rFonts w:ascii="Times New Roman" w:hAnsi="Times New Roman"/>
          <w:color w:val="000000" w:themeColor="text1"/>
          <w:lang w:val="en-CA"/>
        </w:rPr>
        <w:t xml:space="preserve"> (</w:t>
      </w:r>
      <w:r w:rsidR="001B1BB4" w:rsidRPr="004A74E0">
        <w:rPr>
          <w:rFonts w:ascii="Times New Roman" w:hAnsi="Times New Roman"/>
          <w:color w:val="000000" w:themeColor="text1"/>
          <w:lang w:val="en-CA"/>
        </w:rPr>
        <w:t>51</w:t>
      </w:r>
      <w:r w:rsidRPr="004A74E0">
        <w:rPr>
          <w:rFonts w:ascii="Times New Roman" w:hAnsi="Times New Roman"/>
          <w:color w:val="000000" w:themeColor="text1"/>
          <w:lang w:val="en-CA"/>
        </w:rPr>
        <w:t>%) to $</w:t>
      </w:r>
      <w:r w:rsidR="001B1BB4" w:rsidRPr="004A74E0">
        <w:rPr>
          <w:rFonts w:ascii="Times New Roman" w:hAnsi="Times New Roman"/>
          <w:color w:val="000000" w:themeColor="text1"/>
          <w:lang w:val="en-CA"/>
        </w:rPr>
        <w:t>1,042,380</w:t>
      </w:r>
      <w:r w:rsidRPr="004A74E0">
        <w:rPr>
          <w:rFonts w:ascii="Times New Roman" w:hAnsi="Times New Roman"/>
          <w:color w:val="000000" w:themeColor="text1"/>
          <w:lang w:val="en-CA"/>
        </w:rPr>
        <w:t xml:space="preserve"> in </w:t>
      </w:r>
      <w:r w:rsidR="00FE3AA5" w:rsidRPr="004A74E0">
        <w:rPr>
          <w:rFonts w:ascii="Times New Roman" w:hAnsi="Times New Roman"/>
          <w:color w:val="000000" w:themeColor="text1"/>
          <w:lang w:val="en-CA"/>
        </w:rPr>
        <w:t>Q2 2025</w:t>
      </w:r>
      <w:r w:rsidRPr="004A74E0">
        <w:rPr>
          <w:rFonts w:ascii="Times New Roman" w:hAnsi="Times New Roman"/>
          <w:color w:val="000000" w:themeColor="text1"/>
          <w:lang w:val="en-CA"/>
        </w:rPr>
        <w:t xml:space="preserve"> from $</w:t>
      </w:r>
      <w:r w:rsidR="001B1BB4" w:rsidRPr="004A74E0">
        <w:rPr>
          <w:rFonts w:ascii="Times New Roman" w:hAnsi="Times New Roman"/>
          <w:color w:val="000000" w:themeColor="text1"/>
          <w:lang w:val="en-CA"/>
        </w:rPr>
        <w:t>2,123,274</w:t>
      </w:r>
      <w:r w:rsidRPr="004A74E0">
        <w:rPr>
          <w:rFonts w:ascii="Times New Roman" w:hAnsi="Times New Roman"/>
          <w:color w:val="000000" w:themeColor="text1"/>
          <w:lang w:val="en-CA"/>
        </w:rPr>
        <w:t xml:space="preserve"> in </w:t>
      </w:r>
      <w:r w:rsidR="00FE3AA5" w:rsidRPr="004A74E0">
        <w:rPr>
          <w:rFonts w:ascii="Times New Roman" w:hAnsi="Times New Roman"/>
          <w:color w:val="000000" w:themeColor="text1"/>
          <w:lang w:val="en-CA"/>
        </w:rPr>
        <w:t>Q1 2025</w:t>
      </w:r>
      <w:r w:rsidRPr="004A74E0">
        <w:rPr>
          <w:rFonts w:ascii="Times New Roman" w:hAnsi="Times New Roman"/>
          <w:color w:val="000000" w:themeColor="text1"/>
          <w:lang w:val="en-CA"/>
        </w:rPr>
        <w:t xml:space="preserve">. The </w:t>
      </w:r>
      <w:r w:rsidR="001B1BB4" w:rsidRPr="004A74E0">
        <w:rPr>
          <w:rFonts w:ascii="Times New Roman" w:hAnsi="Times New Roman"/>
          <w:color w:val="000000" w:themeColor="text1"/>
          <w:lang w:val="en-CA"/>
        </w:rPr>
        <w:t>dec</w:t>
      </w:r>
      <w:r w:rsidRPr="004A74E0">
        <w:rPr>
          <w:rFonts w:ascii="Times New Roman" w:hAnsi="Times New Roman"/>
          <w:color w:val="000000" w:themeColor="text1"/>
          <w:lang w:val="en-CA"/>
        </w:rPr>
        <w:t xml:space="preserve">rease was a result of </w:t>
      </w:r>
      <w:r w:rsidRPr="004A74E0">
        <w:rPr>
          <w:rFonts w:ascii="Times New Roman" w:eastAsia="Times New Roman" w:hAnsi="Times New Roman"/>
        </w:rPr>
        <w:t xml:space="preserve">performance bonuses paid in </w:t>
      </w:r>
      <w:r w:rsidR="00FE3AA5" w:rsidRPr="004A74E0">
        <w:rPr>
          <w:rFonts w:ascii="Times New Roman" w:eastAsia="Times New Roman" w:hAnsi="Times New Roman"/>
        </w:rPr>
        <w:t>Q</w:t>
      </w:r>
      <w:r w:rsidR="001B1BB4" w:rsidRPr="004A74E0">
        <w:rPr>
          <w:rFonts w:ascii="Times New Roman" w:eastAsia="Times New Roman" w:hAnsi="Times New Roman"/>
        </w:rPr>
        <w:t>1</w:t>
      </w:r>
      <w:r w:rsidR="00FE3AA5" w:rsidRPr="004A74E0">
        <w:rPr>
          <w:rFonts w:ascii="Times New Roman" w:eastAsia="Times New Roman" w:hAnsi="Times New Roman"/>
        </w:rPr>
        <w:t xml:space="preserve"> 2025</w:t>
      </w:r>
      <w:r w:rsidRPr="004A74E0">
        <w:rPr>
          <w:rFonts w:ascii="Times New Roman" w:eastAsia="Times New Roman" w:hAnsi="Times New Roman"/>
        </w:rPr>
        <w:t xml:space="preserve"> to certain employees. Bonus in </w:t>
      </w:r>
      <w:r w:rsidR="00FE3AA5" w:rsidRPr="004A74E0">
        <w:rPr>
          <w:rFonts w:ascii="Times New Roman" w:eastAsia="Times New Roman" w:hAnsi="Times New Roman"/>
        </w:rPr>
        <w:t>Q</w:t>
      </w:r>
      <w:r w:rsidR="001B1BB4" w:rsidRPr="004A74E0">
        <w:rPr>
          <w:rFonts w:ascii="Times New Roman" w:eastAsia="Times New Roman" w:hAnsi="Times New Roman"/>
        </w:rPr>
        <w:t>1</w:t>
      </w:r>
      <w:r w:rsidR="00FE3AA5" w:rsidRPr="004A74E0">
        <w:rPr>
          <w:rFonts w:ascii="Times New Roman" w:eastAsia="Times New Roman" w:hAnsi="Times New Roman"/>
        </w:rPr>
        <w:t xml:space="preserve"> 2025</w:t>
      </w:r>
      <w:r w:rsidRPr="004A74E0">
        <w:rPr>
          <w:rFonts w:ascii="Times New Roman" w:eastAsia="Times New Roman" w:hAnsi="Times New Roman"/>
        </w:rPr>
        <w:t xml:space="preserve"> totaled $1,355,000. No bonus was paid in </w:t>
      </w:r>
      <w:r w:rsidR="00FE3AA5" w:rsidRPr="004A74E0">
        <w:rPr>
          <w:rFonts w:ascii="Times New Roman" w:eastAsia="Times New Roman" w:hAnsi="Times New Roman"/>
        </w:rPr>
        <w:t>Q</w:t>
      </w:r>
      <w:r w:rsidR="001B1BB4" w:rsidRPr="004A74E0">
        <w:rPr>
          <w:rFonts w:ascii="Times New Roman" w:eastAsia="Times New Roman" w:hAnsi="Times New Roman"/>
        </w:rPr>
        <w:t>2</w:t>
      </w:r>
      <w:r w:rsidR="00FE3AA5" w:rsidRPr="004A74E0">
        <w:rPr>
          <w:rFonts w:ascii="Times New Roman" w:eastAsia="Times New Roman" w:hAnsi="Times New Roman"/>
        </w:rPr>
        <w:t xml:space="preserve"> 2025</w:t>
      </w:r>
      <w:r w:rsidRPr="004A74E0">
        <w:rPr>
          <w:rFonts w:ascii="Times New Roman" w:eastAsia="Times New Roman" w:hAnsi="Times New Roman"/>
        </w:rPr>
        <w:t>. The success of development to date and in the future is contingent on performance of key staff. Many development and financials goals were achieved during the period and retention of these employees will be critical to Poet’s continued success.</w:t>
      </w:r>
    </w:p>
    <w:p w14:paraId="363B42F6" w14:textId="0FED9BF0" w:rsidR="009A6102" w:rsidRPr="004A74E0" w:rsidRDefault="009A6102" w:rsidP="009A6102">
      <w:pPr>
        <w:widowControl/>
        <w:spacing w:after="120"/>
        <w:jc w:val="both"/>
        <w:rPr>
          <w:rFonts w:ascii="Times New Roman" w:eastAsia="Times New Roman" w:hAnsi="Times New Roman"/>
        </w:rPr>
      </w:pPr>
      <w:r w:rsidRPr="004A74E0">
        <w:rPr>
          <w:rFonts w:ascii="Times New Roman" w:eastAsia="Times New Roman" w:hAnsi="Times New Roman"/>
        </w:rPr>
        <w:t xml:space="preserve">Non-cash stock-based compensation </w:t>
      </w:r>
      <w:r w:rsidR="001B1BB4" w:rsidRPr="004A74E0">
        <w:rPr>
          <w:rFonts w:ascii="Times New Roman" w:eastAsia="Times New Roman" w:hAnsi="Times New Roman"/>
        </w:rPr>
        <w:t xml:space="preserve">increased </w:t>
      </w:r>
      <w:r w:rsidRPr="004A74E0">
        <w:rPr>
          <w:rFonts w:ascii="Times New Roman" w:eastAsia="Times New Roman" w:hAnsi="Times New Roman"/>
        </w:rPr>
        <w:t>by $</w:t>
      </w:r>
      <w:r w:rsidR="001B1BB4" w:rsidRPr="004A74E0">
        <w:rPr>
          <w:rFonts w:ascii="Times New Roman" w:eastAsia="Times New Roman" w:hAnsi="Times New Roman"/>
        </w:rPr>
        <w:t>323,689</w:t>
      </w:r>
      <w:r w:rsidRPr="004A74E0">
        <w:rPr>
          <w:rFonts w:ascii="Times New Roman" w:eastAsia="Times New Roman" w:hAnsi="Times New Roman"/>
        </w:rPr>
        <w:t xml:space="preserve"> (</w:t>
      </w:r>
      <w:r w:rsidR="001B1BB4" w:rsidRPr="004A74E0">
        <w:rPr>
          <w:rFonts w:ascii="Times New Roman" w:eastAsia="Times New Roman" w:hAnsi="Times New Roman"/>
        </w:rPr>
        <w:t>38</w:t>
      </w:r>
      <w:r w:rsidRPr="004A74E0">
        <w:rPr>
          <w:rFonts w:ascii="Times New Roman" w:eastAsia="Times New Roman" w:hAnsi="Times New Roman"/>
        </w:rPr>
        <w:t>%) to $</w:t>
      </w:r>
      <w:r w:rsidR="001B1BB4" w:rsidRPr="004A74E0">
        <w:rPr>
          <w:rFonts w:ascii="Times New Roman" w:eastAsia="Times New Roman" w:hAnsi="Times New Roman"/>
        </w:rPr>
        <w:t>1,165,482</w:t>
      </w:r>
      <w:r w:rsidRPr="004A74E0">
        <w:rPr>
          <w:rFonts w:ascii="Times New Roman" w:eastAsia="Times New Roman" w:hAnsi="Times New Roman"/>
        </w:rPr>
        <w:t xml:space="preserve"> in </w:t>
      </w:r>
      <w:r w:rsidR="00FE3AA5" w:rsidRPr="004A74E0">
        <w:rPr>
          <w:rFonts w:ascii="Times New Roman" w:eastAsia="Times New Roman" w:hAnsi="Times New Roman"/>
        </w:rPr>
        <w:t>Q2 2025</w:t>
      </w:r>
      <w:r w:rsidRPr="004A74E0">
        <w:rPr>
          <w:rFonts w:ascii="Times New Roman" w:eastAsia="Times New Roman" w:hAnsi="Times New Roman"/>
        </w:rPr>
        <w:t xml:space="preserve"> from $</w:t>
      </w:r>
      <w:r w:rsidR="001B1BB4" w:rsidRPr="004A74E0">
        <w:rPr>
          <w:rFonts w:ascii="Times New Roman" w:eastAsia="Times New Roman" w:hAnsi="Times New Roman"/>
        </w:rPr>
        <w:t>841,793</w:t>
      </w:r>
      <w:r w:rsidRPr="004A74E0">
        <w:rPr>
          <w:rFonts w:ascii="Times New Roman" w:eastAsia="Times New Roman" w:hAnsi="Times New Roman"/>
        </w:rPr>
        <w:t xml:space="preserve"> in </w:t>
      </w:r>
      <w:r w:rsidR="00FE3AA5" w:rsidRPr="004A74E0">
        <w:rPr>
          <w:rFonts w:ascii="Times New Roman" w:eastAsia="Times New Roman" w:hAnsi="Times New Roman"/>
        </w:rPr>
        <w:t>Q1 2025</w:t>
      </w:r>
      <w:r w:rsidRPr="004A74E0">
        <w:rPr>
          <w:rFonts w:ascii="Times New Roman" w:eastAsia="Times New Roman" w:hAnsi="Times New Roman"/>
        </w:rPr>
        <w:t xml:space="preserve">. The valuation of stock options is driven by </w:t>
      </w:r>
      <w:proofErr w:type="gramStart"/>
      <w:r w:rsidRPr="004A74E0">
        <w:rPr>
          <w:rFonts w:ascii="Times New Roman" w:eastAsia="Times New Roman" w:hAnsi="Times New Roman"/>
        </w:rPr>
        <w:t>a number of</w:t>
      </w:r>
      <w:proofErr w:type="gramEnd"/>
      <w:r w:rsidRPr="004A74E0">
        <w:rPr>
          <w:rFonts w:ascii="Times New Roman" w:eastAsia="Times New Roman" w:hAnsi="Times New Roman"/>
        </w:rPr>
        <w:t xml:space="preserve"> factors including the number of options granted, the strike price and the volatility of the Company’s stock. The stock option expense is dependent on the timing of the stock option grant and the amortization of the options as they vest. The stock options vest in accordance with the policies determined by the Board of Directors at the time of the grant consistent with the provisions of the Plan.</w:t>
      </w:r>
    </w:p>
    <w:p w14:paraId="6FDCAC6E" w14:textId="63E39C73" w:rsidR="009A6102" w:rsidRPr="004A74E0" w:rsidRDefault="009A6102" w:rsidP="009A6102">
      <w:pPr>
        <w:widowControl/>
        <w:spacing w:after="120"/>
        <w:jc w:val="both"/>
        <w:rPr>
          <w:rFonts w:ascii="Times New Roman" w:eastAsia="Times New Roman" w:hAnsi="Times New Roman"/>
        </w:rPr>
      </w:pPr>
      <w:r w:rsidRPr="004A74E0">
        <w:rPr>
          <w:rFonts w:ascii="Times New Roman" w:eastAsia="Times New Roman" w:hAnsi="Times New Roman"/>
        </w:rPr>
        <w:t xml:space="preserve">Finance advisory fees </w:t>
      </w:r>
      <w:r w:rsidR="001B1BB4" w:rsidRPr="004A74E0">
        <w:rPr>
          <w:rFonts w:ascii="Times New Roman" w:eastAsia="Times New Roman" w:hAnsi="Times New Roman"/>
        </w:rPr>
        <w:t>increased</w:t>
      </w:r>
      <w:r w:rsidRPr="004A74E0">
        <w:rPr>
          <w:rFonts w:ascii="Times New Roman" w:eastAsia="Times New Roman" w:hAnsi="Times New Roman"/>
        </w:rPr>
        <w:t xml:space="preserve"> by $</w:t>
      </w:r>
      <w:r w:rsidR="001B1BB4" w:rsidRPr="004A74E0">
        <w:rPr>
          <w:rFonts w:ascii="Times New Roman" w:eastAsia="Times New Roman" w:hAnsi="Times New Roman"/>
        </w:rPr>
        <w:t>825,662</w:t>
      </w:r>
      <w:r w:rsidRPr="004A74E0">
        <w:rPr>
          <w:rFonts w:ascii="Times New Roman" w:eastAsia="Times New Roman" w:hAnsi="Times New Roman"/>
        </w:rPr>
        <w:t xml:space="preserve"> (</w:t>
      </w:r>
      <w:r w:rsidR="001B1BB4" w:rsidRPr="004A74E0">
        <w:rPr>
          <w:rFonts w:ascii="Times New Roman" w:eastAsia="Times New Roman" w:hAnsi="Times New Roman"/>
        </w:rPr>
        <w:t>173</w:t>
      </w:r>
      <w:r w:rsidRPr="004A74E0">
        <w:rPr>
          <w:rFonts w:ascii="Times New Roman" w:eastAsia="Times New Roman" w:hAnsi="Times New Roman"/>
        </w:rPr>
        <w:t xml:space="preserve">%) from $476,802 in </w:t>
      </w:r>
      <w:r w:rsidR="00FE3AA5" w:rsidRPr="004A74E0">
        <w:rPr>
          <w:rFonts w:ascii="Times New Roman" w:eastAsia="Times New Roman" w:hAnsi="Times New Roman"/>
        </w:rPr>
        <w:t>Q</w:t>
      </w:r>
      <w:r w:rsidR="001B1BB4" w:rsidRPr="004A74E0">
        <w:rPr>
          <w:rFonts w:ascii="Times New Roman" w:eastAsia="Times New Roman" w:hAnsi="Times New Roman"/>
        </w:rPr>
        <w:t>1</w:t>
      </w:r>
      <w:r w:rsidR="00FE3AA5" w:rsidRPr="004A74E0">
        <w:rPr>
          <w:rFonts w:ascii="Times New Roman" w:eastAsia="Times New Roman" w:hAnsi="Times New Roman"/>
        </w:rPr>
        <w:t xml:space="preserve"> 2025</w:t>
      </w:r>
      <w:r w:rsidRPr="004A74E0">
        <w:rPr>
          <w:rFonts w:ascii="Times New Roman" w:eastAsia="Times New Roman" w:hAnsi="Times New Roman"/>
        </w:rPr>
        <w:t xml:space="preserve"> to $</w:t>
      </w:r>
      <w:r w:rsidR="001B1BB4" w:rsidRPr="004A74E0">
        <w:rPr>
          <w:rFonts w:ascii="Times New Roman" w:eastAsia="Times New Roman" w:hAnsi="Times New Roman"/>
        </w:rPr>
        <w:t>1,302,464</w:t>
      </w:r>
      <w:r w:rsidRPr="004A74E0">
        <w:rPr>
          <w:rFonts w:ascii="Times New Roman" w:eastAsia="Times New Roman" w:hAnsi="Times New Roman"/>
        </w:rPr>
        <w:t xml:space="preserve"> in </w:t>
      </w:r>
      <w:r w:rsidR="00FE3AA5" w:rsidRPr="004A74E0">
        <w:rPr>
          <w:rFonts w:ascii="Times New Roman" w:eastAsia="Times New Roman" w:hAnsi="Times New Roman"/>
        </w:rPr>
        <w:t>Q</w:t>
      </w:r>
      <w:r w:rsidR="001B1BB4" w:rsidRPr="004A74E0">
        <w:rPr>
          <w:rFonts w:ascii="Times New Roman" w:eastAsia="Times New Roman" w:hAnsi="Times New Roman"/>
        </w:rPr>
        <w:t>2</w:t>
      </w:r>
      <w:r w:rsidR="00FE3AA5" w:rsidRPr="004A74E0">
        <w:rPr>
          <w:rFonts w:ascii="Times New Roman" w:eastAsia="Times New Roman" w:hAnsi="Times New Roman"/>
        </w:rPr>
        <w:t xml:space="preserve"> 2025</w:t>
      </w:r>
      <w:r w:rsidRPr="004A74E0">
        <w:rPr>
          <w:rFonts w:ascii="Times New Roman" w:eastAsia="Times New Roman" w:hAnsi="Times New Roman"/>
        </w:rPr>
        <w:t xml:space="preserve">. The finance advisory fees </w:t>
      </w:r>
      <w:r w:rsidR="009A2D28">
        <w:rPr>
          <w:rFonts w:ascii="Times New Roman" w:eastAsia="Times New Roman" w:hAnsi="Times New Roman"/>
        </w:rPr>
        <w:t>are paid</w:t>
      </w:r>
      <w:r w:rsidRPr="004A74E0">
        <w:rPr>
          <w:rFonts w:ascii="Times New Roman" w:eastAsia="Times New Roman" w:hAnsi="Times New Roman"/>
        </w:rPr>
        <w:t xml:space="preserve"> to a firm assisting the Company on financial and strategic matters. The firm’s guidance contributed to the Company’s capital raise success in 2</w:t>
      </w:r>
      <w:r w:rsidR="001B1BB4" w:rsidRPr="004A74E0">
        <w:rPr>
          <w:rFonts w:ascii="Times New Roman" w:eastAsia="Times New Roman" w:hAnsi="Times New Roman"/>
        </w:rPr>
        <w:t>025 of $55</w:t>
      </w:r>
      <w:r w:rsidRPr="004A74E0">
        <w:rPr>
          <w:rFonts w:ascii="Times New Roman" w:eastAsia="Times New Roman" w:hAnsi="Times New Roman"/>
        </w:rPr>
        <w:t xml:space="preserve"> million.  </w:t>
      </w:r>
    </w:p>
    <w:p w14:paraId="7FCFFB88" w14:textId="0ED9EC93" w:rsidR="009A6102" w:rsidRPr="004A74E0" w:rsidRDefault="009A6102" w:rsidP="009A6102">
      <w:pPr>
        <w:widowControl/>
        <w:spacing w:after="120"/>
        <w:jc w:val="both"/>
        <w:rPr>
          <w:rFonts w:ascii="Times New Roman" w:eastAsia="Times New Roman" w:hAnsi="Times New Roman"/>
        </w:rPr>
      </w:pPr>
      <w:r w:rsidRPr="004A74E0">
        <w:rPr>
          <w:rFonts w:ascii="Times New Roman" w:eastAsia="Times New Roman" w:hAnsi="Times New Roman"/>
        </w:rPr>
        <w:t xml:space="preserve">The Company issued warrants which are exercisable in a foreign currency in 2023 and throughout 2024. The issuance of those warrants created a derivative liability which is periodically remeasured and adjusted to reflect the fair value of the warrants. The Company had a non-cash gain of $15,382,971 during </w:t>
      </w:r>
      <w:r w:rsidR="00FE3AA5" w:rsidRPr="004A74E0">
        <w:rPr>
          <w:rFonts w:ascii="Times New Roman" w:eastAsia="Times New Roman" w:hAnsi="Times New Roman"/>
        </w:rPr>
        <w:t>Q</w:t>
      </w:r>
      <w:r w:rsidR="001B1BB4" w:rsidRPr="004A74E0">
        <w:rPr>
          <w:rFonts w:ascii="Times New Roman" w:eastAsia="Times New Roman" w:hAnsi="Times New Roman"/>
        </w:rPr>
        <w:t>1</w:t>
      </w:r>
      <w:r w:rsidR="00FE3AA5" w:rsidRPr="004A74E0">
        <w:rPr>
          <w:rFonts w:ascii="Times New Roman" w:eastAsia="Times New Roman" w:hAnsi="Times New Roman"/>
        </w:rPr>
        <w:t xml:space="preserve"> 2025</w:t>
      </w:r>
      <w:r w:rsidR="001B1BB4" w:rsidRPr="004A74E0">
        <w:rPr>
          <w:rFonts w:ascii="Times New Roman" w:eastAsia="Times New Roman" w:hAnsi="Times New Roman"/>
        </w:rPr>
        <w:t xml:space="preserve">. In Q2 2025, the Company had a non-cash loss of $7,559,991 </w:t>
      </w:r>
      <w:r w:rsidRPr="004A74E0">
        <w:rPr>
          <w:rFonts w:ascii="Times New Roman" w:eastAsia="Times New Roman" w:hAnsi="Times New Roman"/>
        </w:rPr>
        <w:t xml:space="preserve">from its adjustment, which represents </w:t>
      </w:r>
      <w:proofErr w:type="gramStart"/>
      <w:r w:rsidRPr="004A74E0">
        <w:rPr>
          <w:rFonts w:ascii="Times New Roman" w:eastAsia="Times New Roman" w:hAnsi="Times New Roman"/>
        </w:rPr>
        <w:t>an</w:t>
      </w:r>
      <w:proofErr w:type="gramEnd"/>
      <w:r w:rsidRPr="004A74E0">
        <w:rPr>
          <w:rFonts w:ascii="Times New Roman" w:eastAsia="Times New Roman" w:hAnsi="Times New Roman"/>
        </w:rPr>
        <w:t xml:space="preserve"> </w:t>
      </w:r>
      <w:r w:rsidR="001B1BB4" w:rsidRPr="004A74E0">
        <w:rPr>
          <w:rFonts w:ascii="Times New Roman" w:eastAsia="Times New Roman" w:hAnsi="Times New Roman"/>
        </w:rPr>
        <w:t>de</w:t>
      </w:r>
      <w:r w:rsidRPr="004A74E0">
        <w:rPr>
          <w:rFonts w:ascii="Times New Roman" w:eastAsia="Times New Roman" w:hAnsi="Times New Roman"/>
        </w:rPr>
        <w:t>crease of $2</w:t>
      </w:r>
      <w:r w:rsidR="001B1BB4" w:rsidRPr="004A74E0">
        <w:rPr>
          <w:rFonts w:ascii="Times New Roman" w:eastAsia="Times New Roman" w:hAnsi="Times New Roman"/>
        </w:rPr>
        <w:t xml:space="preserve">2,942,962 from </w:t>
      </w:r>
      <w:r w:rsidR="00FE3AA5" w:rsidRPr="004A74E0">
        <w:rPr>
          <w:rFonts w:ascii="Times New Roman" w:eastAsia="Times New Roman" w:hAnsi="Times New Roman"/>
        </w:rPr>
        <w:t>Q1 2025</w:t>
      </w:r>
      <w:r w:rsidR="001B1BB4" w:rsidRPr="004A74E0">
        <w:rPr>
          <w:rFonts w:ascii="Times New Roman" w:eastAsia="Times New Roman" w:hAnsi="Times New Roman"/>
        </w:rPr>
        <w:t>. The change in the derivative liability adjustment is affected by the Company’s stock price at each reporting date.</w:t>
      </w:r>
    </w:p>
    <w:p w14:paraId="4DDE0D9B" w14:textId="2E38383D" w:rsidR="004A74E0" w:rsidRDefault="004A74E0" w:rsidP="004A74E0">
      <w:pPr>
        <w:widowControl/>
        <w:spacing w:after="120"/>
        <w:jc w:val="both"/>
        <w:rPr>
          <w:rFonts w:ascii="Times New Roman" w:eastAsia="Times New Roman" w:hAnsi="Times New Roman"/>
          <w:lang w:val="en-CA"/>
        </w:rPr>
      </w:pPr>
      <w:r>
        <w:rPr>
          <w:rFonts w:ascii="Times New Roman" w:eastAsia="Times New Roman" w:hAnsi="Times New Roman"/>
          <w:lang w:val="en-CA"/>
        </w:rPr>
        <w:t>Unrealized foreign exchange loss was $1,448,691 in Q2 2025 compared to nil in Q1 2025. The unrealized foreign exchange loss is a result of the volatility of the US dollar during the period in relation to other currencies that the Company has in reserve.</w:t>
      </w:r>
    </w:p>
    <w:p w14:paraId="7E584A3F" w14:textId="77777777" w:rsidR="009A6102" w:rsidRDefault="009A6102" w:rsidP="0023210C">
      <w:pPr>
        <w:widowControl/>
        <w:spacing w:after="60"/>
        <w:jc w:val="both"/>
        <w:outlineLvl w:val="0"/>
        <w:rPr>
          <w:rFonts w:ascii="Times New Roman" w:eastAsia="Times New Roman" w:hAnsi="Times New Roman"/>
          <w:i/>
          <w:u w:val="single"/>
        </w:rPr>
      </w:pPr>
    </w:p>
    <w:p w14:paraId="5E63A0DE" w14:textId="5FE456A1" w:rsidR="00716D21" w:rsidRPr="002711E4" w:rsidRDefault="00716D21" w:rsidP="00716D21">
      <w:pPr>
        <w:widowControl/>
        <w:spacing w:after="60"/>
        <w:jc w:val="both"/>
        <w:outlineLvl w:val="0"/>
        <w:rPr>
          <w:rFonts w:ascii="Times New Roman" w:eastAsia="Times New Roman" w:hAnsi="Times New Roman"/>
          <w:i/>
          <w:u w:val="single"/>
        </w:rPr>
      </w:pPr>
      <w:r>
        <w:rPr>
          <w:rFonts w:ascii="Times New Roman" w:eastAsia="Times New Roman" w:hAnsi="Times New Roman"/>
          <w:i/>
          <w:u w:val="single"/>
        </w:rPr>
        <w:t>Q1 2025 compared to Q4 2024</w:t>
      </w:r>
      <w:r w:rsidRPr="002711E4">
        <w:rPr>
          <w:rFonts w:ascii="Times New Roman" w:eastAsia="Times New Roman" w:hAnsi="Times New Roman"/>
          <w:i/>
          <w:u w:val="single"/>
        </w:rPr>
        <w:t xml:space="preserve"> </w:t>
      </w:r>
    </w:p>
    <w:p w14:paraId="19E79D97" w14:textId="6B7F5CC6" w:rsidR="00716D21" w:rsidRDefault="00716D21" w:rsidP="00716D21">
      <w:pPr>
        <w:widowControl/>
        <w:spacing w:after="80"/>
        <w:jc w:val="both"/>
        <w:rPr>
          <w:rFonts w:ascii="Times New Roman" w:eastAsia="Times New Roman" w:hAnsi="Times New Roman"/>
        </w:rPr>
      </w:pPr>
      <w:r w:rsidRPr="002711E4">
        <w:rPr>
          <w:rFonts w:ascii="Times New Roman" w:eastAsia="Times New Roman" w:hAnsi="Times New Roman"/>
        </w:rPr>
        <w:t xml:space="preserve">Net </w:t>
      </w:r>
      <w:r>
        <w:rPr>
          <w:rFonts w:ascii="Times New Roman" w:eastAsia="Times New Roman" w:hAnsi="Times New Roman"/>
        </w:rPr>
        <w:t xml:space="preserve">income </w:t>
      </w:r>
      <w:r w:rsidRPr="002711E4">
        <w:rPr>
          <w:rFonts w:ascii="Times New Roman" w:eastAsia="Times New Roman" w:hAnsi="Times New Roman"/>
        </w:rPr>
        <w:t xml:space="preserve">for </w:t>
      </w:r>
      <w:r>
        <w:rPr>
          <w:rFonts w:ascii="Times New Roman" w:eastAsia="Times New Roman" w:hAnsi="Times New Roman"/>
        </w:rPr>
        <w:t>Q1 2025</w:t>
      </w:r>
      <w:r w:rsidRPr="002711E4">
        <w:rPr>
          <w:rFonts w:ascii="Times New Roman" w:eastAsia="Times New Roman" w:hAnsi="Times New Roman"/>
        </w:rPr>
        <w:t xml:space="preserve"> was $</w:t>
      </w:r>
      <w:r>
        <w:rPr>
          <w:rFonts w:ascii="Times New Roman" w:eastAsia="Times New Roman" w:hAnsi="Times New Roman"/>
        </w:rPr>
        <w:t xml:space="preserve">6,341,558 </w:t>
      </w:r>
      <w:r w:rsidRPr="002711E4">
        <w:rPr>
          <w:rFonts w:ascii="Times New Roman" w:eastAsia="Times New Roman" w:hAnsi="Times New Roman"/>
        </w:rPr>
        <w:t>compared to a net loss of $</w:t>
      </w:r>
      <w:r>
        <w:rPr>
          <w:rFonts w:ascii="Times New Roman" w:eastAsia="Times New Roman" w:hAnsi="Times New Roman"/>
        </w:rPr>
        <w:t>30,259,239</w:t>
      </w:r>
      <w:r w:rsidRPr="002711E4">
        <w:rPr>
          <w:rFonts w:ascii="Times New Roman" w:eastAsia="Times New Roman" w:hAnsi="Times New Roman"/>
        </w:rPr>
        <w:t xml:space="preserve"> in </w:t>
      </w:r>
      <w:r>
        <w:rPr>
          <w:rFonts w:ascii="Times New Roman" w:eastAsia="Times New Roman" w:hAnsi="Times New Roman"/>
        </w:rPr>
        <w:t>Q4 2024</w:t>
      </w:r>
      <w:r w:rsidRPr="002711E4">
        <w:rPr>
          <w:rFonts w:ascii="Times New Roman" w:eastAsia="Times New Roman" w:hAnsi="Times New Roman"/>
        </w:rPr>
        <w:t xml:space="preserve">, </w:t>
      </w:r>
      <w:r>
        <w:rPr>
          <w:rFonts w:ascii="Times New Roman" w:eastAsia="Times New Roman" w:hAnsi="Times New Roman"/>
        </w:rPr>
        <w:t>an improvement of</w:t>
      </w:r>
      <w:r w:rsidRPr="002711E4">
        <w:rPr>
          <w:rFonts w:ascii="Times New Roman" w:eastAsia="Times New Roman" w:hAnsi="Times New Roman"/>
        </w:rPr>
        <w:t xml:space="preserve"> $</w:t>
      </w:r>
      <w:r w:rsidR="00334840">
        <w:rPr>
          <w:rFonts w:ascii="Times New Roman" w:eastAsia="Times New Roman" w:hAnsi="Times New Roman"/>
        </w:rPr>
        <w:t>36,600,797</w:t>
      </w:r>
      <w:r w:rsidRPr="009930C8">
        <w:rPr>
          <w:rFonts w:ascii="Times New Roman" w:eastAsia="Times New Roman" w:hAnsi="Times New Roman"/>
        </w:rPr>
        <w:t>.</w:t>
      </w:r>
      <w:r w:rsidRPr="002711E4">
        <w:rPr>
          <w:rFonts w:ascii="Times New Roman" w:eastAsia="Times New Roman" w:hAnsi="Times New Roman"/>
        </w:rPr>
        <w:t xml:space="preserve">  The following discusses the significant variances between </w:t>
      </w:r>
      <w:r>
        <w:rPr>
          <w:rFonts w:ascii="Times New Roman" w:eastAsia="Times New Roman" w:hAnsi="Times New Roman"/>
        </w:rPr>
        <w:t>Q</w:t>
      </w:r>
      <w:r w:rsidR="00334840">
        <w:rPr>
          <w:rFonts w:ascii="Times New Roman" w:eastAsia="Times New Roman" w:hAnsi="Times New Roman"/>
        </w:rPr>
        <w:t>1</w:t>
      </w:r>
      <w:r>
        <w:rPr>
          <w:rFonts w:ascii="Times New Roman" w:eastAsia="Times New Roman" w:hAnsi="Times New Roman"/>
        </w:rPr>
        <w:t xml:space="preserve"> 2025</w:t>
      </w:r>
      <w:r w:rsidRPr="002711E4">
        <w:rPr>
          <w:rFonts w:ascii="Times New Roman" w:eastAsia="Times New Roman" w:hAnsi="Times New Roman"/>
        </w:rPr>
        <w:t xml:space="preserve"> and </w:t>
      </w:r>
      <w:r>
        <w:rPr>
          <w:rFonts w:ascii="Times New Roman" w:eastAsia="Times New Roman" w:hAnsi="Times New Roman"/>
        </w:rPr>
        <w:t>Q4 2024</w:t>
      </w:r>
      <w:r w:rsidRPr="002711E4">
        <w:rPr>
          <w:rFonts w:ascii="Times New Roman" w:eastAsia="Times New Roman" w:hAnsi="Times New Roman"/>
        </w:rPr>
        <w:t>.</w:t>
      </w:r>
    </w:p>
    <w:p w14:paraId="0488BC94" w14:textId="59D85837" w:rsidR="0078121E" w:rsidRDefault="0078121E" w:rsidP="0078121E">
      <w:pPr>
        <w:widowControl/>
        <w:spacing w:after="80"/>
        <w:jc w:val="both"/>
        <w:rPr>
          <w:rFonts w:ascii="Times New Roman" w:eastAsia="Times New Roman" w:hAnsi="Times New Roman"/>
        </w:rPr>
      </w:pPr>
      <w:r>
        <w:rPr>
          <w:rFonts w:ascii="Times New Roman" w:eastAsia="Times New Roman" w:hAnsi="Times New Roman"/>
        </w:rPr>
        <w:lastRenderedPageBreak/>
        <w:t xml:space="preserve">Non-recurring engineering and product revenue (“NRE”) was $166,760 in Q1 2025 compared to $29,032 in Q4 2024, an increase of $137,728 (474%). Historically the Company provided NRE services to multiple customers for unique projects that are being addressed utilizing the capabilities of the POET Optical Interposer. </w:t>
      </w:r>
    </w:p>
    <w:p w14:paraId="0CB72F7E" w14:textId="2543A03B" w:rsidR="0078121E" w:rsidRDefault="0078121E" w:rsidP="0078121E">
      <w:pPr>
        <w:widowControl/>
        <w:tabs>
          <w:tab w:val="left" w:pos="4536"/>
          <w:tab w:val="left" w:pos="4820"/>
        </w:tabs>
        <w:spacing w:after="120"/>
        <w:jc w:val="both"/>
        <w:rPr>
          <w:rFonts w:ascii="Times New Roman" w:eastAsia="Times New Roman" w:hAnsi="Times New Roman"/>
        </w:rPr>
      </w:pPr>
      <w:r>
        <w:rPr>
          <w:rFonts w:ascii="Times New Roman" w:eastAsia="Times New Roman" w:hAnsi="Times New Roman"/>
        </w:rPr>
        <w:t xml:space="preserve">R&amp;D increased by $922,509 (27%) to $4,360,192 in Q1 2025 from $3,437,683 in Q4 2024. Due to taking control of SPX in December 2024, the Company included SPX’s operations in its consolidated R&amp;D during the period. Significant R&amp;D compensation cost was incurred in laying-off the SPX work force as part of its winding up plan. It is however, expected that R&amp;D for a Company at this stage of development will vary from period to period based on the development cycle and the immediate product development needs of the Company. </w:t>
      </w:r>
    </w:p>
    <w:p w14:paraId="6DEAFB3A" w14:textId="5BBD2EFD" w:rsidR="00F6056D" w:rsidRDefault="0078121E" w:rsidP="00F6056D">
      <w:pPr>
        <w:widowControl/>
        <w:spacing w:after="120"/>
        <w:jc w:val="both"/>
        <w:rPr>
          <w:rFonts w:ascii="Times New Roman" w:eastAsia="Times New Roman" w:hAnsi="Times New Roman"/>
        </w:rPr>
      </w:pPr>
      <w:r>
        <w:rPr>
          <w:rFonts w:ascii="Times New Roman" w:hAnsi="Times New Roman"/>
          <w:color w:val="000000" w:themeColor="text1"/>
          <w:lang w:val="en-CA"/>
        </w:rPr>
        <w:t xml:space="preserve">Professional fees decreased by $402,972 (59%) to $276,184 in Q1 2025 from $679,156 in Q4 2024. </w:t>
      </w:r>
      <w:r w:rsidR="00F6056D">
        <w:rPr>
          <w:rFonts w:ascii="Times New Roman" w:hAnsi="Times New Roman"/>
          <w:color w:val="000000" w:themeColor="text1"/>
          <w:lang w:val="en-CA"/>
        </w:rPr>
        <w:t>During Q4 2024, the Company incurred professional fees related various finance corporate restructuring projects including the acquisition of the remaining interest in SPX.</w:t>
      </w:r>
      <w:r w:rsidR="00F6056D">
        <w:rPr>
          <w:rFonts w:ascii="Times New Roman" w:eastAsia="Times New Roman" w:hAnsi="Times New Roman"/>
        </w:rPr>
        <w:t xml:space="preserve"> </w:t>
      </w:r>
    </w:p>
    <w:p w14:paraId="5A29D916" w14:textId="77777777" w:rsidR="008F58B5" w:rsidRDefault="0078121E" w:rsidP="008F58B5">
      <w:pPr>
        <w:widowControl/>
        <w:spacing w:after="120"/>
        <w:jc w:val="both"/>
        <w:rPr>
          <w:rFonts w:ascii="Times New Roman" w:eastAsia="Times New Roman" w:hAnsi="Times New Roman"/>
        </w:rPr>
      </w:pPr>
      <w:r>
        <w:rPr>
          <w:rFonts w:ascii="Times New Roman" w:hAnsi="Times New Roman"/>
          <w:color w:val="000000" w:themeColor="text1"/>
          <w:lang w:val="en-CA"/>
        </w:rPr>
        <w:t>Wages and benefits increased by $1,3</w:t>
      </w:r>
      <w:r w:rsidR="00A53AD1">
        <w:rPr>
          <w:rFonts w:ascii="Times New Roman" w:hAnsi="Times New Roman"/>
          <w:color w:val="000000" w:themeColor="text1"/>
          <w:lang w:val="en-CA"/>
        </w:rPr>
        <w:t>64,391</w:t>
      </w:r>
      <w:r>
        <w:rPr>
          <w:rFonts w:ascii="Times New Roman" w:hAnsi="Times New Roman"/>
          <w:color w:val="000000" w:themeColor="text1"/>
          <w:lang w:val="en-CA"/>
        </w:rPr>
        <w:t xml:space="preserve"> (</w:t>
      </w:r>
      <w:r w:rsidR="00A53AD1">
        <w:rPr>
          <w:rFonts w:ascii="Times New Roman" w:hAnsi="Times New Roman"/>
          <w:color w:val="000000" w:themeColor="text1"/>
          <w:lang w:val="en-CA"/>
        </w:rPr>
        <w:t>180</w:t>
      </w:r>
      <w:r>
        <w:rPr>
          <w:rFonts w:ascii="Times New Roman" w:hAnsi="Times New Roman"/>
          <w:color w:val="000000" w:themeColor="text1"/>
          <w:lang w:val="en-CA"/>
        </w:rPr>
        <w:t>%) to $2,123,274 in Q1 2025 from $</w:t>
      </w:r>
      <w:r w:rsidR="00A53AD1">
        <w:rPr>
          <w:rFonts w:ascii="Times New Roman" w:hAnsi="Times New Roman"/>
          <w:color w:val="000000" w:themeColor="text1"/>
          <w:lang w:val="en-CA"/>
        </w:rPr>
        <w:t>758,883</w:t>
      </w:r>
      <w:r>
        <w:rPr>
          <w:rFonts w:ascii="Times New Roman" w:hAnsi="Times New Roman"/>
          <w:color w:val="000000" w:themeColor="text1"/>
          <w:lang w:val="en-CA"/>
        </w:rPr>
        <w:t xml:space="preserve"> in Q4 2024. The increase was a result of </w:t>
      </w:r>
      <w:r>
        <w:rPr>
          <w:rFonts w:ascii="Times New Roman" w:eastAsia="Times New Roman" w:hAnsi="Times New Roman"/>
        </w:rPr>
        <w:t>performance bonuses paid in Q1 2025 to certain employees. Bonus in Q1 2025 totaled $1,355,000</w:t>
      </w:r>
      <w:r w:rsidR="00A53AD1">
        <w:rPr>
          <w:rFonts w:ascii="Times New Roman" w:eastAsia="Times New Roman" w:hAnsi="Times New Roman"/>
        </w:rPr>
        <w:t xml:space="preserve">. No bonus was paid in </w:t>
      </w:r>
      <w:r>
        <w:rPr>
          <w:rFonts w:ascii="Times New Roman" w:eastAsia="Times New Roman" w:hAnsi="Times New Roman"/>
        </w:rPr>
        <w:t>Q4 2024.</w:t>
      </w:r>
      <w:r w:rsidR="008F58B5">
        <w:rPr>
          <w:rFonts w:ascii="Times New Roman" w:eastAsia="Times New Roman" w:hAnsi="Times New Roman"/>
        </w:rPr>
        <w:t xml:space="preserve"> </w:t>
      </w:r>
      <w:r w:rsidR="008F58B5" w:rsidRPr="00471562">
        <w:rPr>
          <w:rFonts w:ascii="Times New Roman" w:eastAsia="Times New Roman" w:hAnsi="Times New Roman"/>
        </w:rPr>
        <w:t xml:space="preserve">The success of development to date and in the future is contingent on performance of key staff. Many development and financials </w:t>
      </w:r>
      <w:r w:rsidR="008F58B5">
        <w:rPr>
          <w:rFonts w:ascii="Times New Roman" w:eastAsia="Times New Roman" w:hAnsi="Times New Roman"/>
        </w:rPr>
        <w:t>goals</w:t>
      </w:r>
      <w:r w:rsidR="008F58B5" w:rsidRPr="00471562">
        <w:rPr>
          <w:rFonts w:ascii="Times New Roman" w:eastAsia="Times New Roman" w:hAnsi="Times New Roman"/>
        </w:rPr>
        <w:t xml:space="preserve"> were achieved during the period and retention of these employees will be critical to Poet’s continued success.</w:t>
      </w:r>
    </w:p>
    <w:p w14:paraId="4624F3E5" w14:textId="44764C95" w:rsidR="0078121E" w:rsidRDefault="0078121E" w:rsidP="0078121E">
      <w:pPr>
        <w:widowControl/>
        <w:spacing w:after="120"/>
        <w:jc w:val="both"/>
        <w:rPr>
          <w:rFonts w:ascii="Times New Roman" w:hAnsi="Times New Roman"/>
          <w:color w:val="000000" w:themeColor="text1"/>
          <w:lang w:val="en-CA"/>
        </w:rPr>
      </w:pPr>
      <w:r>
        <w:rPr>
          <w:rFonts w:ascii="Times New Roman" w:eastAsia="Times New Roman" w:hAnsi="Times New Roman"/>
        </w:rPr>
        <w:t>Depreciation and amortization increased by $2</w:t>
      </w:r>
      <w:r w:rsidR="00A53AD1">
        <w:rPr>
          <w:rFonts w:ascii="Times New Roman" w:eastAsia="Times New Roman" w:hAnsi="Times New Roman"/>
        </w:rPr>
        <w:t>51,587</w:t>
      </w:r>
      <w:r>
        <w:rPr>
          <w:rFonts w:ascii="Times New Roman" w:eastAsia="Times New Roman" w:hAnsi="Times New Roman"/>
        </w:rPr>
        <w:t xml:space="preserve"> (</w:t>
      </w:r>
      <w:r w:rsidR="00A53AD1">
        <w:rPr>
          <w:rFonts w:ascii="Times New Roman" w:eastAsia="Times New Roman" w:hAnsi="Times New Roman"/>
        </w:rPr>
        <w:t>53</w:t>
      </w:r>
      <w:r>
        <w:rPr>
          <w:rFonts w:ascii="Times New Roman" w:eastAsia="Times New Roman" w:hAnsi="Times New Roman"/>
        </w:rPr>
        <w:t>%) to $726,868 in Q1 2025 from $</w:t>
      </w:r>
      <w:r w:rsidR="00A53AD1">
        <w:rPr>
          <w:rFonts w:ascii="Times New Roman" w:eastAsia="Times New Roman" w:hAnsi="Times New Roman"/>
        </w:rPr>
        <w:t>475,281</w:t>
      </w:r>
      <w:r>
        <w:rPr>
          <w:rFonts w:ascii="Times New Roman" w:eastAsia="Times New Roman" w:hAnsi="Times New Roman"/>
        </w:rPr>
        <w:t xml:space="preserve"> in Q4 2024. As the Company embarks on its new phase of growth, focused on manufacturing, it acquired significant fixed assets in 2024. Many of these assets were placed in operations in Q1 2025.</w:t>
      </w:r>
    </w:p>
    <w:p w14:paraId="12AD6D8A" w14:textId="02644487" w:rsidR="0078121E" w:rsidRDefault="0078121E" w:rsidP="0078121E">
      <w:pPr>
        <w:widowControl/>
        <w:spacing w:after="120"/>
        <w:jc w:val="both"/>
        <w:rPr>
          <w:rFonts w:ascii="Times New Roman" w:eastAsia="Times New Roman" w:hAnsi="Times New Roman"/>
        </w:rPr>
      </w:pPr>
      <w:r w:rsidRPr="00720BA1">
        <w:rPr>
          <w:rFonts w:ascii="Times New Roman" w:eastAsia="Times New Roman" w:hAnsi="Times New Roman"/>
        </w:rPr>
        <w:t xml:space="preserve">Non-cash stock-based compensation </w:t>
      </w:r>
      <w:r>
        <w:rPr>
          <w:rFonts w:ascii="Times New Roman" w:eastAsia="Times New Roman" w:hAnsi="Times New Roman"/>
        </w:rPr>
        <w:t xml:space="preserve">decreased </w:t>
      </w:r>
      <w:r w:rsidRPr="00C205E8">
        <w:rPr>
          <w:rFonts w:ascii="Times New Roman" w:eastAsia="Times New Roman" w:hAnsi="Times New Roman"/>
        </w:rPr>
        <w:t>by $</w:t>
      </w:r>
      <w:r w:rsidR="00A53AD1">
        <w:rPr>
          <w:rFonts w:ascii="Times New Roman" w:eastAsia="Times New Roman" w:hAnsi="Times New Roman"/>
        </w:rPr>
        <w:t>563,202</w:t>
      </w:r>
      <w:r w:rsidRPr="00C205E8">
        <w:rPr>
          <w:rFonts w:ascii="Times New Roman" w:eastAsia="Times New Roman" w:hAnsi="Times New Roman"/>
        </w:rPr>
        <w:t xml:space="preserve"> (</w:t>
      </w:r>
      <w:r w:rsidR="00A53AD1">
        <w:rPr>
          <w:rFonts w:ascii="Times New Roman" w:eastAsia="Times New Roman" w:hAnsi="Times New Roman"/>
        </w:rPr>
        <w:t>40</w:t>
      </w:r>
      <w:r w:rsidRPr="00C205E8">
        <w:rPr>
          <w:rFonts w:ascii="Times New Roman" w:eastAsia="Times New Roman" w:hAnsi="Times New Roman"/>
        </w:rPr>
        <w:t>%) to $</w:t>
      </w:r>
      <w:r>
        <w:rPr>
          <w:rFonts w:ascii="Times New Roman" w:eastAsia="Times New Roman" w:hAnsi="Times New Roman"/>
        </w:rPr>
        <w:t>841,793</w:t>
      </w:r>
      <w:r w:rsidRPr="00C205E8">
        <w:rPr>
          <w:rFonts w:ascii="Times New Roman" w:eastAsia="Times New Roman" w:hAnsi="Times New Roman"/>
        </w:rPr>
        <w:t xml:space="preserve"> in </w:t>
      </w:r>
      <w:r>
        <w:rPr>
          <w:rFonts w:ascii="Times New Roman" w:eastAsia="Times New Roman" w:hAnsi="Times New Roman"/>
        </w:rPr>
        <w:t>Q1 2025</w:t>
      </w:r>
      <w:r w:rsidRPr="00C205E8">
        <w:rPr>
          <w:rFonts w:ascii="Times New Roman" w:eastAsia="Times New Roman" w:hAnsi="Times New Roman"/>
        </w:rPr>
        <w:t xml:space="preserve"> from</w:t>
      </w:r>
      <w:r w:rsidRPr="00720BA1">
        <w:rPr>
          <w:rFonts w:ascii="Times New Roman" w:eastAsia="Times New Roman" w:hAnsi="Times New Roman"/>
        </w:rPr>
        <w:t xml:space="preserve"> $</w:t>
      </w:r>
      <w:r w:rsidR="00A53AD1">
        <w:rPr>
          <w:rFonts w:ascii="Times New Roman" w:eastAsia="Times New Roman" w:hAnsi="Times New Roman"/>
        </w:rPr>
        <w:t xml:space="preserve">1,404,995 </w:t>
      </w:r>
      <w:r>
        <w:rPr>
          <w:rFonts w:ascii="Times New Roman" w:eastAsia="Times New Roman" w:hAnsi="Times New Roman"/>
        </w:rPr>
        <w:t>in Q4 2024</w:t>
      </w:r>
      <w:r w:rsidRPr="00720BA1">
        <w:rPr>
          <w:rFonts w:ascii="Times New Roman" w:eastAsia="Times New Roman" w:hAnsi="Times New Roman"/>
        </w:rPr>
        <w:t xml:space="preserve">. The valuation of stock options is driven by </w:t>
      </w:r>
      <w:proofErr w:type="gramStart"/>
      <w:r w:rsidRPr="00720BA1">
        <w:rPr>
          <w:rFonts w:ascii="Times New Roman" w:eastAsia="Times New Roman" w:hAnsi="Times New Roman"/>
        </w:rPr>
        <w:t>a number of</w:t>
      </w:r>
      <w:proofErr w:type="gramEnd"/>
      <w:r w:rsidRPr="00720BA1">
        <w:rPr>
          <w:rFonts w:ascii="Times New Roman" w:eastAsia="Times New Roman" w:hAnsi="Times New Roman"/>
        </w:rPr>
        <w:t xml:space="preserve"> factors including the number of options granted, the strike price and the volatility of the Company’s stock. The stock option expense is dependent on the timing of the stock option grant and the amortization of the options as they vest. The stock options vest in accordance with the policies determined by the Board of Directors at the time of the grant consistent with the provisions of the Plan</w:t>
      </w:r>
      <w:r>
        <w:rPr>
          <w:rFonts w:ascii="Times New Roman" w:eastAsia="Times New Roman" w:hAnsi="Times New Roman"/>
        </w:rPr>
        <w:t>.</w:t>
      </w:r>
    </w:p>
    <w:p w14:paraId="224FF657" w14:textId="446208A0" w:rsidR="0078121E" w:rsidRDefault="0078121E" w:rsidP="0078121E">
      <w:pPr>
        <w:widowControl/>
        <w:spacing w:after="120"/>
        <w:jc w:val="both"/>
        <w:rPr>
          <w:rFonts w:ascii="Times New Roman" w:eastAsia="Times New Roman" w:hAnsi="Times New Roman"/>
        </w:rPr>
      </w:pPr>
      <w:r>
        <w:rPr>
          <w:rFonts w:ascii="Times New Roman" w:eastAsia="Times New Roman" w:hAnsi="Times New Roman"/>
        </w:rPr>
        <w:t>General expense and rent increased by $</w:t>
      </w:r>
      <w:r w:rsidR="00A53AD1">
        <w:rPr>
          <w:rFonts w:ascii="Times New Roman" w:eastAsia="Times New Roman" w:hAnsi="Times New Roman"/>
        </w:rPr>
        <w:t>423,119</w:t>
      </w:r>
      <w:r>
        <w:rPr>
          <w:rFonts w:ascii="Times New Roman" w:eastAsia="Times New Roman" w:hAnsi="Times New Roman"/>
        </w:rPr>
        <w:t xml:space="preserve"> (</w:t>
      </w:r>
      <w:r w:rsidR="00A53AD1">
        <w:rPr>
          <w:rFonts w:ascii="Times New Roman" w:eastAsia="Times New Roman" w:hAnsi="Times New Roman"/>
        </w:rPr>
        <w:t>89</w:t>
      </w:r>
      <w:r>
        <w:rPr>
          <w:rFonts w:ascii="Times New Roman" w:eastAsia="Times New Roman" w:hAnsi="Times New Roman"/>
        </w:rPr>
        <w:t>%) to $898,056 in Q1 2025 from $</w:t>
      </w:r>
      <w:r w:rsidR="00A53AD1">
        <w:rPr>
          <w:rFonts w:ascii="Times New Roman" w:eastAsia="Times New Roman" w:hAnsi="Times New Roman"/>
        </w:rPr>
        <w:t>474,937</w:t>
      </w:r>
      <w:r>
        <w:rPr>
          <w:rFonts w:ascii="Times New Roman" w:eastAsia="Times New Roman" w:hAnsi="Times New Roman"/>
        </w:rPr>
        <w:t xml:space="preserve"> in Q4 2024. During the period, the Company increased its investor relations and marketing initiatives. The Company engaged a new firm to assist with these services during the period. Additionally, the Company moved its operations in Singapore to a new and larger facility. The Company paid rent for </w:t>
      </w:r>
      <w:r w:rsidR="00A53AD1">
        <w:rPr>
          <w:rFonts w:ascii="Times New Roman" w:eastAsia="Times New Roman" w:hAnsi="Times New Roman"/>
        </w:rPr>
        <w:t>both</w:t>
      </w:r>
      <w:r>
        <w:rPr>
          <w:rFonts w:ascii="Times New Roman" w:eastAsia="Times New Roman" w:hAnsi="Times New Roman"/>
        </w:rPr>
        <w:t xml:space="preserve"> </w:t>
      </w:r>
      <w:r w:rsidR="00A53AD1">
        <w:rPr>
          <w:rFonts w:ascii="Times New Roman" w:eastAsia="Times New Roman" w:hAnsi="Times New Roman"/>
        </w:rPr>
        <w:t>facilities</w:t>
      </w:r>
      <w:r>
        <w:rPr>
          <w:rFonts w:ascii="Times New Roman" w:eastAsia="Times New Roman" w:hAnsi="Times New Roman"/>
        </w:rPr>
        <w:t xml:space="preserve"> during </w:t>
      </w:r>
      <w:r w:rsidR="00A53AD1">
        <w:rPr>
          <w:rFonts w:ascii="Times New Roman" w:eastAsia="Times New Roman" w:hAnsi="Times New Roman"/>
        </w:rPr>
        <w:t>Q1 2025</w:t>
      </w:r>
      <w:r>
        <w:rPr>
          <w:rFonts w:ascii="Times New Roman" w:eastAsia="Times New Roman" w:hAnsi="Times New Roman"/>
        </w:rPr>
        <w:t>.</w:t>
      </w:r>
    </w:p>
    <w:p w14:paraId="77525B4C" w14:textId="2DF5E595" w:rsidR="001F7241" w:rsidRDefault="0078121E" w:rsidP="0078121E">
      <w:pPr>
        <w:widowControl/>
        <w:spacing w:after="120"/>
        <w:jc w:val="both"/>
        <w:rPr>
          <w:rFonts w:ascii="Times New Roman" w:eastAsia="Times New Roman" w:hAnsi="Times New Roman"/>
        </w:rPr>
      </w:pPr>
      <w:r>
        <w:rPr>
          <w:rFonts w:ascii="Times New Roman" w:eastAsia="Times New Roman" w:hAnsi="Times New Roman"/>
        </w:rPr>
        <w:t>Finance advisory fees</w:t>
      </w:r>
      <w:r w:rsidR="001F7241">
        <w:rPr>
          <w:rFonts w:ascii="Times New Roman" w:eastAsia="Times New Roman" w:hAnsi="Times New Roman"/>
        </w:rPr>
        <w:t xml:space="preserve"> decreased by $3,763,029 (89%) from </w:t>
      </w:r>
      <w:r>
        <w:rPr>
          <w:rFonts w:ascii="Times New Roman" w:eastAsia="Times New Roman" w:hAnsi="Times New Roman"/>
        </w:rPr>
        <w:t>$476,802 in Q1 2025 to</w:t>
      </w:r>
      <w:r w:rsidR="001F7241">
        <w:rPr>
          <w:rFonts w:ascii="Times New Roman" w:eastAsia="Times New Roman" w:hAnsi="Times New Roman"/>
        </w:rPr>
        <w:t xml:space="preserve"> $4,239,831 in</w:t>
      </w:r>
      <w:r>
        <w:rPr>
          <w:rFonts w:ascii="Times New Roman" w:eastAsia="Times New Roman" w:hAnsi="Times New Roman"/>
        </w:rPr>
        <w:t xml:space="preserve"> Q4 2024. The finance advisory fees </w:t>
      </w:r>
      <w:r w:rsidR="009A2D28">
        <w:rPr>
          <w:rFonts w:ascii="Times New Roman" w:eastAsia="Times New Roman" w:hAnsi="Times New Roman"/>
        </w:rPr>
        <w:t>are paid</w:t>
      </w:r>
      <w:r>
        <w:rPr>
          <w:rFonts w:ascii="Times New Roman" w:eastAsia="Times New Roman" w:hAnsi="Times New Roman"/>
        </w:rPr>
        <w:t xml:space="preserve"> to a firm assisting the Company on financial and strategic matters. The firm’s guidance contributed to the Company’s capital raise success in 2024 which exceeded $80 million.  </w:t>
      </w:r>
    </w:p>
    <w:p w14:paraId="4B5BE997" w14:textId="05ACC733" w:rsidR="0078121E" w:rsidRDefault="0078121E" w:rsidP="0078121E">
      <w:pPr>
        <w:widowControl/>
        <w:spacing w:after="120"/>
        <w:jc w:val="both"/>
        <w:rPr>
          <w:rFonts w:ascii="Times New Roman" w:eastAsia="Times New Roman" w:hAnsi="Times New Roman"/>
        </w:rPr>
      </w:pPr>
      <w:r>
        <w:rPr>
          <w:rFonts w:ascii="Times New Roman" w:eastAsia="Times New Roman" w:hAnsi="Times New Roman"/>
        </w:rPr>
        <w:t>The Company issued warrants</w:t>
      </w:r>
      <w:r w:rsidR="003F6A57" w:rsidRPr="003F6A57">
        <w:rPr>
          <w:rFonts w:ascii="Times New Roman" w:eastAsia="Times New Roman" w:hAnsi="Times New Roman"/>
        </w:rPr>
        <w:t xml:space="preserve"> </w:t>
      </w:r>
      <w:r w:rsidR="003F6A57">
        <w:rPr>
          <w:rFonts w:ascii="Times New Roman" w:eastAsia="Times New Roman" w:hAnsi="Times New Roman"/>
        </w:rPr>
        <w:t>which are exercisable</w:t>
      </w:r>
      <w:r>
        <w:rPr>
          <w:rFonts w:ascii="Times New Roman" w:eastAsia="Times New Roman" w:hAnsi="Times New Roman"/>
        </w:rPr>
        <w:t xml:space="preserve"> in a foreign currency in 2023 and throughout 2024. The issuance of those warrants created a derivative liability which is periodically remeasured and adjusted to reflect the fair value of the warrants. The Company had a non-cash gain of $15,382,971 during Q1 2025 from its adjustment, which represents an increase of $</w:t>
      </w:r>
      <w:r w:rsidR="001F7241">
        <w:rPr>
          <w:rFonts w:ascii="Times New Roman" w:eastAsia="Times New Roman" w:hAnsi="Times New Roman"/>
        </w:rPr>
        <w:t>27,827,632</w:t>
      </w:r>
      <w:r>
        <w:rPr>
          <w:rFonts w:ascii="Times New Roman" w:eastAsia="Times New Roman" w:hAnsi="Times New Roman"/>
        </w:rPr>
        <w:t xml:space="preserve"> over Q4 2024 where the non-cash adjustment was a loss $</w:t>
      </w:r>
      <w:r w:rsidR="001F7241">
        <w:rPr>
          <w:rFonts w:ascii="Times New Roman" w:eastAsia="Times New Roman" w:hAnsi="Times New Roman"/>
        </w:rPr>
        <w:t>12,444,661</w:t>
      </w:r>
      <w:r>
        <w:rPr>
          <w:rFonts w:ascii="Times New Roman" w:eastAsia="Times New Roman" w:hAnsi="Times New Roman"/>
        </w:rPr>
        <w:t>. 14,800 of these warrants were exercised in Q1 2025.</w:t>
      </w:r>
    </w:p>
    <w:p w14:paraId="201D2517" w14:textId="1352EF0E" w:rsidR="0078121E" w:rsidRDefault="0078121E" w:rsidP="0078121E">
      <w:pPr>
        <w:widowControl/>
        <w:spacing w:after="120"/>
        <w:jc w:val="both"/>
        <w:rPr>
          <w:rFonts w:ascii="Times New Roman" w:eastAsia="Times New Roman" w:hAnsi="Times New Roman"/>
        </w:rPr>
      </w:pPr>
      <w:r>
        <w:rPr>
          <w:rFonts w:ascii="Times New Roman" w:eastAsia="Times New Roman" w:hAnsi="Times New Roman"/>
        </w:rPr>
        <w:t>Other income, including interest increased by $</w:t>
      </w:r>
      <w:r w:rsidR="003F6A57">
        <w:rPr>
          <w:rFonts w:ascii="Times New Roman" w:eastAsia="Times New Roman" w:hAnsi="Times New Roman"/>
        </w:rPr>
        <w:t>16,334</w:t>
      </w:r>
      <w:r>
        <w:rPr>
          <w:rFonts w:ascii="Times New Roman" w:eastAsia="Times New Roman" w:hAnsi="Times New Roman"/>
        </w:rPr>
        <w:t xml:space="preserve"> (</w:t>
      </w:r>
      <w:r w:rsidR="003F6A57">
        <w:rPr>
          <w:rFonts w:ascii="Times New Roman" w:eastAsia="Times New Roman" w:hAnsi="Times New Roman"/>
        </w:rPr>
        <w:t>4</w:t>
      </w:r>
      <w:r>
        <w:rPr>
          <w:rFonts w:ascii="Times New Roman" w:eastAsia="Times New Roman" w:hAnsi="Times New Roman"/>
        </w:rPr>
        <w:t>%) to $527,782 in Q1 2025 from $</w:t>
      </w:r>
      <w:r w:rsidR="003F6A57">
        <w:rPr>
          <w:rFonts w:ascii="Times New Roman" w:eastAsia="Times New Roman" w:hAnsi="Times New Roman"/>
        </w:rPr>
        <w:t>511,448</w:t>
      </w:r>
      <w:r>
        <w:rPr>
          <w:rFonts w:ascii="Times New Roman" w:eastAsia="Times New Roman" w:hAnsi="Times New Roman"/>
        </w:rPr>
        <w:t xml:space="preserve"> in Q4 2024</w:t>
      </w:r>
      <w:r>
        <w:rPr>
          <w:rFonts w:ascii="Times New Roman" w:eastAsia="Times New Roman" w:hAnsi="Times New Roman"/>
          <w:lang w:val="en-CA"/>
        </w:rPr>
        <w:t xml:space="preserve">. The amounts recognized in both periods were all interest income earned on the Company’s cash reserves.  The company raised significant funds during 2024. </w:t>
      </w:r>
    </w:p>
    <w:p w14:paraId="455BA4B0" w14:textId="6A505378" w:rsidR="00716D21" w:rsidRDefault="000710C4" w:rsidP="000710C4">
      <w:pPr>
        <w:widowControl/>
        <w:spacing w:after="120"/>
        <w:jc w:val="both"/>
        <w:rPr>
          <w:rFonts w:ascii="Times New Roman" w:eastAsia="Times New Roman" w:hAnsi="Times New Roman"/>
          <w:i/>
          <w:u w:val="single"/>
        </w:rPr>
      </w:pPr>
      <w:r>
        <w:rPr>
          <w:rFonts w:ascii="Times New Roman" w:eastAsia="Times New Roman" w:hAnsi="Times New Roman"/>
        </w:rPr>
        <w:lastRenderedPageBreak/>
        <w:t>During Q4 2024, the Company acquired the remaining 24.8% interest of SPX from SAIC. The acquisition of this interest resulted in a non-cash loss to the Company of $6,852,687. The Company did not have a similar loss in Q1 2025. The operations of SPX were included in the consolidated operations of the Company in Q1 2025.</w:t>
      </w:r>
    </w:p>
    <w:p w14:paraId="4501D04A" w14:textId="77777777" w:rsidR="00716D21" w:rsidRDefault="00716D21" w:rsidP="002D7FBA">
      <w:pPr>
        <w:widowControl/>
        <w:spacing w:after="60"/>
        <w:jc w:val="both"/>
        <w:outlineLvl w:val="0"/>
        <w:rPr>
          <w:rFonts w:ascii="Times New Roman" w:eastAsia="Times New Roman" w:hAnsi="Times New Roman"/>
          <w:i/>
          <w:u w:val="single"/>
        </w:rPr>
      </w:pPr>
    </w:p>
    <w:p w14:paraId="62664FF4" w14:textId="67C9D51E" w:rsidR="002D7FBA" w:rsidRPr="002711E4" w:rsidRDefault="002D7FBA" w:rsidP="002D7FBA">
      <w:pPr>
        <w:widowControl/>
        <w:spacing w:after="60"/>
        <w:jc w:val="both"/>
        <w:outlineLvl w:val="0"/>
        <w:rPr>
          <w:rFonts w:ascii="Times New Roman" w:eastAsia="Times New Roman" w:hAnsi="Times New Roman"/>
          <w:i/>
          <w:u w:val="single"/>
        </w:rPr>
      </w:pPr>
      <w:r>
        <w:rPr>
          <w:rFonts w:ascii="Times New Roman" w:eastAsia="Times New Roman" w:hAnsi="Times New Roman"/>
          <w:i/>
          <w:u w:val="single"/>
        </w:rPr>
        <w:t>Q4 2024 compared to Q3 2024</w:t>
      </w:r>
      <w:r w:rsidRPr="002711E4">
        <w:rPr>
          <w:rFonts w:ascii="Times New Roman" w:eastAsia="Times New Roman" w:hAnsi="Times New Roman"/>
          <w:i/>
          <w:u w:val="single"/>
        </w:rPr>
        <w:t xml:space="preserve"> </w:t>
      </w:r>
    </w:p>
    <w:p w14:paraId="0A162DE4" w14:textId="480F3FA8" w:rsidR="002D7FBA" w:rsidRDefault="002D7FBA" w:rsidP="002D7FBA">
      <w:pPr>
        <w:widowControl/>
        <w:spacing w:after="120"/>
        <w:jc w:val="both"/>
        <w:rPr>
          <w:rFonts w:ascii="Times New Roman" w:eastAsia="Times New Roman" w:hAnsi="Times New Roman"/>
        </w:rPr>
      </w:pPr>
      <w:r w:rsidRPr="002711E4">
        <w:rPr>
          <w:rFonts w:ascii="Times New Roman" w:eastAsia="Times New Roman" w:hAnsi="Times New Roman"/>
        </w:rPr>
        <w:t xml:space="preserve">Net loss </w:t>
      </w:r>
      <w:r>
        <w:rPr>
          <w:rFonts w:ascii="Times New Roman" w:eastAsia="Times New Roman" w:hAnsi="Times New Roman"/>
        </w:rPr>
        <w:t xml:space="preserve">increased </w:t>
      </w:r>
      <w:r w:rsidRPr="002711E4">
        <w:rPr>
          <w:rFonts w:ascii="Times New Roman" w:eastAsia="Times New Roman" w:hAnsi="Times New Roman"/>
        </w:rPr>
        <w:t>by $</w:t>
      </w:r>
      <w:r>
        <w:rPr>
          <w:rFonts w:ascii="Times New Roman" w:eastAsia="Times New Roman" w:hAnsi="Times New Roman"/>
        </w:rPr>
        <w:t xml:space="preserve">17,518,702 </w:t>
      </w:r>
      <w:r w:rsidRPr="002711E4">
        <w:rPr>
          <w:rFonts w:ascii="Times New Roman" w:eastAsia="Times New Roman" w:hAnsi="Times New Roman"/>
        </w:rPr>
        <w:t>(</w:t>
      </w:r>
      <w:r>
        <w:rPr>
          <w:rFonts w:ascii="Times New Roman" w:eastAsia="Times New Roman" w:hAnsi="Times New Roman"/>
        </w:rPr>
        <w:t>138</w:t>
      </w:r>
      <w:r w:rsidRPr="002711E4">
        <w:rPr>
          <w:rFonts w:ascii="Times New Roman" w:eastAsia="Times New Roman" w:hAnsi="Times New Roman"/>
        </w:rPr>
        <w:t xml:space="preserve">%) in </w:t>
      </w:r>
      <w:r>
        <w:rPr>
          <w:rFonts w:ascii="Times New Roman" w:eastAsia="Times New Roman" w:hAnsi="Times New Roman"/>
        </w:rPr>
        <w:t>Q4 2024 to $30,259,239 from $12,740,537 in Q3 2024</w:t>
      </w:r>
      <w:r w:rsidRPr="002711E4">
        <w:rPr>
          <w:rFonts w:ascii="Times New Roman" w:eastAsia="Times New Roman" w:hAnsi="Times New Roman"/>
        </w:rPr>
        <w:t>.</w:t>
      </w:r>
    </w:p>
    <w:p w14:paraId="0FEB4D09" w14:textId="680C1A97" w:rsidR="002D7FBA" w:rsidRDefault="002D7FBA" w:rsidP="002D7FBA">
      <w:pPr>
        <w:widowControl/>
        <w:tabs>
          <w:tab w:val="left" w:pos="4536"/>
          <w:tab w:val="left" w:pos="4820"/>
        </w:tabs>
        <w:spacing w:after="120"/>
        <w:jc w:val="both"/>
        <w:rPr>
          <w:rFonts w:ascii="Times New Roman" w:eastAsia="Times New Roman" w:hAnsi="Times New Roman"/>
        </w:rPr>
      </w:pPr>
      <w:r>
        <w:rPr>
          <w:rFonts w:ascii="Times New Roman" w:eastAsia="Times New Roman" w:hAnsi="Times New Roman"/>
        </w:rPr>
        <w:t xml:space="preserve">R&amp;D </w:t>
      </w:r>
      <w:r w:rsidR="008D058E">
        <w:rPr>
          <w:rFonts w:ascii="Times New Roman" w:eastAsia="Times New Roman" w:hAnsi="Times New Roman"/>
        </w:rPr>
        <w:t>increased by</w:t>
      </w:r>
      <w:r>
        <w:rPr>
          <w:rFonts w:ascii="Times New Roman" w:eastAsia="Times New Roman" w:hAnsi="Times New Roman"/>
        </w:rPr>
        <w:t xml:space="preserve"> $</w:t>
      </w:r>
      <w:r w:rsidR="008D058E">
        <w:rPr>
          <w:rFonts w:ascii="Times New Roman" w:eastAsia="Times New Roman" w:hAnsi="Times New Roman"/>
        </w:rPr>
        <w:t>1,672,202</w:t>
      </w:r>
      <w:r>
        <w:rPr>
          <w:rFonts w:ascii="Times New Roman" w:eastAsia="Times New Roman" w:hAnsi="Times New Roman"/>
        </w:rPr>
        <w:t xml:space="preserve"> (</w:t>
      </w:r>
      <w:r w:rsidR="008D058E">
        <w:rPr>
          <w:rFonts w:ascii="Times New Roman" w:eastAsia="Times New Roman" w:hAnsi="Times New Roman"/>
        </w:rPr>
        <w:t>95</w:t>
      </w:r>
      <w:r>
        <w:rPr>
          <w:rFonts w:ascii="Times New Roman" w:eastAsia="Times New Roman" w:hAnsi="Times New Roman"/>
        </w:rPr>
        <w:t>%) to $</w:t>
      </w:r>
      <w:r w:rsidR="008D058E">
        <w:rPr>
          <w:rFonts w:ascii="Times New Roman" w:eastAsia="Times New Roman" w:hAnsi="Times New Roman"/>
        </w:rPr>
        <w:t>3,437,683</w:t>
      </w:r>
      <w:r>
        <w:rPr>
          <w:rFonts w:ascii="Times New Roman" w:eastAsia="Times New Roman" w:hAnsi="Times New Roman"/>
        </w:rPr>
        <w:t xml:space="preserve"> in Q</w:t>
      </w:r>
      <w:r w:rsidR="008D058E">
        <w:rPr>
          <w:rFonts w:ascii="Times New Roman" w:eastAsia="Times New Roman" w:hAnsi="Times New Roman"/>
        </w:rPr>
        <w:t>4</w:t>
      </w:r>
      <w:r>
        <w:rPr>
          <w:rFonts w:ascii="Times New Roman" w:eastAsia="Times New Roman" w:hAnsi="Times New Roman"/>
        </w:rPr>
        <w:t xml:space="preserve"> 2024 from $</w:t>
      </w:r>
      <w:r w:rsidR="008D058E">
        <w:rPr>
          <w:rFonts w:ascii="Times New Roman" w:eastAsia="Times New Roman" w:hAnsi="Times New Roman"/>
        </w:rPr>
        <w:t>1,765,481</w:t>
      </w:r>
      <w:r>
        <w:rPr>
          <w:rFonts w:ascii="Times New Roman" w:eastAsia="Times New Roman" w:hAnsi="Times New Roman"/>
        </w:rPr>
        <w:t xml:space="preserve"> in Q</w:t>
      </w:r>
      <w:r w:rsidR="008D058E">
        <w:rPr>
          <w:rFonts w:ascii="Times New Roman" w:eastAsia="Times New Roman" w:hAnsi="Times New Roman"/>
        </w:rPr>
        <w:t>3</w:t>
      </w:r>
      <w:r>
        <w:rPr>
          <w:rFonts w:ascii="Times New Roman" w:eastAsia="Times New Roman" w:hAnsi="Times New Roman"/>
        </w:rPr>
        <w:t xml:space="preserve"> 2024. R&amp;D for a Company at this stage of development will vary from period to period based on the development cycle and the immediate product development needs of the Company. </w:t>
      </w:r>
    </w:p>
    <w:p w14:paraId="22335994" w14:textId="78428A17" w:rsidR="00A12216" w:rsidRDefault="002D7FBA" w:rsidP="002D7FBA">
      <w:pPr>
        <w:widowControl/>
        <w:spacing w:after="120"/>
        <w:jc w:val="both"/>
        <w:rPr>
          <w:rFonts w:ascii="Times New Roman" w:eastAsia="Times New Roman" w:hAnsi="Times New Roman"/>
        </w:rPr>
      </w:pPr>
      <w:r>
        <w:rPr>
          <w:rFonts w:ascii="Times New Roman" w:hAnsi="Times New Roman"/>
          <w:color w:val="000000" w:themeColor="text1"/>
          <w:lang w:val="en-CA"/>
        </w:rPr>
        <w:t>Professional fees increased by $</w:t>
      </w:r>
      <w:r w:rsidR="00A12216">
        <w:rPr>
          <w:rFonts w:ascii="Times New Roman" w:hAnsi="Times New Roman"/>
          <w:color w:val="000000" w:themeColor="text1"/>
          <w:lang w:val="en-CA"/>
        </w:rPr>
        <w:t>198,285</w:t>
      </w:r>
      <w:r>
        <w:rPr>
          <w:rFonts w:ascii="Times New Roman" w:hAnsi="Times New Roman"/>
          <w:color w:val="000000" w:themeColor="text1"/>
          <w:lang w:val="en-CA"/>
        </w:rPr>
        <w:t xml:space="preserve"> (</w:t>
      </w:r>
      <w:r w:rsidR="00A12216">
        <w:rPr>
          <w:rFonts w:ascii="Times New Roman" w:hAnsi="Times New Roman"/>
          <w:color w:val="000000" w:themeColor="text1"/>
          <w:lang w:val="en-CA"/>
        </w:rPr>
        <w:t>41</w:t>
      </w:r>
      <w:r>
        <w:rPr>
          <w:rFonts w:ascii="Times New Roman" w:hAnsi="Times New Roman"/>
          <w:color w:val="000000" w:themeColor="text1"/>
          <w:lang w:val="en-CA"/>
        </w:rPr>
        <w:t>%) to $</w:t>
      </w:r>
      <w:r w:rsidR="00A12216">
        <w:rPr>
          <w:rFonts w:ascii="Times New Roman" w:hAnsi="Times New Roman"/>
          <w:color w:val="000000" w:themeColor="text1"/>
          <w:lang w:val="en-CA"/>
        </w:rPr>
        <w:t>679,156</w:t>
      </w:r>
      <w:r>
        <w:rPr>
          <w:rFonts w:ascii="Times New Roman" w:hAnsi="Times New Roman"/>
          <w:color w:val="000000" w:themeColor="text1"/>
          <w:lang w:val="en-CA"/>
        </w:rPr>
        <w:t xml:space="preserve"> in Q</w:t>
      </w:r>
      <w:r w:rsidR="00A12216">
        <w:rPr>
          <w:rFonts w:ascii="Times New Roman" w:hAnsi="Times New Roman"/>
          <w:color w:val="000000" w:themeColor="text1"/>
          <w:lang w:val="en-CA"/>
        </w:rPr>
        <w:t>4</w:t>
      </w:r>
      <w:r>
        <w:rPr>
          <w:rFonts w:ascii="Times New Roman" w:hAnsi="Times New Roman"/>
          <w:color w:val="000000" w:themeColor="text1"/>
          <w:lang w:val="en-CA"/>
        </w:rPr>
        <w:t xml:space="preserve"> 2024 from $</w:t>
      </w:r>
      <w:r w:rsidR="00A12216">
        <w:rPr>
          <w:rFonts w:ascii="Times New Roman" w:hAnsi="Times New Roman"/>
          <w:color w:val="000000" w:themeColor="text1"/>
          <w:lang w:val="en-CA"/>
        </w:rPr>
        <w:t>480,871</w:t>
      </w:r>
      <w:r>
        <w:rPr>
          <w:rFonts w:ascii="Times New Roman" w:hAnsi="Times New Roman"/>
          <w:color w:val="000000" w:themeColor="text1"/>
          <w:lang w:val="en-CA"/>
        </w:rPr>
        <w:t xml:space="preserve"> in Q</w:t>
      </w:r>
      <w:r w:rsidR="00A12216">
        <w:rPr>
          <w:rFonts w:ascii="Times New Roman" w:hAnsi="Times New Roman"/>
          <w:color w:val="000000" w:themeColor="text1"/>
          <w:lang w:val="en-CA"/>
        </w:rPr>
        <w:t>3</w:t>
      </w:r>
      <w:r>
        <w:rPr>
          <w:rFonts w:ascii="Times New Roman" w:hAnsi="Times New Roman"/>
          <w:color w:val="000000" w:themeColor="text1"/>
          <w:lang w:val="en-CA"/>
        </w:rPr>
        <w:t xml:space="preserve"> 2024. During Q</w:t>
      </w:r>
      <w:r w:rsidR="00A12216">
        <w:rPr>
          <w:rFonts w:ascii="Times New Roman" w:hAnsi="Times New Roman"/>
          <w:color w:val="000000" w:themeColor="text1"/>
          <w:lang w:val="en-CA"/>
        </w:rPr>
        <w:t>4</w:t>
      </w:r>
      <w:r>
        <w:rPr>
          <w:rFonts w:ascii="Times New Roman" w:hAnsi="Times New Roman"/>
          <w:color w:val="000000" w:themeColor="text1"/>
          <w:lang w:val="en-CA"/>
        </w:rPr>
        <w:t xml:space="preserve"> 2024, the Company incurred professional fees related various finance </w:t>
      </w:r>
      <w:r w:rsidR="00A12216">
        <w:rPr>
          <w:rFonts w:ascii="Times New Roman" w:hAnsi="Times New Roman"/>
          <w:color w:val="000000" w:themeColor="text1"/>
          <w:lang w:val="en-CA"/>
        </w:rPr>
        <w:t>corporate restructuring projects including the acquisition of the remaining interest in SPX.</w:t>
      </w:r>
      <w:r w:rsidR="00A12216">
        <w:rPr>
          <w:rFonts w:ascii="Times New Roman" w:eastAsia="Times New Roman" w:hAnsi="Times New Roman"/>
        </w:rPr>
        <w:t xml:space="preserve"> </w:t>
      </w:r>
    </w:p>
    <w:p w14:paraId="62B71AED" w14:textId="59B5551E" w:rsidR="002D7FBA" w:rsidRDefault="001961E2" w:rsidP="002D7FBA">
      <w:pPr>
        <w:widowControl/>
        <w:spacing w:after="120"/>
        <w:jc w:val="both"/>
        <w:rPr>
          <w:rFonts w:ascii="Times New Roman" w:eastAsia="Times New Roman" w:hAnsi="Times New Roman"/>
        </w:rPr>
      </w:pPr>
      <w:r>
        <w:rPr>
          <w:rFonts w:ascii="Times New Roman" w:eastAsia="Times New Roman" w:hAnsi="Times New Roman"/>
        </w:rPr>
        <w:t>Finance advisory fees</w:t>
      </w:r>
      <w:r w:rsidR="002D7FBA">
        <w:rPr>
          <w:rFonts w:ascii="Times New Roman" w:eastAsia="Times New Roman" w:hAnsi="Times New Roman"/>
        </w:rPr>
        <w:t xml:space="preserve"> increased by $</w:t>
      </w:r>
      <w:r w:rsidR="00A12216">
        <w:rPr>
          <w:rFonts w:ascii="Times New Roman" w:eastAsia="Times New Roman" w:hAnsi="Times New Roman"/>
        </w:rPr>
        <w:t>2,92</w:t>
      </w:r>
      <w:r>
        <w:rPr>
          <w:rFonts w:ascii="Times New Roman" w:eastAsia="Times New Roman" w:hAnsi="Times New Roman"/>
        </w:rPr>
        <w:t>0</w:t>
      </w:r>
      <w:r w:rsidR="00A12216">
        <w:rPr>
          <w:rFonts w:ascii="Times New Roman" w:eastAsia="Times New Roman" w:hAnsi="Times New Roman"/>
        </w:rPr>
        <w:t>,</w:t>
      </w:r>
      <w:r>
        <w:rPr>
          <w:rFonts w:ascii="Times New Roman" w:eastAsia="Times New Roman" w:hAnsi="Times New Roman"/>
        </w:rPr>
        <w:t>439</w:t>
      </w:r>
      <w:r w:rsidR="002D7FBA">
        <w:rPr>
          <w:rFonts w:ascii="Times New Roman" w:eastAsia="Times New Roman" w:hAnsi="Times New Roman"/>
        </w:rPr>
        <w:t xml:space="preserve"> (</w:t>
      </w:r>
      <w:r>
        <w:rPr>
          <w:rFonts w:ascii="Times New Roman" w:eastAsia="Times New Roman" w:hAnsi="Times New Roman"/>
        </w:rPr>
        <w:t>221</w:t>
      </w:r>
      <w:r w:rsidR="002D7FBA">
        <w:rPr>
          <w:rFonts w:ascii="Times New Roman" w:eastAsia="Times New Roman" w:hAnsi="Times New Roman"/>
        </w:rPr>
        <w:t>%) to $</w:t>
      </w:r>
      <w:r>
        <w:rPr>
          <w:rFonts w:ascii="Times New Roman" w:eastAsia="Times New Roman" w:hAnsi="Times New Roman"/>
        </w:rPr>
        <w:t>4,239,831</w:t>
      </w:r>
      <w:r w:rsidR="00A12216">
        <w:rPr>
          <w:rFonts w:ascii="Times New Roman" w:eastAsia="Times New Roman" w:hAnsi="Times New Roman"/>
        </w:rPr>
        <w:t xml:space="preserve"> in Q4 2024 from $</w:t>
      </w:r>
      <w:r w:rsidR="002D7FBA">
        <w:rPr>
          <w:rFonts w:ascii="Times New Roman" w:eastAsia="Times New Roman" w:hAnsi="Times New Roman"/>
        </w:rPr>
        <w:t>1,</w:t>
      </w:r>
      <w:r>
        <w:rPr>
          <w:rFonts w:ascii="Times New Roman" w:eastAsia="Times New Roman" w:hAnsi="Times New Roman"/>
        </w:rPr>
        <w:t>319,392</w:t>
      </w:r>
      <w:r w:rsidR="002D7FBA">
        <w:rPr>
          <w:rFonts w:ascii="Times New Roman" w:eastAsia="Times New Roman" w:hAnsi="Times New Roman"/>
        </w:rPr>
        <w:t xml:space="preserve"> in Q3 2024. The increase was a result of finance advisory fees paid to a firm assisting the Company on financial and strategic matters</w:t>
      </w:r>
      <w:r>
        <w:rPr>
          <w:rFonts w:ascii="Times New Roman" w:eastAsia="Times New Roman" w:hAnsi="Times New Roman"/>
        </w:rPr>
        <w:t>, the success of the efforts contributed to approximately $26 million of capital raised in Q4</w:t>
      </w:r>
      <w:r w:rsidR="002D7FBA">
        <w:rPr>
          <w:rFonts w:ascii="Times New Roman" w:eastAsia="Times New Roman" w:hAnsi="Times New Roman"/>
        </w:rPr>
        <w:t xml:space="preserve">. </w:t>
      </w:r>
    </w:p>
    <w:p w14:paraId="2590D063" w14:textId="1ADC7CD5" w:rsidR="002D7FBA" w:rsidRDefault="002D7FBA" w:rsidP="002D7FBA">
      <w:pPr>
        <w:widowControl/>
        <w:spacing w:after="120"/>
        <w:jc w:val="both"/>
        <w:rPr>
          <w:rFonts w:ascii="Times New Roman" w:eastAsia="Times New Roman" w:hAnsi="Times New Roman"/>
        </w:rPr>
      </w:pPr>
      <w:r>
        <w:rPr>
          <w:rFonts w:ascii="Times New Roman" w:eastAsia="Times New Roman" w:hAnsi="Times New Roman"/>
        </w:rPr>
        <w:t xml:space="preserve">The Company issued warrants in a foreign currency in Q4 2023 and </w:t>
      </w:r>
      <w:r w:rsidR="00A12216">
        <w:rPr>
          <w:rFonts w:ascii="Times New Roman" w:eastAsia="Times New Roman" w:hAnsi="Times New Roman"/>
        </w:rPr>
        <w:t xml:space="preserve">in </w:t>
      </w:r>
      <w:r>
        <w:rPr>
          <w:rFonts w:ascii="Times New Roman" w:eastAsia="Times New Roman" w:hAnsi="Times New Roman"/>
        </w:rPr>
        <w:t>2024. The issuance of those warrants created a derivative liability which is periodically remeasured and adjusted to reflect the fair value of the warrants. The non-cash adjustment increased by $</w:t>
      </w:r>
      <w:r w:rsidR="007A6DF4">
        <w:rPr>
          <w:rFonts w:ascii="Times New Roman" w:eastAsia="Times New Roman" w:hAnsi="Times New Roman"/>
        </w:rPr>
        <w:t>6,264,825</w:t>
      </w:r>
      <w:r>
        <w:rPr>
          <w:rFonts w:ascii="Times New Roman" w:eastAsia="Times New Roman" w:hAnsi="Times New Roman"/>
        </w:rPr>
        <w:t xml:space="preserve"> (</w:t>
      </w:r>
      <w:r w:rsidR="007A6DF4">
        <w:rPr>
          <w:rFonts w:ascii="Times New Roman" w:eastAsia="Times New Roman" w:hAnsi="Times New Roman"/>
        </w:rPr>
        <w:t>101</w:t>
      </w:r>
      <w:r>
        <w:rPr>
          <w:rFonts w:ascii="Times New Roman" w:eastAsia="Times New Roman" w:hAnsi="Times New Roman"/>
        </w:rPr>
        <w:t>%) to $</w:t>
      </w:r>
      <w:r w:rsidR="007A6DF4">
        <w:rPr>
          <w:rFonts w:ascii="Times New Roman" w:eastAsia="Times New Roman" w:hAnsi="Times New Roman"/>
        </w:rPr>
        <w:t>12,444,661</w:t>
      </w:r>
      <w:r>
        <w:rPr>
          <w:rFonts w:ascii="Times New Roman" w:eastAsia="Times New Roman" w:hAnsi="Times New Roman"/>
        </w:rPr>
        <w:t xml:space="preserve"> in Q</w:t>
      </w:r>
      <w:r w:rsidR="007A6DF4">
        <w:rPr>
          <w:rFonts w:ascii="Times New Roman" w:eastAsia="Times New Roman" w:hAnsi="Times New Roman"/>
        </w:rPr>
        <w:t>4</w:t>
      </w:r>
      <w:r>
        <w:rPr>
          <w:rFonts w:ascii="Times New Roman" w:eastAsia="Times New Roman" w:hAnsi="Times New Roman"/>
        </w:rPr>
        <w:t xml:space="preserve"> 2024 from $</w:t>
      </w:r>
      <w:r w:rsidR="007A6DF4">
        <w:rPr>
          <w:rFonts w:ascii="Times New Roman" w:eastAsia="Times New Roman" w:hAnsi="Times New Roman"/>
        </w:rPr>
        <w:t>6,179,836</w:t>
      </w:r>
      <w:r>
        <w:rPr>
          <w:rFonts w:ascii="Times New Roman" w:eastAsia="Times New Roman" w:hAnsi="Times New Roman"/>
        </w:rPr>
        <w:t xml:space="preserve"> in Q</w:t>
      </w:r>
      <w:r w:rsidR="007A6DF4">
        <w:rPr>
          <w:rFonts w:ascii="Times New Roman" w:eastAsia="Times New Roman" w:hAnsi="Times New Roman"/>
        </w:rPr>
        <w:t>3</w:t>
      </w:r>
      <w:r>
        <w:rPr>
          <w:rFonts w:ascii="Times New Roman" w:eastAsia="Times New Roman" w:hAnsi="Times New Roman"/>
        </w:rPr>
        <w:t xml:space="preserve"> 2024. The non-cash adjustment relates to the fair value adjustment of the derivative liability on the remaining and exercised warrants.  </w:t>
      </w:r>
      <w:r w:rsidR="007A6DF4">
        <w:rPr>
          <w:rFonts w:ascii="Times New Roman" w:eastAsia="Times New Roman" w:hAnsi="Times New Roman"/>
        </w:rPr>
        <w:t>262,200</w:t>
      </w:r>
      <w:r>
        <w:rPr>
          <w:rFonts w:ascii="Times New Roman" w:eastAsia="Times New Roman" w:hAnsi="Times New Roman"/>
        </w:rPr>
        <w:t xml:space="preserve"> of these warrants were exercised in Q</w:t>
      </w:r>
      <w:r w:rsidR="007A6DF4">
        <w:rPr>
          <w:rFonts w:ascii="Times New Roman" w:eastAsia="Times New Roman" w:hAnsi="Times New Roman"/>
        </w:rPr>
        <w:t>4</w:t>
      </w:r>
      <w:r>
        <w:rPr>
          <w:rFonts w:ascii="Times New Roman" w:eastAsia="Times New Roman" w:hAnsi="Times New Roman"/>
        </w:rPr>
        <w:t xml:space="preserve"> 2024. </w:t>
      </w:r>
    </w:p>
    <w:p w14:paraId="1F679084" w14:textId="085029FE" w:rsidR="007A6DF4" w:rsidRDefault="007A6DF4" w:rsidP="007A6DF4">
      <w:pPr>
        <w:widowControl/>
        <w:spacing w:after="120"/>
        <w:jc w:val="both"/>
        <w:rPr>
          <w:rFonts w:ascii="Times New Roman" w:eastAsia="Times New Roman" w:hAnsi="Times New Roman"/>
        </w:rPr>
      </w:pPr>
      <w:r>
        <w:rPr>
          <w:rFonts w:ascii="Times New Roman" w:eastAsia="Times New Roman" w:hAnsi="Times New Roman"/>
        </w:rPr>
        <w:t>During Q4 2024, the Company acquired the remaining 24.8% interest of SPX from SAIC. The acquisition of this interest resulted in a non-cash loss to the Company of $6,852,687. The Company did not have a similar loss in Q3 2024.</w:t>
      </w:r>
    </w:p>
    <w:p w14:paraId="641276B2" w14:textId="37551EF0" w:rsidR="00B95731" w:rsidRDefault="002D7FBA" w:rsidP="007A6DF4">
      <w:pPr>
        <w:widowControl/>
        <w:spacing w:after="120"/>
        <w:jc w:val="both"/>
        <w:rPr>
          <w:rFonts w:ascii="Times New Roman" w:eastAsia="Times New Roman" w:hAnsi="Times New Roman"/>
          <w:i/>
          <w:u w:val="single"/>
        </w:rPr>
      </w:pPr>
      <w:r>
        <w:rPr>
          <w:rFonts w:ascii="Times New Roman" w:eastAsia="Times New Roman" w:hAnsi="Times New Roman"/>
        </w:rPr>
        <w:t>Other income, including interest increased by $</w:t>
      </w:r>
      <w:r w:rsidR="007A6DF4">
        <w:rPr>
          <w:rFonts w:ascii="Times New Roman" w:eastAsia="Times New Roman" w:hAnsi="Times New Roman"/>
        </w:rPr>
        <w:t>295,111</w:t>
      </w:r>
      <w:r>
        <w:rPr>
          <w:rFonts w:ascii="Times New Roman" w:eastAsia="Times New Roman" w:hAnsi="Times New Roman"/>
        </w:rPr>
        <w:t xml:space="preserve"> (</w:t>
      </w:r>
      <w:r w:rsidR="007A6DF4">
        <w:rPr>
          <w:rFonts w:ascii="Times New Roman" w:eastAsia="Times New Roman" w:hAnsi="Times New Roman"/>
        </w:rPr>
        <w:t>136</w:t>
      </w:r>
      <w:r>
        <w:rPr>
          <w:rFonts w:ascii="Times New Roman" w:eastAsia="Times New Roman" w:hAnsi="Times New Roman"/>
        </w:rPr>
        <w:t>%) to $</w:t>
      </w:r>
      <w:r w:rsidR="007A6DF4">
        <w:rPr>
          <w:rFonts w:ascii="Times New Roman" w:eastAsia="Times New Roman" w:hAnsi="Times New Roman"/>
        </w:rPr>
        <w:t>511,448</w:t>
      </w:r>
      <w:r>
        <w:rPr>
          <w:rFonts w:ascii="Times New Roman" w:eastAsia="Times New Roman" w:hAnsi="Times New Roman"/>
        </w:rPr>
        <w:t xml:space="preserve"> in Q</w:t>
      </w:r>
      <w:r w:rsidR="007A6DF4">
        <w:rPr>
          <w:rFonts w:ascii="Times New Roman" w:eastAsia="Times New Roman" w:hAnsi="Times New Roman"/>
        </w:rPr>
        <w:t>4</w:t>
      </w:r>
      <w:r>
        <w:rPr>
          <w:rFonts w:ascii="Times New Roman" w:eastAsia="Times New Roman" w:hAnsi="Times New Roman"/>
        </w:rPr>
        <w:t xml:space="preserve"> 2024 from $</w:t>
      </w:r>
      <w:r w:rsidR="007A6DF4">
        <w:rPr>
          <w:rFonts w:ascii="Times New Roman" w:eastAsia="Times New Roman" w:hAnsi="Times New Roman"/>
        </w:rPr>
        <w:t>216,337</w:t>
      </w:r>
      <w:r>
        <w:rPr>
          <w:rFonts w:ascii="Times New Roman" w:eastAsia="Times New Roman" w:hAnsi="Times New Roman"/>
        </w:rPr>
        <w:t xml:space="preserve"> in Q</w:t>
      </w:r>
      <w:r w:rsidR="007A6DF4">
        <w:rPr>
          <w:rFonts w:ascii="Times New Roman" w:eastAsia="Times New Roman" w:hAnsi="Times New Roman"/>
        </w:rPr>
        <w:t>3</w:t>
      </w:r>
      <w:r>
        <w:rPr>
          <w:rFonts w:ascii="Times New Roman" w:eastAsia="Times New Roman" w:hAnsi="Times New Roman"/>
        </w:rPr>
        <w:t xml:space="preserve"> 2024</w:t>
      </w:r>
      <w:r>
        <w:rPr>
          <w:rFonts w:ascii="Times New Roman" w:eastAsia="Times New Roman" w:hAnsi="Times New Roman"/>
          <w:lang w:val="en-CA"/>
        </w:rPr>
        <w:t xml:space="preserve">. The amounts recognized in both periods were all interest income earned on the Company’s cash reserves.  The company raised significant funds during 2024. </w:t>
      </w:r>
    </w:p>
    <w:p w14:paraId="162FE131" w14:textId="77777777" w:rsidR="00B95731" w:rsidRDefault="00B95731" w:rsidP="00E424BE">
      <w:pPr>
        <w:widowControl/>
        <w:spacing w:after="60"/>
        <w:jc w:val="both"/>
        <w:outlineLvl w:val="0"/>
        <w:rPr>
          <w:rFonts w:ascii="Times New Roman" w:eastAsia="Times New Roman" w:hAnsi="Times New Roman"/>
          <w:i/>
          <w:u w:val="single"/>
        </w:rPr>
      </w:pPr>
    </w:p>
    <w:p w14:paraId="535F6674" w14:textId="33607331" w:rsidR="00E424BE" w:rsidRPr="002711E4" w:rsidRDefault="00E424BE" w:rsidP="00E424BE">
      <w:pPr>
        <w:widowControl/>
        <w:spacing w:after="60"/>
        <w:jc w:val="both"/>
        <w:outlineLvl w:val="0"/>
        <w:rPr>
          <w:rFonts w:ascii="Times New Roman" w:eastAsia="Times New Roman" w:hAnsi="Times New Roman"/>
          <w:i/>
          <w:u w:val="single"/>
        </w:rPr>
      </w:pPr>
      <w:r>
        <w:rPr>
          <w:rFonts w:ascii="Times New Roman" w:eastAsia="Times New Roman" w:hAnsi="Times New Roman"/>
          <w:i/>
          <w:u w:val="single"/>
        </w:rPr>
        <w:t>Q3 2024 compared to Q2 2024</w:t>
      </w:r>
      <w:r w:rsidRPr="002711E4">
        <w:rPr>
          <w:rFonts w:ascii="Times New Roman" w:eastAsia="Times New Roman" w:hAnsi="Times New Roman"/>
          <w:i/>
          <w:u w:val="single"/>
        </w:rPr>
        <w:t xml:space="preserve"> </w:t>
      </w:r>
    </w:p>
    <w:p w14:paraId="25E67642" w14:textId="7AC8BEE6" w:rsidR="00E424BE" w:rsidRDefault="00E424BE" w:rsidP="00E424BE">
      <w:pPr>
        <w:widowControl/>
        <w:spacing w:after="120"/>
        <w:jc w:val="both"/>
        <w:rPr>
          <w:rFonts w:ascii="Times New Roman" w:eastAsia="Times New Roman" w:hAnsi="Times New Roman"/>
        </w:rPr>
      </w:pPr>
      <w:r w:rsidRPr="002711E4">
        <w:rPr>
          <w:rFonts w:ascii="Times New Roman" w:eastAsia="Times New Roman" w:hAnsi="Times New Roman"/>
        </w:rPr>
        <w:t xml:space="preserve">Net loss </w:t>
      </w:r>
      <w:r>
        <w:rPr>
          <w:rFonts w:ascii="Times New Roman" w:eastAsia="Times New Roman" w:hAnsi="Times New Roman"/>
        </w:rPr>
        <w:t xml:space="preserve">increased </w:t>
      </w:r>
      <w:r w:rsidRPr="002711E4">
        <w:rPr>
          <w:rFonts w:ascii="Times New Roman" w:eastAsia="Times New Roman" w:hAnsi="Times New Roman"/>
        </w:rPr>
        <w:t>by $</w:t>
      </w:r>
      <w:r>
        <w:rPr>
          <w:rFonts w:ascii="Times New Roman" w:eastAsia="Times New Roman" w:hAnsi="Times New Roman"/>
        </w:rPr>
        <w:t xml:space="preserve">4,760,668 </w:t>
      </w:r>
      <w:r w:rsidRPr="002711E4">
        <w:rPr>
          <w:rFonts w:ascii="Times New Roman" w:eastAsia="Times New Roman" w:hAnsi="Times New Roman"/>
        </w:rPr>
        <w:t>(</w:t>
      </w:r>
      <w:r>
        <w:rPr>
          <w:rFonts w:ascii="Times New Roman" w:eastAsia="Times New Roman" w:hAnsi="Times New Roman"/>
        </w:rPr>
        <w:t>60</w:t>
      </w:r>
      <w:r w:rsidRPr="002711E4">
        <w:rPr>
          <w:rFonts w:ascii="Times New Roman" w:eastAsia="Times New Roman" w:hAnsi="Times New Roman"/>
        </w:rPr>
        <w:t xml:space="preserve">%) in </w:t>
      </w:r>
      <w:r>
        <w:rPr>
          <w:rFonts w:ascii="Times New Roman" w:eastAsia="Times New Roman" w:hAnsi="Times New Roman"/>
        </w:rPr>
        <w:t>Q3 2024 to $12,740,537 from 7,979,869 in Q2 2024</w:t>
      </w:r>
      <w:r w:rsidRPr="002711E4">
        <w:rPr>
          <w:rFonts w:ascii="Times New Roman" w:eastAsia="Times New Roman" w:hAnsi="Times New Roman"/>
        </w:rPr>
        <w:t>.</w:t>
      </w:r>
    </w:p>
    <w:p w14:paraId="4C1D6A53" w14:textId="5859CDED" w:rsidR="00E424BE" w:rsidRDefault="00E424BE" w:rsidP="00E424BE">
      <w:pPr>
        <w:widowControl/>
        <w:tabs>
          <w:tab w:val="left" w:pos="4536"/>
          <w:tab w:val="left" w:pos="4820"/>
        </w:tabs>
        <w:spacing w:after="120"/>
        <w:jc w:val="both"/>
        <w:rPr>
          <w:rFonts w:ascii="Times New Roman" w:eastAsia="Times New Roman" w:hAnsi="Times New Roman"/>
        </w:rPr>
      </w:pPr>
      <w:r>
        <w:rPr>
          <w:rFonts w:ascii="Times New Roman" w:eastAsia="Times New Roman" w:hAnsi="Times New Roman"/>
        </w:rPr>
        <w:t xml:space="preserve">R&amp;D decreased by $352,347 (17%) to $1,765,481 in Q3 2024 from $2,117,828 in Q2 2024. R&amp;D for a Company at this stage of development will vary from period to period based on the development cycle and the immediate product development needs of the Company. </w:t>
      </w:r>
    </w:p>
    <w:p w14:paraId="1F84E312" w14:textId="6BBE3105" w:rsidR="00E424BE" w:rsidRDefault="00E424BE" w:rsidP="00E424BE">
      <w:pPr>
        <w:widowControl/>
        <w:spacing w:after="120"/>
        <w:jc w:val="both"/>
        <w:rPr>
          <w:rFonts w:ascii="Times New Roman" w:hAnsi="Times New Roman"/>
          <w:color w:val="000000" w:themeColor="text1"/>
          <w:lang w:val="en-CA"/>
        </w:rPr>
      </w:pPr>
      <w:r>
        <w:rPr>
          <w:rFonts w:ascii="Times New Roman" w:hAnsi="Times New Roman"/>
          <w:color w:val="000000" w:themeColor="text1"/>
          <w:lang w:val="en-CA"/>
        </w:rPr>
        <w:t xml:space="preserve">Professional fees increased by $114,032 (31%) to $480,871 in Q3 2024 from $366,839 in Q2 2024. During Q3 2024, the Company incurred professional fees related various finance related projects including the preparation and filing of various registration statements. </w:t>
      </w:r>
    </w:p>
    <w:p w14:paraId="196460C5" w14:textId="323A916E" w:rsidR="00E424BE" w:rsidRDefault="00E424BE" w:rsidP="00E424BE">
      <w:pPr>
        <w:widowControl/>
        <w:spacing w:after="120"/>
        <w:jc w:val="both"/>
        <w:rPr>
          <w:rFonts w:ascii="Times New Roman" w:eastAsia="Times New Roman" w:hAnsi="Times New Roman"/>
        </w:rPr>
      </w:pPr>
      <w:r>
        <w:rPr>
          <w:rFonts w:ascii="Times New Roman" w:eastAsia="Times New Roman" w:hAnsi="Times New Roman"/>
        </w:rPr>
        <w:t xml:space="preserve">Wages and benefits decreased by $112,183 (14%) to $667,963 in Q3 2024 from $780,146 in Q2 2024. During Q2 2024, the Company paid performance and retention bonuses to certain members of the team. </w:t>
      </w:r>
    </w:p>
    <w:p w14:paraId="74ECA3A0" w14:textId="3644B5AE" w:rsidR="00E424BE" w:rsidRDefault="001961E2" w:rsidP="00E424BE">
      <w:pPr>
        <w:widowControl/>
        <w:spacing w:after="120"/>
        <w:jc w:val="both"/>
        <w:rPr>
          <w:rFonts w:ascii="Times New Roman" w:eastAsia="Times New Roman" w:hAnsi="Times New Roman"/>
        </w:rPr>
      </w:pPr>
      <w:r>
        <w:rPr>
          <w:rFonts w:ascii="Times New Roman" w:eastAsia="Times New Roman" w:hAnsi="Times New Roman"/>
        </w:rPr>
        <w:lastRenderedPageBreak/>
        <w:t>Finance advisory fees</w:t>
      </w:r>
      <w:r w:rsidR="00E424BE">
        <w:rPr>
          <w:rFonts w:ascii="Times New Roman" w:eastAsia="Times New Roman" w:hAnsi="Times New Roman"/>
        </w:rPr>
        <w:t xml:space="preserve"> increased by $</w:t>
      </w:r>
      <w:r>
        <w:rPr>
          <w:rFonts w:ascii="Times New Roman" w:eastAsia="Times New Roman" w:hAnsi="Times New Roman"/>
        </w:rPr>
        <w:t>37</w:t>
      </w:r>
      <w:r w:rsidR="008A3E1E">
        <w:rPr>
          <w:rFonts w:ascii="Times New Roman" w:eastAsia="Times New Roman" w:hAnsi="Times New Roman"/>
        </w:rPr>
        <w:t>6</w:t>
      </w:r>
      <w:r>
        <w:rPr>
          <w:rFonts w:ascii="Times New Roman" w:eastAsia="Times New Roman" w:hAnsi="Times New Roman"/>
        </w:rPr>
        <w:t>,816</w:t>
      </w:r>
      <w:r w:rsidR="00E424BE">
        <w:rPr>
          <w:rFonts w:ascii="Times New Roman" w:eastAsia="Times New Roman" w:hAnsi="Times New Roman"/>
        </w:rPr>
        <w:t xml:space="preserve"> (</w:t>
      </w:r>
      <w:r>
        <w:rPr>
          <w:rFonts w:ascii="Times New Roman" w:eastAsia="Times New Roman" w:hAnsi="Times New Roman"/>
        </w:rPr>
        <w:t>40</w:t>
      </w:r>
      <w:r w:rsidR="00E424BE">
        <w:rPr>
          <w:rFonts w:ascii="Times New Roman" w:eastAsia="Times New Roman" w:hAnsi="Times New Roman"/>
        </w:rPr>
        <w:t>%) to $1,</w:t>
      </w:r>
      <w:r>
        <w:rPr>
          <w:rFonts w:ascii="Times New Roman" w:eastAsia="Times New Roman" w:hAnsi="Times New Roman"/>
        </w:rPr>
        <w:t>3</w:t>
      </w:r>
      <w:r w:rsidR="008A3E1E">
        <w:rPr>
          <w:rFonts w:ascii="Times New Roman" w:eastAsia="Times New Roman" w:hAnsi="Times New Roman"/>
        </w:rPr>
        <w:t>19,392</w:t>
      </w:r>
      <w:r w:rsidR="00E424BE">
        <w:rPr>
          <w:rFonts w:ascii="Times New Roman" w:eastAsia="Times New Roman" w:hAnsi="Times New Roman"/>
        </w:rPr>
        <w:t xml:space="preserve"> in Q3 2024 from $</w:t>
      </w:r>
      <w:r>
        <w:rPr>
          <w:rFonts w:ascii="Times New Roman" w:eastAsia="Times New Roman" w:hAnsi="Times New Roman"/>
        </w:rPr>
        <w:t>942,576</w:t>
      </w:r>
      <w:r w:rsidR="00E424BE">
        <w:rPr>
          <w:rFonts w:ascii="Times New Roman" w:eastAsia="Times New Roman" w:hAnsi="Times New Roman"/>
        </w:rPr>
        <w:t xml:space="preserve"> in Q2 2024. </w:t>
      </w:r>
      <w:r w:rsidR="00745062">
        <w:rPr>
          <w:rFonts w:ascii="Times New Roman" w:eastAsia="Times New Roman" w:hAnsi="Times New Roman"/>
        </w:rPr>
        <w:t xml:space="preserve">The increase was a result </w:t>
      </w:r>
      <w:r w:rsidR="00E424BE">
        <w:rPr>
          <w:rFonts w:ascii="Times New Roman" w:eastAsia="Times New Roman" w:hAnsi="Times New Roman"/>
        </w:rPr>
        <w:t xml:space="preserve">of finance advisory fees paid to a firm assisting the Company on financial and strategic matters. </w:t>
      </w:r>
      <w:r w:rsidR="00375C63">
        <w:rPr>
          <w:rFonts w:ascii="Times New Roman" w:eastAsia="Times New Roman" w:hAnsi="Times New Roman"/>
        </w:rPr>
        <w:t>The firm’s guidance contributed to the Company’s capital raise success</w:t>
      </w:r>
      <w:r>
        <w:rPr>
          <w:rFonts w:ascii="Times New Roman" w:eastAsia="Times New Roman" w:hAnsi="Times New Roman"/>
        </w:rPr>
        <w:t xml:space="preserve">es since April of </w:t>
      </w:r>
      <w:r w:rsidR="00375C63">
        <w:rPr>
          <w:rFonts w:ascii="Times New Roman" w:eastAsia="Times New Roman" w:hAnsi="Times New Roman"/>
        </w:rPr>
        <w:t>2024</w:t>
      </w:r>
      <w:r>
        <w:rPr>
          <w:rFonts w:ascii="Times New Roman" w:eastAsia="Times New Roman" w:hAnsi="Times New Roman"/>
        </w:rPr>
        <w:t>.</w:t>
      </w:r>
    </w:p>
    <w:p w14:paraId="354E2604" w14:textId="76BF571B" w:rsidR="00E424BE" w:rsidRDefault="00E424BE" w:rsidP="00E424BE">
      <w:pPr>
        <w:widowControl/>
        <w:spacing w:after="120"/>
        <w:jc w:val="both"/>
        <w:rPr>
          <w:rFonts w:ascii="Times New Roman" w:eastAsia="Times New Roman" w:hAnsi="Times New Roman"/>
        </w:rPr>
      </w:pPr>
      <w:r>
        <w:rPr>
          <w:rFonts w:ascii="Times New Roman" w:eastAsia="Times New Roman" w:hAnsi="Times New Roman"/>
        </w:rPr>
        <w:t xml:space="preserve">The Company issued warrants in a foreign currency in Q4 2023 and </w:t>
      </w:r>
      <w:r w:rsidR="00461841">
        <w:rPr>
          <w:rFonts w:ascii="Times New Roman" w:eastAsia="Times New Roman" w:hAnsi="Times New Roman"/>
        </w:rPr>
        <w:t>during</w:t>
      </w:r>
      <w:r>
        <w:rPr>
          <w:rFonts w:ascii="Times New Roman" w:eastAsia="Times New Roman" w:hAnsi="Times New Roman"/>
        </w:rPr>
        <w:t xml:space="preserve"> 2024. The issuance of those warrants created a derivative liability which is periodically remeasured and adjusted to reflect the fair value of the warrants. The non-cash adjustment</w:t>
      </w:r>
      <w:r w:rsidR="00745062">
        <w:rPr>
          <w:rFonts w:ascii="Times New Roman" w:eastAsia="Times New Roman" w:hAnsi="Times New Roman"/>
        </w:rPr>
        <w:t xml:space="preserve"> increased by</w:t>
      </w:r>
      <w:r>
        <w:rPr>
          <w:rFonts w:ascii="Times New Roman" w:eastAsia="Times New Roman" w:hAnsi="Times New Roman"/>
        </w:rPr>
        <w:t xml:space="preserve"> $</w:t>
      </w:r>
      <w:r w:rsidR="00745062">
        <w:rPr>
          <w:rFonts w:ascii="Times New Roman" w:eastAsia="Times New Roman" w:hAnsi="Times New Roman"/>
        </w:rPr>
        <w:t>4,803,075</w:t>
      </w:r>
      <w:r>
        <w:rPr>
          <w:rFonts w:ascii="Times New Roman" w:eastAsia="Times New Roman" w:hAnsi="Times New Roman"/>
        </w:rPr>
        <w:t xml:space="preserve"> </w:t>
      </w:r>
      <w:r w:rsidR="00745062">
        <w:rPr>
          <w:rFonts w:ascii="Times New Roman" w:eastAsia="Times New Roman" w:hAnsi="Times New Roman"/>
        </w:rPr>
        <w:t xml:space="preserve">(349%) to $6,179,836 in Q3 2024 from $1,376,761 in </w:t>
      </w:r>
      <w:r>
        <w:rPr>
          <w:rFonts w:ascii="Times New Roman" w:eastAsia="Times New Roman" w:hAnsi="Times New Roman"/>
        </w:rPr>
        <w:t>Q</w:t>
      </w:r>
      <w:r w:rsidR="00745062">
        <w:rPr>
          <w:rFonts w:ascii="Times New Roman" w:eastAsia="Times New Roman" w:hAnsi="Times New Roman"/>
        </w:rPr>
        <w:t>2</w:t>
      </w:r>
      <w:r>
        <w:rPr>
          <w:rFonts w:ascii="Times New Roman" w:eastAsia="Times New Roman" w:hAnsi="Times New Roman"/>
        </w:rPr>
        <w:t xml:space="preserve"> 2024</w:t>
      </w:r>
      <w:r w:rsidR="00745062">
        <w:rPr>
          <w:rFonts w:ascii="Times New Roman" w:eastAsia="Times New Roman" w:hAnsi="Times New Roman"/>
        </w:rPr>
        <w:t xml:space="preserve">. The non-cash adjustment relates to the </w:t>
      </w:r>
      <w:r>
        <w:rPr>
          <w:rFonts w:ascii="Times New Roman" w:eastAsia="Times New Roman" w:hAnsi="Times New Roman"/>
        </w:rPr>
        <w:t>fair value adjustment of the derivative liability on the remaining and exercised warrants.  416,000 of these warrants were exercised in Q3 2024</w:t>
      </w:r>
      <w:r w:rsidR="00745062">
        <w:rPr>
          <w:rFonts w:ascii="Times New Roman" w:eastAsia="Times New Roman" w:hAnsi="Times New Roman"/>
        </w:rPr>
        <w:t>. The Company also issued 5,333,334 warrants in Q3 2024</w:t>
      </w:r>
      <w:r>
        <w:rPr>
          <w:rFonts w:ascii="Times New Roman" w:eastAsia="Times New Roman" w:hAnsi="Times New Roman"/>
        </w:rPr>
        <w:t>.</w:t>
      </w:r>
    </w:p>
    <w:p w14:paraId="135A0ABE" w14:textId="21153EA7" w:rsidR="00745062" w:rsidRDefault="00745062" w:rsidP="00745062">
      <w:pPr>
        <w:widowControl/>
        <w:spacing w:after="120"/>
        <w:jc w:val="both"/>
        <w:rPr>
          <w:rFonts w:ascii="Times New Roman" w:eastAsia="Times New Roman" w:hAnsi="Times New Roman"/>
        </w:rPr>
      </w:pPr>
      <w:r>
        <w:rPr>
          <w:rFonts w:ascii="Times New Roman" w:eastAsia="Times New Roman" w:hAnsi="Times New Roman"/>
        </w:rPr>
        <w:t>Other income, including interest increased by $41,426 (24%) to $216,337 in Q3 2024 from $174,911 in Q2 2024</w:t>
      </w:r>
      <w:r>
        <w:rPr>
          <w:rFonts w:ascii="Times New Roman" w:eastAsia="Times New Roman" w:hAnsi="Times New Roman"/>
          <w:lang w:val="en-CA"/>
        </w:rPr>
        <w:t xml:space="preserve">. The amounts recognized in both periods were all interest income earned on the Company’s cash reserves.  The company raised significant funds during 2024. </w:t>
      </w:r>
    </w:p>
    <w:p w14:paraId="27A08FFC" w14:textId="77777777" w:rsidR="00E424BE" w:rsidRDefault="00E424BE" w:rsidP="00F52BB8">
      <w:pPr>
        <w:widowControl/>
        <w:spacing w:after="60"/>
        <w:jc w:val="both"/>
        <w:outlineLvl w:val="0"/>
        <w:rPr>
          <w:rFonts w:ascii="Times New Roman" w:eastAsia="Times New Roman" w:hAnsi="Times New Roman"/>
          <w:i/>
          <w:u w:val="single"/>
        </w:rPr>
      </w:pPr>
    </w:p>
    <w:p w14:paraId="3AC923DA" w14:textId="62AD263B" w:rsidR="00F52BB8" w:rsidRPr="002711E4" w:rsidRDefault="00F52BB8" w:rsidP="00F52BB8">
      <w:pPr>
        <w:widowControl/>
        <w:spacing w:after="60"/>
        <w:jc w:val="both"/>
        <w:outlineLvl w:val="0"/>
        <w:rPr>
          <w:rFonts w:ascii="Times New Roman" w:eastAsia="Times New Roman" w:hAnsi="Times New Roman"/>
          <w:i/>
          <w:u w:val="single"/>
        </w:rPr>
      </w:pPr>
      <w:r>
        <w:rPr>
          <w:rFonts w:ascii="Times New Roman" w:eastAsia="Times New Roman" w:hAnsi="Times New Roman"/>
          <w:i/>
          <w:u w:val="single"/>
        </w:rPr>
        <w:t>Q2 2024 compared to Q1 2024</w:t>
      </w:r>
      <w:r w:rsidRPr="002711E4">
        <w:rPr>
          <w:rFonts w:ascii="Times New Roman" w:eastAsia="Times New Roman" w:hAnsi="Times New Roman"/>
          <w:i/>
          <w:u w:val="single"/>
        </w:rPr>
        <w:t xml:space="preserve"> </w:t>
      </w:r>
    </w:p>
    <w:p w14:paraId="517130CB" w14:textId="1C1F2C1E" w:rsidR="00F52BB8" w:rsidRDefault="00F52BB8" w:rsidP="00F52BB8">
      <w:pPr>
        <w:widowControl/>
        <w:spacing w:after="120"/>
        <w:jc w:val="both"/>
        <w:rPr>
          <w:rFonts w:ascii="Times New Roman" w:eastAsia="Times New Roman" w:hAnsi="Times New Roman"/>
        </w:rPr>
      </w:pPr>
      <w:r w:rsidRPr="002711E4">
        <w:rPr>
          <w:rFonts w:ascii="Times New Roman" w:eastAsia="Times New Roman" w:hAnsi="Times New Roman"/>
        </w:rPr>
        <w:t xml:space="preserve">Net loss </w:t>
      </w:r>
      <w:r>
        <w:rPr>
          <w:rFonts w:ascii="Times New Roman" w:eastAsia="Times New Roman" w:hAnsi="Times New Roman"/>
        </w:rPr>
        <w:t xml:space="preserve">increased </w:t>
      </w:r>
      <w:r w:rsidRPr="002711E4">
        <w:rPr>
          <w:rFonts w:ascii="Times New Roman" w:eastAsia="Times New Roman" w:hAnsi="Times New Roman"/>
        </w:rPr>
        <w:t>by $</w:t>
      </w:r>
      <w:r w:rsidR="00267F22">
        <w:rPr>
          <w:rFonts w:ascii="Times New Roman" w:eastAsia="Times New Roman" w:hAnsi="Times New Roman"/>
        </w:rPr>
        <w:t>2,263,691</w:t>
      </w:r>
      <w:r>
        <w:rPr>
          <w:rFonts w:ascii="Times New Roman" w:eastAsia="Times New Roman" w:hAnsi="Times New Roman"/>
        </w:rPr>
        <w:t xml:space="preserve"> </w:t>
      </w:r>
      <w:r w:rsidRPr="002711E4">
        <w:rPr>
          <w:rFonts w:ascii="Times New Roman" w:eastAsia="Times New Roman" w:hAnsi="Times New Roman"/>
        </w:rPr>
        <w:t>(</w:t>
      </w:r>
      <w:r w:rsidR="00267F22">
        <w:rPr>
          <w:rFonts w:ascii="Times New Roman" w:eastAsia="Times New Roman" w:hAnsi="Times New Roman"/>
        </w:rPr>
        <w:t>40</w:t>
      </w:r>
      <w:r w:rsidRPr="002711E4">
        <w:rPr>
          <w:rFonts w:ascii="Times New Roman" w:eastAsia="Times New Roman" w:hAnsi="Times New Roman"/>
        </w:rPr>
        <w:t xml:space="preserve">%) in </w:t>
      </w:r>
      <w:r>
        <w:rPr>
          <w:rFonts w:ascii="Times New Roman" w:eastAsia="Times New Roman" w:hAnsi="Times New Roman"/>
        </w:rPr>
        <w:t>Q2 2024 to $</w:t>
      </w:r>
      <w:r w:rsidR="008722AF">
        <w:rPr>
          <w:rFonts w:ascii="Times New Roman" w:eastAsia="Times New Roman" w:hAnsi="Times New Roman"/>
        </w:rPr>
        <w:t>7,979,869</w:t>
      </w:r>
      <w:r>
        <w:rPr>
          <w:rFonts w:ascii="Times New Roman" w:eastAsia="Times New Roman" w:hAnsi="Times New Roman"/>
        </w:rPr>
        <w:t xml:space="preserve"> from $5,716,178 in Q1 2024</w:t>
      </w:r>
      <w:r w:rsidRPr="002711E4">
        <w:rPr>
          <w:rFonts w:ascii="Times New Roman" w:eastAsia="Times New Roman" w:hAnsi="Times New Roman"/>
        </w:rPr>
        <w:t>.</w:t>
      </w:r>
    </w:p>
    <w:p w14:paraId="3B844957" w14:textId="39AD2F80" w:rsidR="00F52BB8" w:rsidRDefault="00F52BB8" w:rsidP="00F52BB8">
      <w:pPr>
        <w:widowControl/>
        <w:tabs>
          <w:tab w:val="left" w:pos="4536"/>
          <w:tab w:val="left" w:pos="4820"/>
        </w:tabs>
        <w:spacing w:after="120"/>
        <w:jc w:val="both"/>
        <w:rPr>
          <w:rFonts w:ascii="Times New Roman" w:eastAsia="Times New Roman" w:hAnsi="Times New Roman"/>
        </w:rPr>
      </w:pPr>
      <w:r>
        <w:rPr>
          <w:rFonts w:ascii="Times New Roman" w:eastAsia="Times New Roman" w:hAnsi="Times New Roman"/>
        </w:rPr>
        <w:t xml:space="preserve">R&amp;D increased by $195,762 (10%) to $2,117,828 in Q2 2024 from $1,922,066 in Q1 2024. R&amp;D for a Company at this stage of development will vary from period to period based on the development cycle and the immediate product development needs of the Company. </w:t>
      </w:r>
    </w:p>
    <w:p w14:paraId="28529F92" w14:textId="390FE75B" w:rsidR="00F52BB8" w:rsidRDefault="00F52BB8" w:rsidP="00F52BB8">
      <w:pPr>
        <w:widowControl/>
        <w:spacing w:after="120"/>
        <w:jc w:val="both"/>
        <w:rPr>
          <w:rFonts w:ascii="Times New Roman" w:eastAsia="Times New Roman" w:hAnsi="Times New Roman"/>
        </w:rPr>
      </w:pPr>
      <w:r w:rsidRPr="00720BA1">
        <w:rPr>
          <w:rFonts w:ascii="Times New Roman" w:eastAsia="Times New Roman" w:hAnsi="Times New Roman"/>
        </w:rPr>
        <w:t xml:space="preserve">Non-cash stock-based compensation </w:t>
      </w:r>
      <w:r w:rsidR="001372C2">
        <w:rPr>
          <w:rFonts w:ascii="Times New Roman" w:eastAsia="Times New Roman" w:hAnsi="Times New Roman"/>
        </w:rPr>
        <w:t>in</w:t>
      </w:r>
      <w:r w:rsidRPr="00952868">
        <w:rPr>
          <w:rFonts w:ascii="Times New Roman" w:eastAsia="Times New Roman" w:hAnsi="Times New Roman"/>
        </w:rPr>
        <w:t>creased by $</w:t>
      </w:r>
      <w:r w:rsidR="001372C2">
        <w:rPr>
          <w:rFonts w:ascii="Times New Roman" w:eastAsia="Times New Roman" w:hAnsi="Times New Roman"/>
        </w:rPr>
        <w:t>644,239</w:t>
      </w:r>
      <w:r w:rsidRPr="00952868">
        <w:rPr>
          <w:rFonts w:ascii="Times New Roman" w:eastAsia="Times New Roman" w:hAnsi="Times New Roman"/>
        </w:rPr>
        <w:t xml:space="preserve"> (</w:t>
      </w:r>
      <w:r w:rsidR="001372C2">
        <w:rPr>
          <w:rFonts w:ascii="Times New Roman" w:eastAsia="Times New Roman" w:hAnsi="Times New Roman"/>
        </w:rPr>
        <w:t>68</w:t>
      </w:r>
      <w:r w:rsidRPr="00952868">
        <w:rPr>
          <w:rFonts w:ascii="Times New Roman" w:eastAsia="Times New Roman" w:hAnsi="Times New Roman"/>
        </w:rPr>
        <w:t>%) to $</w:t>
      </w:r>
      <w:r w:rsidR="001372C2">
        <w:rPr>
          <w:rFonts w:ascii="Times New Roman" w:eastAsia="Times New Roman" w:hAnsi="Times New Roman"/>
        </w:rPr>
        <w:t>1,591,741</w:t>
      </w:r>
      <w:r w:rsidRPr="00952868">
        <w:rPr>
          <w:rFonts w:ascii="Times New Roman" w:eastAsia="Times New Roman" w:hAnsi="Times New Roman"/>
        </w:rPr>
        <w:t xml:space="preserve"> in Q</w:t>
      </w:r>
      <w:r w:rsidR="001372C2">
        <w:rPr>
          <w:rFonts w:ascii="Times New Roman" w:eastAsia="Times New Roman" w:hAnsi="Times New Roman"/>
        </w:rPr>
        <w:t>2</w:t>
      </w:r>
      <w:r w:rsidRPr="00952868">
        <w:rPr>
          <w:rFonts w:ascii="Times New Roman" w:eastAsia="Times New Roman" w:hAnsi="Times New Roman"/>
        </w:rPr>
        <w:t xml:space="preserve"> 2024 from</w:t>
      </w:r>
      <w:r w:rsidRPr="00720BA1">
        <w:rPr>
          <w:rFonts w:ascii="Times New Roman" w:eastAsia="Times New Roman" w:hAnsi="Times New Roman"/>
        </w:rPr>
        <w:t xml:space="preserve"> $</w:t>
      </w:r>
      <w:r w:rsidR="001372C2">
        <w:rPr>
          <w:rFonts w:ascii="Times New Roman" w:eastAsia="Times New Roman" w:hAnsi="Times New Roman"/>
        </w:rPr>
        <w:t>947,502</w:t>
      </w:r>
      <w:r>
        <w:rPr>
          <w:rFonts w:ascii="Times New Roman" w:eastAsia="Times New Roman" w:hAnsi="Times New Roman"/>
        </w:rPr>
        <w:t xml:space="preserve"> in Q</w:t>
      </w:r>
      <w:r w:rsidR="001372C2">
        <w:rPr>
          <w:rFonts w:ascii="Times New Roman" w:eastAsia="Times New Roman" w:hAnsi="Times New Roman"/>
        </w:rPr>
        <w:t>1 2024</w:t>
      </w:r>
      <w:r w:rsidRPr="00720BA1">
        <w:rPr>
          <w:rFonts w:ascii="Times New Roman" w:eastAsia="Times New Roman" w:hAnsi="Times New Roman"/>
        </w:rPr>
        <w:t xml:space="preserve">. The valuation of stock options is driven by </w:t>
      </w:r>
      <w:proofErr w:type="gramStart"/>
      <w:r w:rsidRPr="00720BA1">
        <w:rPr>
          <w:rFonts w:ascii="Times New Roman" w:eastAsia="Times New Roman" w:hAnsi="Times New Roman"/>
        </w:rPr>
        <w:t>a number of</w:t>
      </w:r>
      <w:proofErr w:type="gramEnd"/>
      <w:r w:rsidRPr="00720BA1">
        <w:rPr>
          <w:rFonts w:ascii="Times New Roman" w:eastAsia="Times New Roman" w:hAnsi="Times New Roman"/>
        </w:rPr>
        <w:t xml:space="preserve"> factors including the number of options granted, the strike price and the volatility of the Company’s stock. The stock option expense is dependent on the timing of the stock option grant and the amortization of the options as they vest. The stock options vest in accordance with the policies determined by the Board of Directors at the time of the grant consistent with the provisions of the Plan</w:t>
      </w:r>
      <w:r>
        <w:rPr>
          <w:rFonts w:ascii="Times New Roman" w:eastAsia="Times New Roman" w:hAnsi="Times New Roman"/>
        </w:rPr>
        <w:t xml:space="preserve">. </w:t>
      </w:r>
    </w:p>
    <w:p w14:paraId="4AEA8F33" w14:textId="3E30DB6A" w:rsidR="001372C2" w:rsidRDefault="001961E2" w:rsidP="001372C2">
      <w:pPr>
        <w:widowControl/>
        <w:spacing w:after="120"/>
        <w:jc w:val="both"/>
        <w:rPr>
          <w:rFonts w:ascii="Times New Roman" w:eastAsia="Times New Roman" w:hAnsi="Times New Roman"/>
        </w:rPr>
      </w:pPr>
      <w:r>
        <w:rPr>
          <w:rFonts w:ascii="Times New Roman" w:eastAsia="Times New Roman" w:hAnsi="Times New Roman"/>
        </w:rPr>
        <w:t>Finance and advisory fees</w:t>
      </w:r>
      <w:r w:rsidR="00F52BB8">
        <w:rPr>
          <w:rFonts w:ascii="Times New Roman" w:eastAsia="Times New Roman" w:hAnsi="Times New Roman"/>
        </w:rPr>
        <w:t xml:space="preserve"> increased </w:t>
      </w:r>
      <w:r>
        <w:rPr>
          <w:rFonts w:ascii="Times New Roman" w:eastAsia="Times New Roman" w:hAnsi="Times New Roman"/>
        </w:rPr>
        <w:t>was $942,576</w:t>
      </w:r>
      <w:r w:rsidR="00F52BB8">
        <w:rPr>
          <w:rFonts w:ascii="Times New Roman" w:eastAsia="Times New Roman" w:hAnsi="Times New Roman"/>
        </w:rPr>
        <w:t xml:space="preserve"> in Q</w:t>
      </w:r>
      <w:r w:rsidR="001372C2">
        <w:rPr>
          <w:rFonts w:ascii="Times New Roman" w:eastAsia="Times New Roman" w:hAnsi="Times New Roman"/>
        </w:rPr>
        <w:t>2</w:t>
      </w:r>
      <w:r w:rsidR="00F52BB8">
        <w:rPr>
          <w:rFonts w:ascii="Times New Roman" w:eastAsia="Times New Roman" w:hAnsi="Times New Roman"/>
        </w:rPr>
        <w:t xml:space="preserve"> 2024 </w:t>
      </w:r>
      <w:r>
        <w:rPr>
          <w:rFonts w:ascii="Times New Roman" w:eastAsia="Times New Roman" w:hAnsi="Times New Roman"/>
        </w:rPr>
        <w:t>and nil</w:t>
      </w:r>
      <w:r w:rsidR="00F52BB8">
        <w:rPr>
          <w:rFonts w:ascii="Times New Roman" w:eastAsia="Times New Roman" w:hAnsi="Times New Roman"/>
        </w:rPr>
        <w:t xml:space="preserve"> in Q</w:t>
      </w:r>
      <w:r w:rsidR="001372C2">
        <w:rPr>
          <w:rFonts w:ascii="Times New Roman" w:eastAsia="Times New Roman" w:hAnsi="Times New Roman"/>
        </w:rPr>
        <w:t>1 2024</w:t>
      </w:r>
      <w:r w:rsidR="00F52BB8">
        <w:rPr>
          <w:rFonts w:ascii="Times New Roman" w:eastAsia="Times New Roman" w:hAnsi="Times New Roman"/>
        </w:rPr>
        <w:t xml:space="preserve">. </w:t>
      </w:r>
      <w:r w:rsidR="00DF6639">
        <w:rPr>
          <w:rFonts w:ascii="Times New Roman" w:eastAsia="Times New Roman" w:hAnsi="Times New Roman"/>
        </w:rPr>
        <w:t>The fees were paid</w:t>
      </w:r>
      <w:r w:rsidR="001372C2">
        <w:rPr>
          <w:rFonts w:ascii="Times New Roman" w:eastAsia="Times New Roman" w:hAnsi="Times New Roman"/>
        </w:rPr>
        <w:t xml:space="preserve"> to a firm assisting the </w:t>
      </w:r>
      <w:r w:rsidR="009930C8">
        <w:rPr>
          <w:rFonts w:ascii="Times New Roman" w:eastAsia="Times New Roman" w:hAnsi="Times New Roman"/>
        </w:rPr>
        <w:t>Company in</w:t>
      </w:r>
      <w:r w:rsidR="001372C2">
        <w:rPr>
          <w:rFonts w:ascii="Times New Roman" w:eastAsia="Times New Roman" w:hAnsi="Times New Roman"/>
        </w:rPr>
        <w:t xml:space="preserve"> financial and strategic matters. The Company did not engage other firms for similar services in the prior period. </w:t>
      </w:r>
    </w:p>
    <w:p w14:paraId="04104502" w14:textId="79EED30C" w:rsidR="00145D55" w:rsidRDefault="00145D55" w:rsidP="00145D55">
      <w:pPr>
        <w:widowControl/>
        <w:spacing w:after="120"/>
        <w:jc w:val="both"/>
        <w:rPr>
          <w:rFonts w:ascii="Times New Roman" w:eastAsia="Times New Roman" w:hAnsi="Times New Roman"/>
        </w:rPr>
      </w:pPr>
      <w:r>
        <w:rPr>
          <w:rFonts w:ascii="Times New Roman" w:eastAsia="Times New Roman" w:hAnsi="Times New Roman"/>
        </w:rPr>
        <w:t xml:space="preserve">The Company issued warrants in a foreign currency in Q4 2023. The issuance of those warrants created a derivative liability which is periodically remeasured and adjusted to reflect the fair value of the warrants. The non-cash adjustment to derivative liability </w:t>
      </w:r>
      <w:r w:rsidR="00267F22">
        <w:rPr>
          <w:rFonts w:ascii="Times New Roman" w:eastAsia="Times New Roman" w:hAnsi="Times New Roman"/>
        </w:rPr>
        <w:t>increased</w:t>
      </w:r>
      <w:r>
        <w:rPr>
          <w:rFonts w:ascii="Times New Roman" w:eastAsia="Times New Roman" w:hAnsi="Times New Roman"/>
        </w:rPr>
        <w:t xml:space="preserve"> by $</w:t>
      </w:r>
      <w:r w:rsidR="00267F22">
        <w:rPr>
          <w:rFonts w:ascii="Times New Roman" w:eastAsia="Times New Roman" w:hAnsi="Times New Roman"/>
        </w:rPr>
        <w:t>746,937</w:t>
      </w:r>
      <w:r>
        <w:rPr>
          <w:rFonts w:ascii="Times New Roman" w:eastAsia="Times New Roman" w:hAnsi="Times New Roman"/>
        </w:rPr>
        <w:t xml:space="preserve"> (</w:t>
      </w:r>
      <w:r w:rsidR="00267F22">
        <w:rPr>
          <w:rFonts w:ascii="Times New Roman" w:eastAsia="Times New Roman" w:hAnsi="Times New Roman"/>
        </w:rPr>
        <w:t>119</w:t>
      </w:r>
      <w:r>
        <w:rPr>
          <w:rFonts w:ascii="Times New Roman" w:eastAsia="Times New Roman" w:hAnsi="Times New Roman"/>
        </w:rPr>
        <w:t>%) to $</w:t>
      </w:r>
      <w:r w:rsidR="008722AF">
        <w:rPr>
          <w:rFonts w:ascii="Times New Roman" w:eastAsia="Times New Roman" w:hAnsi="Times New Roman"/>
        </w:rPr>
        <w:t>1,376,761</w:t>
      </w:r>
      <w:r>
        <w:rPr>
          <w:rFonts w:ascii="Times New Roman" w:eastAsia="Times New Roman" w:hAnsi="Times New Roman"/>
        </w:rPr>
        <w:t xml:space="preserve"> in Q2 2024 from $629,824 in Q1 2024.</w:t>
      </w:r>
      <w:r w:rsidR="00E50635">
        <w:rPr>
          <w:rFonts w:ascii="Times New Roman" w:eastAsia="Times New Roman" w:hAnsi="Times New Roman"/>
        </w:rPr>
        <w:t xml:space="preserve">  The resultant revaluation is affected by Black</w:t>
      </w:r>
      <w:r w:rsidR="005A2E5B">
        <w:rPr>
          <w:rFonts w:ascii="Times New Roman" w:eastAsia="Times New Roman" w:hAnsi="Times New Roman"/>
        </w:rPr>
        <w:t>-</w:t>
      </w:r>
      <w:r w:rsidR="00E50635">
        <w:rPr>
          <w:rFonts w:ascii="Times New Roman" w:eastAsia="Times New Roman" w:hAnsi="Times New Roman"/>
        </w:rPr>
        <w:t xml:space="preserve">Scholes value of the remaining </w:t>
      </w:r>
      <w:r w:rsidR="00267F22">
        <w:rPr>
          <w:rFonts w:ascii="Times New Roman" w:eastAsia="Times New Roman" w:hAnsi="Times New Roman"/>
        </w:rPr>
        <w:t xml:space="preserve">and exercised </w:t>
      </w:r>
      <w:r w:rsidR="00E50635">
        <w:rPr>
          <w:rFonts w:ascii="Times New Roman" w:eastAsia="Times New Roman" w:hAnsi="Times New Roman"/>
        </w:rPr>
        <w:t>warrants.   During the quarter 854,500 warrants were exercised leaving unexercised warrants of 866,000.  In Q1 2024</w:t>
      </w:r>
      <w:r w:rsidR="00267F22">
        <w:rPr>
          <w:rFonts w:ascii="Times New Roman" w:eastAsia="Times New Roman" w:hAnsi="Times New Roman"/>
        </w:rPr>
        <w:t>,</w:t>
      </w:r>
      <w:r w:rsidR="00E50635">
        <w:rPr>
          <w:rFonts w:ascii="Times New Roman" w:eastAsia="Times New Roman" w:hAnsi="Times New Roman"/>
        </w:rPr>
        <w:t xml:space="preserve"> 65,500</w:t>
      </w:r>
      <w:r w:rsidR="005A2E5B">
        <w:rPr>
          <w:rFonts w:ascii="Times New Roman" w:eastAsia="Times New Roman" w:hAnsi="Times New Roman"/>
        </w:rPr>
        <w:t xml:space="preserve"> warrants were exercised.</w:t>
      </w:r>
    </w:p>
    <w:p w14:paraId="34116967" w14:textId="13E7F9AA" w:rsidR="00145D55" w:rsidRDefault="00145D55" w:rsidP="00145D55">
      <w:pPr>
        <w:widowControl/>
        <w:spacing w:after="120"/>
        <w:jc w:val="both"/>
        <w:rPr>
          <w:rFonts w:ascii="Times New Roman" w:eastAsia="Times New Roman" w:hAnsi="Times New Roman"/>
        </w:rPr>
      </w:pPr>
      <w:r>
        <w:rPr>
          <w:rFonts w:ascii="Times New Roman" w:eastAsia="Times New Roman" w:hAnsi="Times New Roman"/>
        </w:rPr>
        <w:t>Other income, including interest increased by $122,353 (233%) to $174,911 in Q2 2024 from $52,558 in Q1 2024</w:t>
      </w:r>
      <w:r>
        <w:rPr>
          <w:rFonts w:ascii="Times New Roman" w:eastAsia="Times New Roman" w:hAnsi="Times New Roman"/>
          <w:lang w:val="en-CA"/>
        </w:rPr>
        <w:t>. The amounts recognized in both periods were all interest income earned on the Company’s cash reserves</w:t>
      </w:r>
      <w:r w:rsidR="00B35943">
        <w:rPr>
          <w:rFonts w:ascii="Times New Roman" w:eastAsia="Times New Roman" w:hAnsi="Times New Roman"/>
          <w:lang w:val="en-CA"/>
        </w:rPr>
        <w:t>.</w:t>
      </w:r>
      <w:r w:rsidDel="00EF7B1A">
        <w:rPr>
          <w:rFonts w:ascii="Times New Roman" w:eastAsia="Times New Roman" w:hAnsi="Times New Roman"/>
        </w:rPr>
        <w:t xml:space="preserve"> </w:t>
      </w:r>
      <w:r w:rsidR="005A2E5B">
        <w:rPr>
          <w:rFonts w:ascii="Times New Roman" w:eastAsia="Times New Roman" w:hAnsi="Times New Roman"/>
        </w:rPr>
        <w:t xml:space="preserve"> Significant capital was raised in Q2 of 2024.</w:t>
      </w:r>
    </w:p>
    <w:p w14:paraId="50A45CC1" w14:textId="581F9779" w:rsidR="0013484B" w:rsidRPr="002711E4" w:rsidRDefault="0013484B" w:rsidP="0013484B">
      <w:pPr>
        <w:widowControl/>
        <w:spacing w:after="60"/>
        <w:jc w:val="both"/>
        <w:outlineLvl w:val="0"/>
        <w:rPr>
          <w:rFonts w:ascii="Times New Roman" w:eastAsia="Times New Roman" w:hAnsi="Times New Roman"/>
          <w:i/>
          <w:u w:val="single"/>
        </w:rPr>
      </w:pPr>
      <w:r>
        <w:rPr>
          <w:rFonts w:ascii="Times New Roman" w:eastAsia="Times New Roman" w:hAnsi="Times New Roman"/>
          <w:i/>
          <w:u w:val="single"/>
        </w:rPr>
        <w:t>Q1 2024 compared to Q4 2023</w:t>
      </w:r>
      <w:r w:rsidRPr="002711E4">
        <w:rPr>
          <w:rFonts w:ascii="Times New Roman" w:eastAsia="Times New Roman" w:hAnsi="Times New Roman"/>
          <w:i/>
          <w:u w:val="single"/>
        </w:rPr>
        <w:t xml:space="preserve"> </w:t>
      </w:r>
    </w:p>
    <w:p w14:paraId="4C872A89" w14:textId="34EC2A4C" w:rsidR="0013484B" w:rsidRDefault="0013484B" w:rsidP="0013484B">
      <w:pPr>
        <w:widowControl/>
        <w:spacing w:after="120"/>
        <w:jc w:val="both"/>
        <w:rPr>
          <w:rFonts w:ascii="Times New Roman" w:eastAsia="Times New Roman" w:hAnsi="Times New Roman"/>
        </w:rPr>
      </w:pPr>
      <w:r w:rsidRPr="002711E4">
        <w:rPr>
          <w:rFonts w:ascii="Times New Roman" w:eastAsia="Times New Roman" w:hAnsi="Times New Roman"/>
        </w:rPr>
        <w:t xml:space="preserve">Net loss </w:t>
      </w:r>
      <w:r>
        <w:rPr>
          <w:rFonts w:ascii="Times New Roman" w:eastAsia="Times New Roman" w:hAnsi="Times New Roman"/>
        </w:rPr>
        <w:t xml:space="preserve">increased </w:t>
      </w:r>
      <w:r w:rsidRPr="002711E4">
        <w:rPr>
          <w:rFonts w:ascii="Times New Roman" w:eastAsia="Times New Roman" w:hAnsi="Times New Roman"/>
        </w:rPr>
        <w:t>by $</w:t>
      </w:r>
      <w:r w:rsidR="00C205E8">
        <w:rPr>
          <w:rFonts w:ascii="Times New Roman" w:eastAsia="Times New Roman" w:hAnsi="Times New Roman"/>
        </w:rPr>
        <w:t>245,164</w:t>
      </w:r>
      <w:r>
        <w:rPr>
          <w:rFonts w:ascii="Times New Roman" w:eastAsia="Times New Roman" w:hAnsi="Times New Roman"/>
        </w:rPr>
        <w:t xml:space="preserve"> </w:t>
      </w:r>
      <w:r w:rsidRPr="002711E4">
        <w:rPr>
          <w:rFonts w:ascii="Times New Roman" w:eastAsia="Times New Roman" w:hAnsi="Times New Roman"/>
        </w:rPr>
        <w:t>(</w:t>
      </w:r>
      <w:r w:rsidR="00C205E8">
        <w:rPr>
          <w:rFonts w:ascii="Times New Roman" w:eastAsia="Times New Roman" w:hAnsi="Times New Roman"/>
        </w:rPr>
        <w:t>4</w:t>
      </w:r>
      <w:r w:rsidRPr="002711E4">
        <w:rPr>
          <w:rFonts w:ascii="Times New Roman" w:eastAsia="Times New Roman" w:hAnsi="Times New Roman"/>
        </w:rPr>
        <w:t xml:space="preserve">%) in </w:t>
      </w:r>
      <w:r>
        <w:rPr>
          <w:rFonts w:ascii="Times New Roman" w:eastAsia="Times New Roman" w:hAnsi="Times New Roman"/>
        </w:rPr>
        <w:t>Q1 2024 to $</w:t>
      </w:r>
      <w:r w:rsidR="00C205E8">
        <w:rPr>
          <w:rFonts w:ascii="Times New Roman" w:eastAsia="Times New Roman" w:hAnsi="Times New Roman"/>
        </w:rPr>
        <w:t>5,716,178</w:t>
      </w:r>
      <w:r>
        <w:rPr>
          <w:rFonts w:ascii="Times New Roman" w:eastAsia="Times New Roman" w:hAnsi="Times New Roman"/>
        </w:rPr>
        <w:t xml:space="preserve"> from $5,471,014 in </w:t>
      </w:r>
      <w:r w:rsidRPr="002711E4">
        <w:rPr>
          <w:rFonts w:ascii="Times New Roman" w:eastAsia="Times New Roman" w:hAnsi="Times New Roman"/>
        </w:rPr>
        <w:t>Q</w:t>
      </w:r>
      <w:r>
        <w:rPr>
          <w:rFonts w:ascii="Times New Roman" w:eastAsia="Times New Roman" w:hAnsi="Times New Roman"/>
        </w:rPr>
        <w:t>4 2023</w:t>
      </w:r>
      <w:r w:rsidRPr="002711E4">
        <w:rPr>
          <w:rFonts w:ascii="Times New Roman" w:eastAsia="Times New Roman" w:hAnsi="Times New Roman"/>
        </w:rPr>
        <w:t>.</w:t>
      </w:r>
    </w:p>
    <w:p w14:paraId="06DD64FC" w14:textId="62D04BA2" w:rsidR="000E0A2F" w:rsidRDefault="0013484B" w:rsidP="000E0A2F">
      <w:pPr>
        <w:widowControl/>
        <w:spacing w:after="80"/>
        <w:jc w:val="both"/>
        <w:rPr>
          <w:rFonts w:ascii="Times New Roman" w:eastAsia="Times New Roman" w:hAnsi="Times New Roman"/>
        </w:rPr>
      </w:pPr>
      <w:r>
        <w:rPr>
          <w:rFonts w:ascii="Times New Roman" w:eastAsia="Times New Roman" w:hAnsi="Times New Roman"/>
        </w:rPr>
        <w:t>Non-recurring engineering revenue</w:t>
      </w:r>
      <w:r w:rsidR="000E0A2F">
        <w:rPr>
          <w:rFonts w:ascii="Times New Roman" w:eastAsia="Times New Roman" w:hAnsi="Times New Roman"/>
        </w:rPr>
        <w:t xml:space="preserve"> and product revenue</w:t>
      </w:r>
      <w:r>
        <w:rPr>
          <w:rFonts w:ascii="Times New Roman" w:eastAsia="Times New Roman" w:hAnsi="Times New Roman"/>
        </w:rPr>
        <w:t xml:space="preserve"> (“NRE”) was $</w:t>
      </w:r>
      <w:r w:rsidR="000E0A2F">
        <w:rPr>
          <w:rFonts w:ascii="Times New Roman" w:eastAsia="Times New Roman" w:hAnsi="Times New Roman"/>
        </w:rPr>
        <w:t>8,710</w:t>
      </w:r>
      <w:r>
        <w:rPr>
          <w:rFonts w:ascii="Times New Roman" w:eastAsia="Times New Roman" w:hAnsi="Times New Roman"/>
        </w:rPr>
        <w:t xml:space="preserve"> in Q</w:t>
      </w:r>
      <w:r w:rsidR="000E0A2F">
        <w:rPr>
          <w:rFonts w:ascii="Times New Roman" w:eastAsia="Times New Roman" w:hAnsi="Times New Roman"/>
        </w:rPr>
        <w:t>1</w:t>
      </w:r>
      <w:r>
        <w:rPr>
          <w:rFonts w:ascii="Times New Roman" w:eastAsia="Times New Roman" w:hAnsi="Times New Roman"/>
        </w:rPr>
        <w:t xml:space="preserve"> 202</w:t>
      </w:r>
      <w:r w:rsidR="000E0A2F">
        <w:rPr>
          <w:rFonts w:ascii="Times New Roman" w:eastAsia="Times New Roman" w:hAnsi="Times New Roman"/>
        </w:rPr>
        <w:t>4</w:t>
      </w:r>
      <w:r>
        <w:rPr>
          <w:rFonts w:ascii="Times New Roman" w:eastAsia="Times New Roman" w:hAnsi="Times New Roman"/>
        </w:rPr>
        <w:t xml:space="preserve"> compared to </w:t>
      </w:r>
      <w:r w:rsidR="000E0A2F">
        <w:rPr>
          <w:rFonts w:ascii="Times New Roman" w:eastAsia="Times New Roman" w:hAnsi="Times New Roman"/>
        </w:rPr>
        <w:t>$107,551</w:t>
      </w:r>
      <w:r>
        <w:rPr>
          <w:rFonts w:ascii="Times New Roman" w:eastAsia="Times New Roman" w:hAnsi="Times New Roman"/>
        </w:rPr>
        <w:t xml:space="preserve"> in Q</w:t>
      </w:r>
      <w:r w:rsidR="000E0A2F">
        <w:rPr>
          <w:rFonts w:ascii="Times New Roman" w:eastAsia="Times New Roman" w:hAnsi="Times New Roman"/>
        </w:rPr>
        <w:t>4</w:t>
      </w:r>
      <w:r>
        <w:rPr>
          <w:rFonts w:ascii="Times New Roman" w:eastAsia="Times New Roman" w:hAnsi="Times New Roman"/>
        </w:rPr>
        <w:t xml:space="preserve"> 2023</w:t>
      </w:r>
      <w:r w:rsidR="00F81A11">
        <w:rPr>
          <w:rFonts w:ascii="Times New Roman" w:eastAsia="Times New Roman" w:hAnsi="Times New Roman"/>
        </w:rPr>
        <w:t xml:space="preserve"> a decrease of $98,841 (92%)</w:t>
      </w:r>
      <w:r>
        <w:rPr>
          <w:rFonts w:ascii="Times New Roman" w:eastAsia="Times New Roman" w:hAnsi="Times New Roman"/>
        </w:rPr>
        <w:t xml:space="preserve">. The Company has been providing NRE services to multiple customers </w:t>
      </w:r>
      <w:r>
        <w:rPr>
          <w:rFonts w:ascii="Times New Roman" w:eastAsia="Times New Roman" w:hAnsi="Times New Roman"/>
        </w:rPr>
        <w:lastRenderedPageBreak/>
        <w:t xml:space="preserve">for unique projects that are being addressed utilizing the capabilities of the POET Optical Interposer. </w:t>
      </w:r>
      <w:r w:rsidR="000E0A2F">
        <w:rPr>
          <w:rFonts w:ascii="Times New Roman" w:eastAsia="Times New Roman" w:hAnsi="Times New Roman"/>
        </w:rPr>
        <w:t>No billable NRE services were provided in Q1 2024, however, the Company reported small product sales of samples to various customers.</w:t>
      </w:r>
    </w:p>
    <w:p w14:paraId="30AAF0A8" w14:textId="57603CEB" w:rsidR="000E0A2F" w:rsidRDefault="000E0A2F" w:rsidP="000E0A2F">
      <w:pPr>
        <w:widowControl/>
        <w:tabs>
          <w:tab w:val="left" w:pos="4536"/>
          <w:tab w:val="left" w:pos="4820"/>
        </w:tabs>
        <w:spacing w:after="120"/>
        <w:jc w:val="both"/>
        <w:rPr>
          <w:rFonts w:ascii="Times New Roman" w:eastAsia="Times New Roman" w:hAnsi="Times New Roman"/>
        </w:rPr>
      </w:pPr>
      <w:r>
        <w:rPr>
          <w:rFonts w:ascii="Times New Roman" w:eastAsia="Times New Roman" w:hAnsi="Times New Roman"/>
        </w:rPr>
        <w:t xml:space="preserve">R&amp;D decreased by $219,937 (10%) to $1,922,066 in Q1 2024 from $2,142,003 in Q4 2023. R&amp;D for a Company at this stage of development will vary from period to period based on the development cycle and the immediate product development needs of the Company. </w:t>
      </w:r>
    </w:p>
    <w:p w14:paraId="2BD82814" w14:textId="77777777" w:rsidR="003E2CD8" w:rsidRDefault="000E0A2F" w:rsidP="0013484B">
      <w:pPr>
        <w:widowControl/>
        <w:spacing w:after="120"/>
        <w:jc w:val="both"/>
        <w:rPr>
          <w:rFonts w:ascii="Times New Roman" w:hAnsi="Times New Roman"/>
          <w:color w:val="000000" w:themeColor="text1"/>
          <w:lang w:val="en-CA"/>
        </w:rPr>
      </w:pPr>
      <w:r>
        <w:rPr>
          <w:rFonts w:ascii="Times New Roman" w:hAnsi="Times New Roman"/>
          <w:color w:val="000000" w:themeColor="text1"/>
          <w:lang w:val="en-CA"/>
        </w:rPr>
        <w:t xml:space="preserve">Professional fees </w:t>
      </w:r>
      <w:r w:rsidR="003E2CD8">
        <w:rPr>
          <w:rFonts w:ascii="Times New Roman" w:hAnsi="Times New Roman"/>
          <w:color w:val="000000" w:themeColor="text1"/>
          <w:lang w:val="en-CA"/>
        </w:rPr>
        <w:t>dec</w:t>
      </w:r>
      <w:r>
        <w:rPr>
          <w:rFonts w:ascii="Times New Roman" w:hAnsi="Times New Roman"/>
          <w:color w:val="000000" w:themeColor="text1"/>
          <w:lang w:val="en-CA"/>
        </w:rPr>
        <w:t>reased by $</w:t>
      </w:r>
      <w:r w:rsidR="003E2CD8">
        <w:rPr>
          <w:rFonts w:ascii="Times New Roman" w:hAnsi="Times New Roman"/>
          <w:color w:val="000000" w:themeColor="text1"/>
          <w:lang w:val="en-CA"/>
        </w:rPr>
        <w:t>492,642</w:t>
      </w:r>
      <w:r>
        <w:rPr>
          <w:rFonts w:ascii="Times New Roman" w:hAnsi="Times New Roman"/>
          <w:color w:val="000000" w:themeColor="text1"/>
          <w:lang w:val="en-CA"/>
        </w:rPr>
        <w:t xml:space="preserve"> (</w:t>
      </w:r>
      <w:r w:rsidR="003E2CD8">
        <w:rPr>
          <w:rFonts w:ascii="Times New Roman" w:hAnsi="Times New Roman"/>
          <w:color w:val="000000" w:themeColor="text1"/>
          <w:lang w:val="en-CA"/>
        </w:rPr>
        <w:t>55</w:t>
      </w:r>
      <w:r>
        <w:rPr>
          <w:rFonts w:ascii="Times New Roman" w:hAnsi="Times New Roman"/>
          <w:color w:val="000000" w:themeColor="text1"/>
          <w:lang w:val="en-CA"/>
        </w:rPr>
        <w:t>%) to $409,726 in Q1 2024 from $</w:t>
      </w:r>
      <w:r w:rsidR="003E2CD8">
        <w:rPr>
          <w:rFonts w:ascii="Times New Roman" w:hAnsi="Times New Roman"/>
          <w:color w:val="000000" w:themeColor="text1"/>
          <w:lang w:val="en-CA"/>
        </w:rPr>
        <w:t>902,368</w:t>
      </w:r>
      <w:r>
        <w:rPr>
          <w:rFonts w:ascii="Times New Roman" w:hAnsi="Times New Roman"/>
          <w:color w:val="000000" w:themeColor="text1"/>
          <w:lang w:val="en-CA"/>
        </w:rPr>
        <w:t xml:space="preserve"> in Q</w:t>
      </w:r>
      <w:r w:rsidR="003E2CD8">
        <w:rPr>
          <w:rFonts w:ascii="Times New Roman" w:hAnsi="Times New Roman"/>
          <w:color w:val="000000" w:themeColor="text1"/>
          <w:lang w:val="en-CA"/>
        </w:rPr>
        <w:t xml:space="preserve">4 </w:t>
      </w:r>
      <w:r>
        <w:rPr>
          <w:rFonts w:ascii="Times New Roman" w:hAnsi="Times New Roman"/>
          <w:color w:val="000000" w:themeColor="text1"/>
          <w:lang w:val="en-CA"/>
        </w:rPr>
        <w:t>2023</w:t>
      </w:r>
      <w:r w:rsidR="003E2CD8" w:rsidRPr="003E2CD8">
        <w:rPr>
          <w:rFonts w:ascii="Times New Roman" w:hAnsi="Times New Roman"/>
          <w:color w:val="000000" w:themeColor="text1"/>
          <w:lang w:val="en-CA"/>
        </w:rPr>
        <w:t xml:space="preserve"> </w:t>
      </w:r>
      <w:r w:rsidR="003E2CD8">
        <w:rPr>
          <w:rFonts w:ascii="Times New Roman" w:hAnsi="Times New Roman"/>
          <w:color w:val="000000" w:themeColor="text1"/>
          <w:lang w:val="en-CA"/>
        </w:rPr>
        <w:t xml:space="preserve">During Q4 2023, the Company expensed as sunk costs certain legal and other professional fees related to unsuccessful financing arrangements that it engaged in throughout the year. Additionally, the Company incurred fees related to the preparation of regulatory documents to support the at-the-market financing program. </w:t>
      </w:r>
    </w:p>
    <w:p w14:paraId="4F9F0675" w14:textId="10F94A2D" w:rsidR="003E2CD8" w:rsidRDefault="003E2CD8" w:rsidP="003E2CD8">
      <w:pPr>
        <w:widowControl/>
        <w:spacing w:after="120"/>
        <w:jc w:val="both"/>
        <w:rPr>
          <w:rFonts w:ascii="Times New Roman" w:eastAsia="Times New Roman" w:hAnsi="Times New Roman"/>
        </w:rPr>
      </w:pPr>
      <w:r w:rsidRPr="00720BA1">
        <w:rPr>
          <w:rFonts w:ascii="Times New Roman" w:eastAsia="Times New Roman" w:hAnsi="Times New Roman"/>
        </w:rPr>
        <w:t xml:space="preserve">Non-cash stock-based compensation </w:t>
      </w:r>
      <w:r w:rsidR="00C205E8" w:rsidRPr="00952868">
        <w:rPr>
          <w:rFonts w:ascii="Times New Roman" w:eastAsia="Times New Roman" w:hAnsi="Times New Roman"/>
        </w:rPr>
        <w:t>decreased</w:t>
      </w:r>
      <w:r w:rsidRPr="00952868">
        <w:rPr>
          <w:rFonts w:ascii="Times New Roman" w:eastAsia="Times New Roman" w:hAnsi="Times New Roman"/>
        </w:rPr>
        <w:t xml:space="preserve"> by $</w:t>
      </w:r>
      <w:r w:rsidR="00C205E8" w:rsidRPr="00952868">
        <w:rPr>
          <w:rFonts w:ascii="Times New Roman" w:eastAsia="Times New Roman" w:hAnsi="Times New Roman"/>
        </w:rPr>
        <w:t>102,586</w:t>
      </w:r>
      <w:r w:rsidRPr="00952868">
        <w:rPr>
          <w:rFonts w:ascii="Times New Roman" w:eastAsia="Times New Roman" w:hAnsi="Times New Roman"/>
        </w:rPr>
        <w:t xml:space="preserve"> (</w:t>
      </w:r>
      <w:r w:rsidR="00C205E8" w:rsidRPr="00952868">
        <w:rPr>
          <w:rFonts w:ascii="Times New Roman" w:eastAsia="Times New Roman" w:hAnsi="Times New Roman"/>
        </w:rPr>
        <w:t>10</w:t>
      </w:r>
      <w:r w:rsidRPr="00952868">
        <w:rPr>
          <w:rFonts w:ascii="Times New Roman" w:eastAsia="Times New Roman" w:hAnsi="Times New Roman"/>
        </w:rPr>
        <w:t>%) to $</w:t>
      </w:r>
      <w:r w:rsidR="00C205E8" w:rsidRPr="00952868">
        <w:rPr>
          <w:rFonts w:ascii="Times New Roman" w:eastAsia="Times New Roman" w:hAnsi="Times New Roman"/>
        </w:rPr>
        <w:t>947,502</w:t>
      </w:r>
      <w:r w:rsidRPr="00952868">
        <w:rPr>
          <w:rFonts w:ascii="Times New Roman" w:eastAsia="Times New Roman" w:hAnsi="Times New Roman"/>
        </w:rPr>
        <w:t xml:space="preserve"> in Q1 2024 from</w:t>
      </w:r>
      <w:r w:rsidRPr="00720BA1">
        <w:rPr>
          <w:rFonts w:ascii="Times New Roman" w:eastAsia="Times New Roman" w:hAnsi="Times New Roman"/>
        </w:rPr>
        <w:t xml:space="preserve"> $</w:t>
      </w:r>
      <w:r>
        <w:rPr>
          <w:rFonts w:ascii="Times New Roman" w:eastAsia="Times New Roman" w:hAnsi="Times New Roman"/>
        </w:rPr>
        <w:t>1,050,088 in Q4 2023</w:t>
      </w:r>
      <w:r w:rsidRPr="00720BA1">
        <w:rPr>
          <w:rFonts w:ascii="Times New Roman" w:eastAsia="Times New Roman" w:hAnsi="Times New Roman"/>
        </w:rPr>
        <w:t xml:space="preserve">. The valuation of stock options is driven by </w:t>
      </w:r>
      <w:proofErr w:type="gramStart"/>
      <w:r w:rsidRPr="00720BA1">
        <w:rPr>
          <w:rFonts w:ascii="Times New Roman" w:eastAsia="Times New Roman" w:hAnsi="Times New Roman"/>
        </w:rPr>
        <w:t>a number of</w:t>
      </w:r>
      <w:proofErr w:type="gramEnd"/>
      <w:r w:rsidRPr="00720BA1">
        <w:rPr>
          <w:rFonts w:ascii="Times New Roman" w:eastAsia="Times New Roman" w:hAnsi="Times New Roman"/>
        </w:rPr>
        <w:t xml:space="preserve"> factors including the number of options granted, the strike price and the volatility of the Company’s stock. The stock option expense is dependent on the timing of the stock option grant and the amortization of the options as they vest. The stock options vest in accordance with the policies determined by the Board of Directors at the time of the grant consistent with the provisions of the Plan</w:t>
      </w:r>
      <w:r>
        <w:rPr>
          <w:rFonts w:ascii="Times New Roman" w:eastAsia="Times New Roman" w:hAnsi="Times New Roman"/>
        </w:rPr>
        <w:t xml:space="preserve">. </w:t>
      </w:r>
    </w:p>
    <w:p w14:paraId="6779BC53" w14:textId="5306B3CA" w:rsidR="006A0DCD" w:rsidRDefault="006A0DCD" w:rsidP="006A0DCD">
      <w:pPr>
        <w:widowControl/>
        <w:spacing w:after="120"/>
        <w:jc w:val="both"/>
        <w:rPr>
          <w:rFonts w:ascii="Times New Roman" w:eastAsia="Times New Roman" w:hAnsi="Times New Roman"/>
        </w:rPr>
      </w:pPr>
      <w:r>
        <w:rPr>
          <w:rFonts w:ascii="Times New Roman" w:eastAsia="Times New Roman" w:hAnsi="Times New Roman"/>
        </w:rPr>
        <w:t>Wages and benefits increased by $91,957 (14%) to $768,496 in Q1 2024 from $676,539 in Q4 2023. The increase was a result of a small bonus of $100,000 paid to certain members of the team.</w:t>
      </w:r>
    </w:p>
    <w:p w14:paraId="4F7F74E2" w14:textId="01283998" w:rsidR="003E2CD8" w:rsidRDefault="0013484B" w:rsidP="003E2CD8">
      <w:pPr>
        <w:widowControl/>
        <w:spacing w:after="60"/>
        <w:jc w:val="both"/>
        <w:outlineLvl w:val="0"/>
        <w:rPr>
          <w:rFonts w:ascii="Times New Roman" w:eastAsia="Times New Roman" w:hAnsi="Times New Roman"/>
        </w:rPr>
      </w:pPr>
      <w:r>
        <w:rPr>
          <w:rFonts w:ascii="Times New Roman" w:eastAsia="Times New Roman" w:hAnsi="Times New Roman"/>
        </w:rPr>
        <w:t xml:space="preserve">General expenses and rent </w:t>
      </w:r>
      <w:r w:rsidR="003E2CD8">
        <w:rPr>
          <w:rFonts w:ascii="Times New Roman" w:eastAsia="Times New Roman" w:hAnsi="Times New Roman"/>
        </w:rPr>
        <w:t xml:space="preserve">increased by </w:t>
      </w:r>
      <w:r>
        <w:rPr>
          <w:rFonts w:ascii="Times New Roman" w:eastAsia="Times New Roman" w:hAnsi="Times New Roman"/>
        </w:rPr>
        <w:t>$</w:t>
      </w:r>
      <w:r w:rsidR="003E2CD8">
        <w:rPr>
          <w:rFonts w:ascii="Times New Roman" w:eastAsia="Times New Roman" w:hAnsi="Times New Roman"/>
        </w:rPr>
        <w:t>253,486</w:t>
      </w:r>
      <w:r>
        <w:rPr>
          <w:rFonts w:ascii="Times New Roman" w:eastAsia="Times New Roman" w:hAnsi="Times New Roman"/>
        </w:rPr>
        <w:t xml:space="preserve"> (</w:t>
      </w:r>
      <w:r w:rsidR="003E2CD8">
        <w:rPr>
          <w:rFonts w:ascii="Times New Roman" w:eastAsia="Times New Roman" w:hAnsi="Times New Roman"/>
        </w:rPr>
        <w:t>80</w:t>
      </w:r>
      <w:r>
        <w:rPr>
          <w:rFonts w:ascii="Times New Roman" w:eastAsia="Times New Roman" w:hAnsi="Times New Roman"/>
        </w:rPr>
        <w:t>%) to $</w:t>
      </w:r>
      <w:r w:rsidR="003E2CD8">
        <w:rPr>
          <w:rFonts w:ascii="Times New Roman" w:eastAsia="Times New Roman" w:hAnsi="Times New Roman"/>
        </w:rPr>
        <w:t>570,819</w:t>
      </w:r>
      <w:r>
        <w:rPr>
          <w:rFonts w:ascii="Times New Roman" w:eastAsia="Times New Roman" w:hAnsi="Times New Roman"/>
        </w:rPr>
        <w:t xml:space="preserve"> in the Q</w:t>
      </w:r>
      <w:r w:rsidR="003E2CD8">
        <w:rPr>
          <w:rFonts w:ascii="Times New Roman" w:eastAsia="Times New Roman" w:hAnsi="Times New Roman"/>
        </w:rPr>
        <w:t>1</w:t>
      </w:r>
      <w:r>
        <w:rPr>
          <w:rFonts w:ascii="Times New Roman" w:eastAsia="Times New Roman" w:hAnsi="Times New Roman"/>
        </w:rPr>
        <w:t xml:space="preserve"> 202</w:t>
      </w:r>
      <w:r w:rsidR="003E2CD8">
        <w:rPr>
          <w:rFonts w:ascii="Times New Roman" w:eastAsia="Times New Roman" w:hAnsi="Times New Roman"/>
        </w:rPr>
        <w:t>4</w:t>
      </w:r>
      <w:r>
        <w:rPr>
          <w:rFonts w:ascii="Times New Roman" w:eastAsia="Times New Roman" w:hAnsi="Times New Roman"/>
        </w:rPr>
        <w:t xml:space="preserve"> from $</w:t>
      </w:r>
      <w:r w:rsidR="003E2CD8">
        <w:rPr>
          <w:rFonts w:ascii="Times New Roman" w:eastAsia="Times New Roman" w:hAnsi="Times New Roman"/>
        </w:rPr>
        <w:t>317,333</w:t>
      </w:r>
      <w:r>
        <w:rPr>
          <w:rFonts w:ascii="Times New Roman" w:eastAsia="Times New Roman" w:hAnsi="Times New Roman"/>
        </w:rPr>
        <w:t xml:space="preserve"> in Q</w:t>
      </w:r>
      <w:r w:rsidR="003E2CD8">
        <w:rPr>
          <w:rFonts w:ascii="Times New Roman" w:eastAsia="Times New Roman" w:hAnsi="Times New Roman"/>
        </w:rPr>
        <w:t>4</w:t>
      </w:r>
      <w:r>
        <w:rPr>
          <w:rFonts w:ascii="Times New Roman" w:eastAsia="Times New Roman" w:hAnsi="Times New Roman"/>
        </w:rPr>
        <w:t xml:space="preserve"> 2023. </w:t>
      </w:r>
      <w:r w:rsidR="003E2CD8">
        <w:rPr>
          <w:rFonts w:ascii="Times New Roman" w:eastAsia="Times New Roman" w:hAnsi="Times New Roman"/>
        </w:rPr>
        <w:t>The increase was a result of the annual fees associated with the Company’s exchange listings, various shareholder outreach programs and costs related to the Company’s presentation at the Optical Fiber Conference.</w:t>
      </w:r>
    </w:p>
    <w:p w14:paraId="4EF37A30" w14:textId="2102B8B5" w:rsidR="0013484B" w:rsidRDefault="0013484B" w:rsidP="0013484B">
      <w:pPr>
        <w:widowControl/>
        <w:spacing w:after="120"/>
        <w:jc w:val="both"/>
        <w:rPr>
          <w:rFonts w:ascii="Times New Roman" w:eastAsia="Times New Roman" w:hAnsi="Times New Roman"/>
        </w:rPr>
      </w:pPr>
      <w:r>
        <w:rPr>
          <w:rFonts w:ascii="Times New Roman" w:eastAsia="Times New Roman" w:hAnsi="Times New Roman"/>
        </w:rPr>
        <w:t xml:space="preserve">The Company issued warrants in a foreign currency during </w:t>
      </w:r>
      <w:r w:rsidR="003E2CD8">
        <w:rPr>
          <w:rFonts w:ascii="Times New Roman" w:eastAsia="Times New Roman" w:hAnsi="Times New Roman"/>
        </w:rPr>
        <w:t>Q4 2023</w:t>
      </w:r>
      <w:r>
        <w:rPr>
          <w:rFonts w:ascii="Times New Roman" w:eastAsia="Times New Roman" w:hAnsi="Times New Roman"/>
        </w:rPr>
        <w:t xml:space="preserve">.  The issuance of those warrants created a </w:t>
      </w:r>
      <w:r w:rsidR="00F06ADC">
        <w:rPr>
          <w:rFonts w:ascii="Times New Roman" w:eastAsia="Times New Roman" w:hAnsi="Times New Roman"/>
        </w:rPr>
        <w:t xml:space="preserve">non-cash </w:t>
      </w:r>
      <w:r>
        <w:rPr>
          <w:rFonts w:ascii="Times New Roman" w:eastAsia="Times New Roman" w:hAnsi="Times New Roman"/>
        </w:rPr>
        <w:t>derivative liability which is periodically remeasured and adjusted to reflect the fair value of the warrants. The Company had a non-cash adjustment of $</w:t>
      </w:r>
      <w:r w:rsidR="003E2CD8">
        <w:rPr>
          <w:rFonts w:ascii="Times New Roman" w:eastAsia="Times New Roman" w:hAnsi="Times New Roman"/>
        </w:rPr>
        <w:t>629,82</w:t>
      </w:r>
      <w:r w:rsidR="00952868">
        <w:rPr>
          <w:rFonts w:ascii="Times New Roman" w:eastAsia="Times New Roman" w:hAnsi="Times New Roman"/>
        </w:rPr>
        <w:t>4</w:t>
      </w:r>
      <w:r>
        <w:rPr>
          <w:rFonts w:ascii="Times New Roman" w:eastAsia="Times New Roman" w:hAnsi="Times New Roman"/>
        </w:rPr>
        <w:t xml:space="preserve"> </w:t>
      </w:r>
      <w:r w:rsidR="003E2CD8">
        <w:rPr>
          <w:rFonts w:ascii="Times New Roman" w:eastAsia="Times New Roman" w:hAnsi="Times New Roman"/>
        </w:rPr>
        <w:t>in</w:t>
      </w:r>
      <w:r>
        <w:rPr>
          <w:rFonts w:ascii="Times New Roman" w:eastAsia="Times New Roman" w:hAnsi="Times New Roman"/>
        </w:rPr>
        <w:t xml:space="preserve"> Q</w:t>
      </w:r>
      <w:r w:rsidR="003E2CD8">
        <w:rPr>
          <w:rFonts w:ascii="Times New Roman" w:eastAsia="Times New Roman" w:hAnsi="Times New Roman"/>
        </w:rPr>
        <w:t>1</w:t>
      </w:r>
      <w:r>
        <w:rPr>
          <w:rFonts w:ascii="Times New Roman" w:eastAsia="Times New Roman" w:hAnsi="Times New Roman"/>
        </w:rPr>
        <w:t xml:space="preserve"> 202</w:t>
      </w:r>
      <w:r w:rsidR="003E2CD8">
        <w:rPr>
          <w:rFonts w:ascii="Times New Roman" w:eastAsia="Times New Roman" w:hAnsi="Times New Roman"/>
        </w:rPr>
        <w:t>4 compared to $24,865 in Q4 2023</w:t>
      </w:r>
      <w:r>
        <w:rPr>
          <w:rFonts w:ascii="Times New Roman" w:eastAsia="Times New Roman" w:hAnsi="Times New Roman"/>
        </w:rPr>
        <w:t xml:space="preserve"> related to the fair value adjustment of the derivative liability. </w:t>
      </w:r>
    </w:p>
    <w:p w14:paraId="72ADB284" w14:textId="77777777" w:rsidR="0013484B" w:rsidRDefault="0013484B" w:rsidP="0023210C">
      <w:pPr>
        <w:widowControl/>
        <w:spacing w:after="60"/>
        <w:jc w:val="both"/>
        <w:outlineLvl w:val="0"/>
        <w:rPr>
          <w:rFonts w:ascii="Times New Roman" w:eastAsia="Times New Roman" w:hAnsi="Times New Roman"/>
          <w:i/>
          <w:u w:val="single"/>
        </w:rPr>
      </w:pPr>
    </w:p>
    <w:p w14:paraId="41DE7F98" w14:textId="77777777" w:rsidR="000710C4" w:rsidRDefault="000710C4" w:rsidP="0023210C">
      <w:pPr>
        <w:keepNext/>
        <w:widowControl/>
        <w:spacing w:after="40"/>
        <w:jc w:val="both"/>
        <w:outlineLvl w:val="0"/>
        <w:rPr>
          <w:rFonts w:ascii="Times New Roman" w:eastAsia="Times New Roman" w:hAnsi="Times New Roman"/>
          <w:b/>
          <w:i/>
        </w:rPr>
      </w:pPr>
    </w:p>
    <w:p w14:paraId="719D88AF" w14:textId="269F21C0" w:rsidR="000F0A0B" w:rsidRPr="002711E4" w:rsidRDefault="004928E7" w:rsidP="0023210C">
      <w:pPr>
        <w:keepNext/>
        <w:widowControl/>
        <w:spacing w:after="40"/>
        <w:jc w:val="both"/>
        <w:outlineLvl w:val="0"/>
        <w:rPr>
          <w:rFonts w:ascii="Times New Roman" w:eastAsia="Times New Roman" w:hAnsi="Times New Roman"/>
          <w:b/>
          <w:bCs/>
          <w:i/>
        </w:rPr>
      </w:pPr>
      <w:r w:rsidRPr="002711E4">
        <w:rPr>
          <w:rFonts w:ascii="Times New Roman" w:eastAsia="Times New Roman" w:hAnsi="Times New Roman"/>
          <w:b/>
          <w:i/>
        </w:rPr>
        <w:t>Segment</w:t>
      </w:r>
      <w:r w:rsidRPr="002711E4">
        <w:rPr>
          <w:rFonts w:ascii="Times New Roman" w:eastAsia="Times New Roman" w:hAnsi="Times New Roman"/>
          <w:b/>
          <w:bCs/>
          <w:i/>
        </w:rPr>
        <w:t xml:space="preserve"> </w:t>
      </w:r>
      <w:r w:rsidRPr="002711E4">
        <w:rPr>
          <w:rFonts w:ascii="Times New Roman" w:eastAsia="Times New Roman" w:hAnsi="Times New Roman"/>
          <w:b/>
          <w:i/>
        </w:rPr>
        <w:t>Disclosure</w:t>
      </w:r>
    </w:p>
    <w:p w14:paraId="43919B7C" w14:textId="776C19A0" w:rsidR="00BD462A" w:rsidRPr="002711E4" w:rsidRDefault="004928E7" w:rsidP="0023210C">
      <w:pPr>
        <w:widowControl/>
        <w:spacing w:after="120"/>
        <w:jc w:val="both"/>
        <w:rPr>
          <w:rFonts w:ascii="Times New Roman" w:eastAsia="Times New Roman" w:hAnsi="Times New Roman"/>
        </w:rPr>
      </w:pPr>
      <w:r w:rsidRPr="000F26A9">
        <w:rPr>
          <w:rFonts w:ascii="Times New Roman" w:eastAsia="Times New Roman" w:hAnsi="Times New Roman"/>
          <w:lang w:val="en-CA"/>
        </w:rPr>
        <w:t xml:space="preserve">The Company and its subsidiaries operate in a single </w:t>
      </w:r>
      <w:proofErr w:type="gramStart"/>
      <w:r w:rsidRPr="000F26A9">
        <w:rPr>
          <w:rFonts w:ascii="Times New Roman" w:eastAsia="Times New Roman" w:hAnsi="Times New Roman"/>
          <w:lang w:val="en-CA"/>
        </w:rPr>
        <w:t>segment;</w:t>
      </w:r>
      <w:proofErr w:type="gramEnd"/>
      <w:r w:rsidRPr="000F26A9">
        <w:rPr>
          <w:rFonts w:ascii="Times New Roman" w:eastAsia="Times New Roman" w:hAnsi="Times New Roman"/>
          <w:lang w:val="en-CA"/>
        </w:rPr>
        <w:t xml:space="preserve"> the design, manufacture and sale of semiconductor products and services for commercial applications. The Company’s operating and reporting segment reflects the management reporting structure of the organization and the </w:t>
      </w:r>
      <w:proofErr w:type="gramStart"/>
      <w:r w:rsidRPr="000F26A9">
        <w:rPr>
          <w:rFonts w:ascii="Times New Roman" w:eastAsia="Times New Roman" w:hAnsi="Times New Roman"/>
          <w:lang w:val="en-CA"/>
        </w:rPr>
        <w:t>manner in which</w:t>
      </w:r>
      <w:proofErr w:type="gramEnd"/>
      <w:r w:rsidRPr="000F26A9">
        <w:rPr>
          <w:rFonts w:ascii="Times New Roman" w:eastAsia="Times New Roman" w:hAnsi="Times New Roman"/>
          <w:lang w:val="en-CA"/>
        </w:rPr>
        <w:t xml:space="preserve"> the chief operating decision maker regularly assesses information for decision making purposes, including the allocation of resources. A summary of the Company</w:t>
      </w:r>
      <w:r w:rsidR="006E3065">
        <w:rPr>
          <w:rFonts w:ascii="Times New Roman" w:eastAsia="Times New Roman" w:hAnsi="Times New Roman"/>
          <w:lang w:val="en-CA"/>
        </w:rPr>
        <w:t>’</w:t>
      </w:r>
      <w:r w:rsidRPr="000F26A9">
        <w:rPr>
          <w:rFonts w:ascii="Times New Roman" w:eastAsia="Times New Roman" w:hAnsi="Times New Roman"/>
          <w:lang w:val="en-CA"/>
        </w:rPr>
        <w:t>s operations is below:</w:t>
      </w:r>
    </w:p>
    <w:p w14:paraId="4406ABE7" w14:textId="7754FA12" w:rsidR="00D14537" w:rsidRPr="00D14537" w:rsidRDefault="004928E7" w:rsidP="00D14537">
      <w:pPr>
        <w:widowControl/>
        <w:spacing w:after="120" w:line="240" w:lineRule="auto"/>
        <w:jc w:val="both"/>
        <w:rPr>
          <w:rFonts w:ascii="Times New Roman" w:eastAsia="Times New Roman" w:hAnsi="Times New Roman"/>
          <w:b/>
          <w:bCs/>
        </w:rPr>
      </w:pPr>
      <w:r w:rsidRPr="00D14537">
        <w:rPr>
          <w:rFonts w:ascii="Times New Roman" w:eastAsia="Times New Roman" w:hAnsi="Times New Roman"/>
          <w:b/>
          <w:bCs/>
        </w:rPr>
        <w:t>OPEL, ODIS</w:t>
      </w:r>
      <w:r w:rsidR="00925931">
        <w:rPr>
          <w:rFonts w:ascii="Times New Roman" w:eastAsia="Times New Roman" w:hAnsi="Times New Roman"/>
          <w:b/>
          <w:bCs/>
        </w:rPr>
        <w:t>, POET Shenzhen</w:t>
      </w:r>
      <w:r w:rsidR="00C42997">
        <w:rPr>
          <w:rFonts w:ascii="Times New Roman" w:eastAsia="Times New Roman" w:hAnsi="Times New Roman"/>
          <w:b/>
          <w:bCs/>
        </w:rPr>
        <w:t xml:space="preserve">, PTM </w:t>
      </w:r>
      <w:r w:rsidRPr="00D14537">
        <w:rPr>
          <w:rFonts w:ascii="Times New Roman" w:eastAsia="Times New Roman" w:hAnsi="Times New Roman"/>
          <w:b/>
          <w:bCs/>
        </w:rPr>
        <w:t>and PTS</w:t>
      </w:r>
    </w:p>
    <w:p w14:paraId="4EFD9E2D" w14:textId="45F7EFD7" w:rsidR="00D14537" w:rsidRPr="00F10269" w:rsidRDefault="004928E7" w:rsidP="0023210C">
      <w:pPr>
        <w:keepNext/>
        <w:keepLines/>
        <w:widowControl/>
        <w:spacing w:after="120"/>
        <w:jc w:val="both"/>
        <w:outlineLvl w:val="0"/>
        <w:rPr>
          <w:rFonts w:ascii="Times New Roman" w:eastAsia="Times New Roman" w:hAnsi="Times New Roman"/>
        </w:rPr>
      </w:pPr>
      <w:r w:rsidRPr="00F10269">
        <w:rPr>
          <w:rFonts w:ascii="Times New Roman" w:eastAsia="Times New Roman" w:hAnsi="Times New Roman"/>
        </w:rPr>
        <w:t>OPEL, ODIS</w:t>
      </w:r>
      <w:r w:rsidR="00925931">
        <w:rPr>
          <w:rFonts w:ascii="Times New Roman" w:eastAsia="Times New Roman" w:hAnsi="Times New Roman"/>
        </w:rPr>
        <w:t>, POET Shenzhen</w:t>
      </w:r>
      <w:r w:rsidR="0099740B">
        <w:rPr>
          <w:rFonts w:ascii="Times New Roman" w:eastAsia="Times New Roman" w:hAnsi="Times New Roman"/>
        </w:rPr>
        <w:t xml:space="preserve">, PTM </w:t>
      </w:r>
      <w:r w:rsidRPr="00F10269">
        <w:rPr>
          <w:rFonts w:ascii="Times New Roman" w:eastAsia="Times New Roman" w:hAnsi="Times New Roman"/>
        </w:rPr>
        <w:t xml:space="preserve">and PTS are the </w:t>
      </w:r>
      <w:r w:rsidR="00165047">
        <w:rPr>
          <w:rFonts w:ascii="Times New Roman" w:eastAsia="Times New Roman" w:hAnsi="Times New Roman"/>
        </w:rPr>
        <w:t xml:space="preserve">designers and </w:t>
      </w:r>
      <w:r w:rsidRPr="00F10269">
        <w:rPr>
          <w:rFonts w:ascii="Times New Roman" w:eastAsia="Times New Roman" w:hAnsi="Times New Roman"/>
        </w:rPr>
        <w:t xml:space="preserve">developers of the POET </w:t>
      </w:r>
      <w:r w:rsidR="00165047">
        <w:rPr>
          <w:rFonts w:ascii="Times New Roman" w:eastAsia="Times New Roman" w:hAnsi="Times New Roman"/>
        </w:rPr>
        <w:t xml:space="preserve">Optical Interposer </w:t>
      </w:r>
      <w:r w:rsidRPr="00F10269">
        <w:rPr>
          <w:rFonts w:ascii="Times New Roman" w:eastAsia="Times New Roman" w:hAnsi="Times New Roman"/>
        </w:rPr>
        <w:t xml:space="preserve">platform </w:t>
      </w:r>
      <w:r w:rsidR="00165047">
        <w:rPr>
          <w:rFonts w:ascii="Times New Roman" w:eastAsia="Times New Roman" w:hAnsi="Times New Roman"/>
        </w:rPr>
        <w:t>and optical engines based on the POET Optical Interposer</w:t>
      </w:r>
      <w:r w:rsidR="002B21AF">
        <w:rPr>
          <w:rFonts w:ascii="Times New Roman" w:eastAsia="Times New Roman" w:hAnsi="Times New Roman"/>
        </w:rPr>
        <w:t xml:space="preserve"> </w:t>
      </w:r>
      <w:r w:rsidR="00165047">
        <w:rPr>
          <w:rFonts w:ascii="Times New Roman" w:eastAsia="Times New Roman" w:hAnsi="Times New Roman"/>
        </w:rPr>
        <w:t>platform.</w:t>
      </w:r>
    </w:p>
    <w:p w14:paraId="1F51C177" w14:textId="77777777" w:rsidR="00D14537" w:rsidRDefault="004928E7" w:rsidP="0023210C">
      <w:pPr>
        <w:widowControl/>
        <w:spacing w:after="120"/>
        <w:jc w:val="both"/>
        <w:rPr>
          <w:rFonts w:ascii="Times New Roman" w:eastAsia="Times New Roman" w:hAnsi="Times New Roman"/>
          <w:b/>
          <w:bCs/>
          <w:lang w:val="en-CA"/>
        </w:rPr>
      </w:pPr>
      <w:r w:rsidRPr="000F26A9">
        <w:rPr>
          <w:rFonts w:ascii="Times New Roman" w:eastAsia="Times New Roman" w:hAnsi="Times New Roman"/>
          <w:b/>
          <w:bCs/>
          <w:lang w:val="en-CA"/>
        </w:rPr>
        <w:t>BB Photonics</w:t>
      </w:r>
      <w:r w:rsidR="002E42B6" w:rsidRPr="000F26A9">
        <w:rPr>
          <w:rFonts w:ascii="Times New Roman" w:eastAsia="Times New Roman" w:hAnsi="Times New Roman"/>
          <w:b/>
          <w:bCs/>
          <w:lang w:val="en-CA"/>
        </w:rPr>
        <w:t xml:space="preserve"> </w:t>
      </w:r>
    </w:p>
    <w:p w14:paraId="3FF342B3" w14:textId="77777777" w:rsidR="00D10D07" w:rsidRDefault="004928E7" w:rsidP="0023210C">
      <w:pPr>
        <w:widowControl/>
        <w:spacing w:after="120"/>
        <w:jc w:val="both"/>
        <w:rPr>
          <w:rFonts w:ascii="Times New Roman" w:eastAsia="Times New Roman" w:hAnsi="Times New Roman"/>
        </w:rPr>
      </w:pPr>
      <w:bookmarkStart w:id="13" w:name="_Hlk99102385"/>
      <w:r w:rsidRPr="00F10269">
        <w:rPr>
          <w:rFonts w:ascii="Times New Roman" w:eastAsia="Times New Roman" w:hAnsi="Times New Roman"/>
          <w:lang w:val="en-CA"/>
        </w:rPr>
        <w:t>BB Photonics develop</w:t>
      </w:r>
      <w:r w:rsidR="00B967CB">
        <w:rPr>
          <w:rFonts w:ascii="Times New Roman" w:eastAsia="Times New Roman" w:hAnsi="Times New Roman"/>
          <w:lang w:val="en-CA"/>
        </w:rPr>
        <w:t>ed</w:t>
      </w:r>
      <w:r w:rsidRPr="00F10269">
        <w:rPr>
          <w:rFonts w:ascii="Times New Roman" w:eastAsia="Times New Roman" w:hAnsi="Times New Roman"/>
          <w:lang w:val="en-CA"/>
        </w:rPr>
        <w:t xml:space="preserve"> photonic integrated components for the datacom and telecom markets utilizing embedded dielectric technology that enable</w:t>
      </w:r>
      <w:r w:rsidR="00165047">
        <w:rPr>
          <w:rFonts w:ascii="Times New Roman" w:eastAsia="Times New Roman" w:hAnsi="Times New Roman"/>
          <w:lang w:val="en-CA"/>
        </w:rPr>
        <w:t>d</w:t>
      </w:r>
      <w:r w:rsidRPr="00F10269">
        <w:rPr>
          <w:rFonts w:ascii="Times New Roman" w:eastAsia="Times New Roman" w:hAnsi="Times New Roman"/>
          <w:lang w:val="en-CA"/>
        </w:rPr>
        <w:t xml:space="preserve"> the </w:t>
      </w:r>
      <w:r w:rsidR="00165047">
        <w:rPr>
          <w:rFonts w:ascii="Times New Roman" w:eastAsia="Times New Roman" w:hAnsi="Times New Roman"/>
          <w:lang w:val="en-CA"/>
        </w:rPr>
        <w:t>partial</w:t>
      </w:r>
      <w:r w:rsidRPr="00F10269">
        <w:rPr>
          <w:rFonts w:ascii="Times New Roman" w:eastAsia="Times New Roman" w:hAnsi="Times New Roman"/>
          <w:lang w:val="en-CA"/>
        </w:rPr>
        <w:t xml:space="preserve"> integration of active and passive devices into photonic integrated circuits</w:t>
      </w:r>
      <w:bookmarkEnd w:id="13"/>
      <w:r w:rsidR="00BB70D2">
        <w:rPr>
          <w:rFonts w:ascii="Times New Roman" w:eastAsia="Times New Roman" w:hAnsi="Times New Roman"/>
          <w:lang w:val="en-CA"/>
        </w:rPr>
        <w:t>.</w:t>
      </w:r>
      <w:r w:rsidR="00B967CB">
        <w:rPr>
          <w:rFonts w:ascii="Times New Roman" w:eastAsia="Times New Roman" w:hAnsi="Times New Roman"/>
          <w:lang w:val="en-CA"/>
        </w:rPr>
        <w:t xml:space="preserve"> </w:t>
      </w:r>
      <w:r w:rsidR="000612B0">
        <w:rPr>
          <w:rFonts w:ascii="Times New Roman" w:eastAsia="Times New Roman" w:hAnsi="Times New Roman"/>
        </w:rPr>
        <w:t xml:space="preserve">BB Photonics’ </w:t>
      </w:r>
      <w:r w:rsidR="00B967CB" w:rsidRPr="00B967CB">
        <w:rPr>
          <w:rFonts w:ascii="Times New Roman" w:eastAsia="Times New Roman" w:hAnsi="Times New Roman"/>
        </w:rPr>
        <w:t>operation is currently dormant.</w:t>
      </w:r>
    </w:p>
    <w:p w14:paraId="66540C4B" w14:textId="74E136F5" w:rsidR="00B57B76" w:rsidRDefault="004928E7" w:rsidP="002B1607">
      <w:pPr>
        <w:widowControl/>
        <w:spacing w:after="120"/>
        <w:jc w:val="both"/>
        <w:rPr>
          <w:rFonts w:ascii="Times New Roman" w:eastAsia="Times New Roman" w:hAnsi="Times New Roman"/>
          <w:lang w:val="en-CA"/>
        </w:rPr>
      </w:pPr>
      <w:r w:rsidRPr="00771139">
        <w:rPr>
          <w:rFonts w:ascii="Times New Roman" w:eastAsia="Times New Roman" w:hAnsi="Times New Roman"/>
          <w:lang w:val="en-CA"/>
        </w:rPr>
        <w:lastRenderedPageBreak/>
        <w:t xml:space="preserve">On a consolidated basis, the Company operates geographically in Singapore, </w:t>
      </w:r>
      <w:r w:rsidR="0099740B">
        <w:rPr>
          <w:rFonts w:ascii="Times New Roman" w:eastAsia="Times New Roman" w:hAnsi="Times New Roman"/>
          <w:lang w:val="en-CA"/>
        </w:rPr>
        <w:t xml:space="preserve">Malaysia, </w:t>
      </w:r>
      <w:r w:rsidRPr="00771139">
        <w:rPr>
          <w:rFonts w:ascii="Times New Roman" w:eastAsia="Times New Roman" w:hAnsi="Times New Roman"/>
          <w:lang w:val="en-CA"/>
        </w:rPr>
        <w:t xml:space="preserve">China (collectively </w:t>
      </w:r>
      <w:r w:rsidR="006E3065">
        <w:rPr>
          <w:rFonts w:ascii="Times New Roman" w:eastAsia="Times New Roman" w:hAnsi="Times New Roman"/>
          <w:lang w:val="en-CA"/>
        </w:rPr>
        <w:t>“</w:t>
      </w:r>
      <w:r w:rsidRPr="00771139">
        <w:rPr>
          <w:rFonts w:ascii="Times New Roman" w:eastAsia="Times New Roman" w:hAnsi="Times New Roman"/>
          <w:lang w:val="en-CA"/>
        </w:rPr>
        <w:t>Asia</w:t>
      </w:r>
      <w:r w:rsidR="006E3065">
        <w:rPr>
          <w:rFonts w:ascii="Times New Roman" w:eastAsia="Times New Roman" w:hAnsi="Times New Roman"/>
          <w:lang w:val="en-CA"/>
        </w:rPr>
        <w:t>”</w:t>
      </w:r>
      <w:r w:rsidRPr="00771139">
        <w:rPr>
          <w:rFonts w:ascii="Times New Roman" w:eastAsia="Times New Roman" w:hAnsi="Times New Roman"/>
          <w:lang w:val="en-CA"/>
        </w:rPr>
        <w:t>), the United States and Canada. Geographical information is as follows</w:t>
      </w:r>
      <w:bookmarkStart w:id="14" w:name="_Hlk65612708"/>
      <w:r w:rsidR="0020318C">
        <w:rPr>
          <w:rFonts w:ascii="Times New Roman" w:eastAsia="Times New Roman" w:hAnsi="Times New Roman"/>
          <w:lang w:val="en-CA"/>
        </w:rPr>
        <w:t>:</w:t>
      </w:r>
    </w:p>
    <w:p w14:paraId="0DAB43B1" w14:textId="77777777" w:rsidR="0099740B" w:rsidRDefault="0099740B" w:rsidP="002B1607">
      <w:pPr>
        <w:widowControl/>
        <w:spacing w:after="120"/>
        <w:jc w:val="both"/>
        <w:rPr>
          <w:rFonts w:ascii="Times New Roman" w:eastAsia="Times New Roman" w:hAnsi="Times New Roman"/>
          <w:lang w:val="en-CA"/>
        </w:rPr>
      </w:pPr>
    </w:p>
    <w:p w14:paraId="251B4384" w14:textId="77777777" w:rsidR="0099740B" w:rsidRPr="0099740B" w:rsidRDefault="0099740B" w:rsidP="0099740B">
      <w:pPr>
        <w:tabs>
          <w:tab w:val="center" w:pos="7086"/>
        </w:tabs>
        <w:autoSpaceDE w:val="0"/>
        <w:autoSpaceDN w:val="0"/>
        <w:adjustRightInd w:val="0"/>
        <w:spacing w:after="113" w:line="240" w:lineRule="auto"/>
        <w:ind w:left="680"/>
        <w:jc w:val="both"/>
        <w:rPr>
          <w:rFonts w:ascii="Arial" w:eastAsia="DengXian" w:hAnsi="Arial" w:cs="Arial"/>
          <w:b/>
          <w:bCs/>
          <w:color w:val="000000"/>
          <w:sz w:val="16"/>
          <w:szCs w:val="16"/>
          <w:lang w:val="en-CA" w:eastAsia="zh-CN"/>
          <w14:ligatures w14:val="standardContextual"/>
        </w:rPr>
      </w:pPr>
      <w:r w:rsidRPr="0099740B">
        <w:rPr>
          <w:rFonts w:ascii="Arial" w:eastAsia="DengXian" w:hAnsi="Arial" w:cs="Arial"/>
          <w:b/>
          <w:bCs/>
          <w:color w:val="000000"/>
          <w:sz w:val="16"/>
          <w:szCs w:val="16"/>
          <w:lang w:val="en-CA" w:eastAsia="zh-CN"/>
          <w14:ligatures w14:val="standardContextual"/>
        </w:rPr>
        <w:tab/>
        <w:t>2025</w:t>
      </w:r>
    </w:p>
    <w:p w14:paraId="21F9E11E" w14:textId="227F073A" w:rsidR="0099740B" w:rsidRPr="0099740B" w:rsidRDefault="0099740B" w:rsidP="0099740B">
      <w:pPr>
        <w:autoSpaceDE w:val="0"/>
        <w:autoSpaceDN w:val="0"/>
        <w:adjustRightInd w:val="0"/>
        <w:spacing w:after="0" w:line="240" w:lineRule="auto"/>
        <w:ind w:left="680"/>
        <w:rPr>
          <w:rFonts w:ascii="Arial" w:eastAsia="DengXian" w:hAnsi="Arial" w:cs="Arial"/>
          <w:b/>
          <w:bCs/>
          <w:color w:val="000000"/>
          <w:sz w:val="16"/>
          <w:szCs w:val="16"/>
          <w:lang w:val="en-CA" w:eastAsia="zh-CN"/>
          <w14:ligatures w14:val="standardContextual"/>
        </w:rPr>
      </w:pPr>
      <w:r w:rsidRPr="0099740B">
        <w:rPr>
          <w:rFonts w:ascii="Arial" w:eastAsia="DengXian" w:hAnsi="Arial" w:cs="Arial"/>
          <w:noProof/>
          <w:color w:val="000000"/>
          <w:sz w:val="24"/>
          <w:szCs w:val="24"/>
          <w:lang w:val="en-CA" w:eastAsia="zh-CN"/>
          <w14:ligatures w14:val="standardContextual"/>
        </w:rPr>
        <mc:AlternateContent>
          <mc:Choice Requires="wps">
            <w:drawing>
              <wp:anchor distT="0" distB="0" distL="114300" distR="114300" simplePos="0" relativeHeight="251737088" behindDoc="0" locked="0" layoutInCell="0" allowOverlap="1" wp14:anchorId="1303F3C6" wp14:editId="090BBDDA">
                <wp:simplePos x="0" y="0"/>
                <wp:positionH relativeFrom="character">
                  <wp:posOffset>0</wp:posOffset>
                </wp:positionH>
                <wp:positionV relativeFrom="paragraph">
                  <wp:posOffset>0</wp:posOffset>
                </wp:positionV>
                <wp:extent cx="5975350" cy="0"/>
                <wp:effectExtent l="0" t="0" r="0" b="0"/>
                <wp:wrapNone/>
                <wp:docPr id="552431457"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35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EA3CD9" id="Straight Connector 46" o:spid="_x0000_s1026" style="position:absolute;z-index:25173708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 from="0,0" to="47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" o:allowincell="f" strokeweight="1pt"/>
            </w:pict>
          </mc:Fallback>
        </mc:AlternateContent>
      </w:r>
    </w:p>
    <w:p w14:paraId="0A3DFE4A" w14:textId="6320213F" w:rsidR="0099740B" w:rsidRPr="0099740B" w:rsidRDefault="0099740B" w:rsidP="0099740B">
      <w:pPr>
        <w:tabs>
          <w:tab w:val="left" w:pos="3798"/>
          <w:tab w:val="left" w:pos="5668"/>
          <w:tab w:val="left" w:pos="7086"/>
          <w:tab w:val="left" w:pos="8503"/>
          <w:tab w:val="right" w:pos="9694"/>
        </w:tabs>
        <w:autoSpaceDE w:val="0"/>
        <w:autoSpaceDN w:val="0"/>
        <w:adjustRightInd w:val="0"/>
        <w:spacing w:after="0" w:line="240" w:lineRule="auto"/>
        <w:ind w:left="680"/>
        <w:jc w:val="both"/>
        <w:rPr>
          <w:rFonts w:ascii="Arial" w:eastAsia="DengXian" w:hAnsi="Arial" w:cs="Arial"/>
          <w:b/>
          <w:bCs/>
          <w:color w:val="000000"/>
          <w:sz w:val="16"/>
          <w:szCs w:val="16"/>
          <w:lang w:val="en-CA" w:eastAsia="zh-CN"/>
          <w14:ligatures w14:val="standardContextual"/>
        </w:rPr>
      </w:pPr>
      <w:r w:rsidRPr="0099740B">
        <w:rPr>
          <w:rFonts w:ascii="Arial" w:eastAsia="DengXian" w:hAnsi="Arial" w:cs="Arial"/>
          <w:noProof/>
          <w:color w:val="000000"/>
          <w:sz w:val="24"/>
          <w:szCs w:val="24"/>
          <w:lang w:val="en-CA" w:eastAsia="zh-CN"/>
          <w14:ligatures w14:val="standardContextual"/>
        </w:rPr>
        <mc:AlternateContent>
          <mc:Choice Requires="wps">
            <w:drawing>
              <wp:anchor distT="0" distB="0" distL="114300" distR="114300" simplePos="0" relativeHeight="251738112" behindDoc="0" locked="0" layoutInCell="0" allowOverlap="1" wp14:anchorId="19ABACDA" wp14:editId="5488560D">
                <wp:simplePos x="0" y="0"/>
                <wp:positionH relativeFrom="character">
                  <wp:posOffset>2540</wp:posOffset>
                </wp:positionH>
                <wp:positionV relativeFrom="paragraph">
                  <wp:posOffset>107950</wp:posOffset>
                </wp:positionV>
                <wp:extent cx="5975350" cy="0"/>
                <wp:effectExtent l="0" t="0" r="0" b="0"/>
                <wp:wrapNone/>
                <wp:docPr id="839667747"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35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EA1F22" id="Straight Connector 45" o:spid="_x0000_s1026" style="position:absolute;z-index:251738112;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 from=".2pt,8.5pt" to="470.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" o:allowincell="f" strokeweight="1pt"/>
            </w:pict>
          </mc:Fallback>
        </mc:AlternateContent>
      </w:r>
      <w:r w:rsidRPr="0099740B">
        <w:rPr>
          <w:rFonts w:ascii="Arial" w:eastAsia="DengXian" w:hAnsi="Arial" w:cs="Arial"/>
          <w:b/>
          <w:bCs/>
          <w:color w:val="000000"/>
          <w:sz w:val="16"/>
          <w:szCs w:val="16"/>
          <w:lang w:val="en-CA" w:eastAsia="zh-CN"/>
          <w14:ligatures w14:val="standardContextual"/>
        </w:rPr>
        <w:t>As of September 30,</w:t>
      </w:r>
      <w:r w:rsidRPr="0099740B">
        <w:rPr>
          <w:rFonts w:ascii="Arial" w:eastAsia="DengXian" w:hAnsi="Arial" w:cs="Arial"/>
          <w:b/>
          <w:bCs/>
          <w:color w:val="000000"/>
          <w:sz w:val="16"/>
          <w:szCs w:val="16"/>
          <w:lang w:val="en-CA" w:eastAsia="zh-CN"/>
          <w14:ligatures w14:val="standardContextual"/>
        </w:rPr>
        <w:tab/>
        <w:t>Asia</w:t>
      </w:r>
      <w:r w:rsidRPr="0099740B">
        <w:rPr>
          <w:rFonts w:ascii="Arial" w:eastAsia="DengXian" w:hAnsi="Arial" w:cs="Arial"/>
          <w:b/>
          <w:bCs/>
          <w:color w:val="000000"/>
          <w:sz w:val="16"/>
          <w:szCs w:val="16"/>
          <w:lang w:val="en-CA" w:eastAsia="zh-CN"/>
          <w14:ligatures w14:val="standardContextual"/>
        </w:rPr>
        <w:tab/>
        <w:t>US</w:t>
      </w:r>
      <w:r w:rsidRPr="0099740B">
        <w:rPr>
          <w:rFonts w:ascii="Arial" w:eastAsia="DengXian" w:hAnsi="Arial" w:cs="Arial"/>
          <w:b/>
          <w:bCs/>
          <w:color w:val="000000"/>
          <w:sz w:val="16"/>
          <w:szCs w:val="16"/>
          <w:lang w:val="en-CA" w:eastAsia="zh-CN"/>
          <w14:ligatures w14:val="standardContextual"/>
        </w:rPr>
        <w:tab/>
        <w:t>Canada</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Consolidated</w:t>
      </w:r>
    </w:p>
    <w:p w14:paraId="07510DD1" w14:textId="0F1D4DB3" w:rsidR="0099740B" w:rsidRPr="0099740B" w:rsidRDefault="0099740B" w:rsidP="0099740B">
      <w:pPr>
        <w:tabs>
          <w:tab w:val="left" w:pos="3456"/>
          <w:tab w:val="right" w:pos="4726"/>
          <w:tab w:val="left" w:pos="4752"/>
          <w:tab w:val="left" w:pos="4987"/>
          <w:tab w:val="right" w:pos="6257"/>
          <w:tab w:val="left" w:pos="6283"/>
          <w:tab w:val="left" w:pos="6688"/>
          <w:tab w:val="right" w:pos="7958"/>
          <w:tab w:val="left" w:pos="7984"/>
          <w:tab w:val="left" w:pos="8445"/>
          <w:tab w:val="right" w:pos="9715"/>
          <w:tab w:val="left" w:pos="9741"/>
        </w:tabs>
        <w:autoSpaceDE w:val="0"/>
        <w:autoSpaceDN w:val="0"/>
        <w:adjustRightInd w:val="0"/>
        <w:spacing w:after="0" w:line="240" w:lineRule="auto"/>
        <w:ind w:left="680"/>
        <w:jc w:val="both"/>
        <w:rPr>
          <w:rFonts w:ascii="Arial" w:eastAsia="DengXian" w:hAnsi="Arial" w:cs="Arial"/>
          <w:b/>
          <w:bCs/>
          <w:color w:val="000000"/>
          <w:sz w:val="16"/>
          <w:szCs w:val="16"/>
          <w:lang w:val="en-CA" w:eastAsia="zh-CN"/>
          <w14:ligatures w14:val="standardContextual"/>
        </w:rPr>
      </w:pPr>
      <w:r w:rsidRPr="0099740B">
        <w:rPr>
          <w:rFonts w:ascii="Arial" w:eastAsia="DengXian" w:hAnsi="Arial" w:cs="Arial"/>
          <w:b/>
          <w:bCs/>
          <w:color w:val="000000"/>
          <w:sz w:val="16"/>
          <w:szCs w:val="16"/>
          <w:lang w:val="en-CA" w:eastAsia="zh-CN"/>
          <w14:ligatures w14:val="standardContextual"/>
        </w:rPr>
        <w:t xml:space="preserve">Current assets </w:t>
      </w:r>
      <w:r w:rsidRPr="0099740B">
        <w:rPr>
          <w:rFonts w:ascii="Arial" w:eastAsia="DengXian" w:hAnsi="Arial" w:cs="Arial"/>
          <w:b/>
          <w:bCs/>
          <w:color w:val="000000"/>
          <w:sz w:val="16"/>
          <w:szCs w:val="16"/>
          <w:lang w:val="en-CA" w:eastAsia="zh-CN"/>
          <w14:ligatures w14:val="standardContextual"/>
        </w:rPr>
        <w:tab/>
        <w:t>$</w:t>
      </w:r>
      <w:r w:rsidRPr="0099740B">
        <w:rPr>
          <w:rFonts w:ascii="Arial" w:eastAsia="DengXian" w:hAnsi="Arial" w:cs="Arial"/>
          <w:b/>
          <w:bCs/>
          <w:color w:val="000000"/>
          <w:sz w:val="16"/>
          <w:szCs w:val="16"/>
          <w:lang w:val="en-CA" w:eastAsia="zh-CN"/>
          <w14:ligatures w14:val="standardContextual"/>
        </w:rPr>
        <w:tab/>
        <w:t>818,748</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w:t>
      </w:r>
      <w:r w:rsidRPr="0099740B">
        <w:rPr>
          <w:rFonts w:ascii="Arial" w:eastAsia="DengXian" w:hAnsi="Arial" w:cs="Arial"/>
          <w:b/>
          <w:bCs/>
          <w:color w:val="000000"/>
          <w:sz w:val="16"/>
          <w:szCs w:val="16"/>
          <w:lang w:val="en-CA" w:eastAsia="zh-CN"/>
          <w14:ligatures w14:val="standardContextual"/>
        </w:rPr>
        <w:tab/>
        <w:t>607,094</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w:t>
      </w:r>
      <w:r w:rsidRPr="0099740B">
        <w:rPr>
          <w:rFonts w:ascii="Arial" w:eastAsia="DengXian" w:hAnsi="Arial" w:cs="Arial"/>
          <w:b/>
          <w:bCs/>
          <w:color w:val="000000"/>
          <w:sz w:val="16"/>
          <w:szCs w:val="16"/>
          <w:lang w:val="en-CA" w:eastAsia="zh-CN"/>
          <w14:ligatures w14:val="standardContextual"/>
        </w:rPr>
        <w:tab/>
        <w:t>92,259,211</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w:t>
      </w:r>
      <w:r w:rsidRPr="0099740B">
        <w:rPr>
          <w:rFonts w:ascii="Arial" w:eastAsia="DengXian" w:hAnsi="Arial" w:cs="Arial"/>
          <w:b/>
          <w:bCs/>
          <w:color w:val="000000"/>
          <w:sz w:val="16"/>
          <w:szCs w:val="16"/>
          <w:lang w:val="en-CA" w:eastAsia="zh-CN"/>
          <w14:ligatures w14:val="standardContextual"/>
        </w:rPr>
        <w:tab/>
        <w:t>93,685,053</w:t>
      </w:r>
      <w:r w:rsidRPr="0099740B">
        <w:rPr>
          <w:rFonts w:ascii="Arial" w:eastAsia="DengXian" w:hAnsi="Arial" w:cs="Arial"/>
          <w:b/>
          <w:bCs/>
          <w:color w:val="000000"/>
          <w:sz w:val="16"/>
          <w:szCs w:val="16"/>
          <w:lang w:val="en-CA" w:eastAsia="zh-CN"/>
          <w14:ligatures w14:val="standardContextual"/>
        </w:rPr>
        <w:tab/>
      </w:r>
    </w:p>
    <w:p w14:paraId="4B8BAF7E" w14:textId="77777777" w:rsidR="0099740B" w:rsidRPr="0099740B" w:rsidRDefault="0099740B" w:rsidP="0099740B">
      <w:pPr>
        <w:tabs>
          <w:tab w:val="left" w:pos="3456"/>
          <w:tab w:val="right" w:pos="4726"/>
          <w:tab w:val="left" w:pos="4752"/>
          <w:tab w:val="left" w:pos="4987"/>
          <w:tab w:val="right" w:pos="5661"/>
          <w:tab w:val="left" w:pos="6283"/>
          <w:tab w:val="left" w:pos="6688"/>
          <w:tab w:val="right" w:pos="7362"/>
          <w:tab w:val="left" w:pos="7984"/>
          <w:tab w:val="left" w:pos="8445"/>
          <w:tab w:val="right" w:pos="9715"/>
          <w:tab w:val="left" w:pos="9741"/>
        </w:tabs>
        <w:autoSpaceDE w:val="0"/>
        <w:autoSpaceDN w:val="0"/>
        <w:adjustRightInd w:val="0"/>
        <w:spacing w:after="0" w:line="240" w:lineRule="auto"/>
        <w:ind w:left="680"/>
        <w:jc w:val="both"/>
        <w:rPr>
          <w:rFonts w:ascii="Arial" w:eastAsia="DengXian" w:hAnsi="Arial" w:cs="Arial"/>
          <w:b/>
          <w:bCs/>
          <w:color w:val="000000"/>
          <w:sz w:val="16"/>
          <w:szCs w:val="16"/>
          <w:lang w:val="en-CA" w:eastAsia="zh-CN"/>
          <w14:ligatures w14:val="standardContextual"/>
        </w:rPr>
      </w:pPr>
      <w:r w:rsidRPr="0099740B">
        <w:rPr>
          <w:rFonts w:ascii="Arial" w:eastAsia="DengXian" w:hAnsi="Arial" w:cs="Arial"/>
          <w:b/>
          <w:bCs/>
          <w:color w:val="000000"/>
          <w:sz w:val="16"/>
          <w:szCs w:val="16"/>
          <w:lang w:val="en-CA" w:eastAsia="zh-CN"/>
          <w14:ligatures w14:val="standardContextual"/>
        </w:rPr>
        <w:t>Long term deposit</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220,347</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220,347</w:t>
      </w:r>
      <w:r w:rsidRPr="0099740B">
        <w:rPr>
          <w:rFonts w:ascii="Arial" w:eastAsia="DengXian" w:hAnsi="Arial" w:cs="Arial"/>
          <w:b/>
          <w:bCs/>
          <w:color w:val="000000"/>
          <w:sz w:val="16"/>
          <w:szCs w:val="16"/>
          <w:lang w:val="en-CA" w:eastAsia="zh-CN"/>
          <w14:ligatures w14:val="standardContextual"/>
        </w:rPr>
        <w:tab/>
      </w:r>
    </w:p>
    <w:p w14:paraId="48D840D3" w14:textId="77777777" w:rsidR="0099740B" w:rsidRPr="0099740B" w:rsidRDefault="0099740B" w:rsidP="0099740B">
      <w:pPr>
        <w:tabs>
          <w:tab w:val="left" w:pos="3456"/>
          <w:tab w:val="right" w:pos="4726"/>
          <w:tab w:val="left" w:pos="4752"/>
          <w:tab w:val="left" w:pos="4987"/>
          <w:tab w:val="right" w:pos="6257"/>
          <w:tab w:val="left" w:pos="6283"/>
          <w:tab w:val="left" w:pos="6688"/>
          <w:tab w:val="right" w:pos="7362"/>
          <w:tab w:val="left" w:pos="7984"/>
          <w:tab w:val="left" w:pos="8445"/>
          <w:tab w:val="right" w:pos="9715"/>
          <w:tab w:val="left" w:pos="9741"/>
        </w:tabs>
        <w:autoSpaceDE w:val="0"/>
        <w:autoSpaceDN w:val="0"/>
        <w:adjustRightInd w:val="0"/>
        <w:spacing w:after="0" w:line="240" w:lineRule="auto"/>
        <w:ind w:left="680"/>
        <w:jc w:val="both"/>
        <w:rPr>
          <w:rFonts w:ascii="Arial" w:eastAsia="DengXian" w:hAnsi="Arial" w:cs="Arial"/>
          <w:b/>
          <w:bCs/>
          <w:color w:val="000000"/>
          <w:sz w:val="16"/>
          <w:szCs w:val="16"/>
          <w:lang w:val="en-CA" w:eastAsia="zh-CN"/>
          <w14:ligatures w14:val="standardContextual"/>
        </w:rPr>
      </w:pPr>
      <w:r w:rsidRPr="0099740B">
        <w:rPr>
          <w:rFonts w:ascii="Arial" w:eastAsia="DengXian" w:hAnsi="Arial" w:cs="Arial"/>
          <w:b/>
          <w:bCs/>
          <w:color w:val="000000"/>
          <w:sz w:val="16"/>
          <w:szCs w:val="16"/>
          <w:lang w:val="en-CA" w:eastAsia="zh-CN"/>
          <w14:ligatures w14:val="standardContextual"/>
        </w:rPr>
        <w:t xml:space="preserve">Property and </w:t>
      </w:r>
      <w:proofErr w:type="gramStart"/>
      <w:r w:rsidRPr="0099740B">
        <w:rPr>
          <w:rFonts w:ascii="Arial" w:eastAsia="DengXian" w:hAnsi="Arial" w:cs="Arial"/>
          <w:b/>
          <w:bCs/>
          <w:color w:val="000000"/>
          <w:sz w:val="16"/>
          <w:szCs w:val="16"/>
          <w:lang w:val="en-CA" w:eastAsia="zh-CN"/>
          <w14:ligatures w14:val="standardContextual"/>
        </w:rPr>
        <w:t xml:space="preserve">equipment  </w:t>
      </w:r>
      <w:r w:rsidRPr="0099740B">
        <w:rPr>
          <w:rFonts w:ascii="Arial" w:eastAsia="DengXian" w:hAnsi="Arial" w:cs="Arial"/>
          <w:b/>
          <w:bCs/>
          <w:color w:val="000000"/>
          <w:sz w:val="16"/>
          <w:szCs w:val="16"/>
          <w:lang w:val="en-CA" w:eastAsia="zh-CN"/>
          <w14:ligatures w14:val="standardContextual"/>
        </w:rPr>
        <w:tab/>
      </w:r>
      <w:proofErr w:type="gramEnd"/>
      <w:r w:rsidRPr="0099740B">
        <w:rPr>
          <w:rFonts w:ascii="Arial" w:eastAsia="DengXian" w:hAnsi="Arial" w:cs="Arial"/>
          <w:b/>
          <w:bCs/>
          <w:color w:val="000000"/>
          <w:sz w:val="16"/>
          <w:szCs w:val="16"/>
          <w:lang w:val="en-CA" w:eastAsia="zh-CN"/>
          <w14:ligatures w14:val="standardContextual"/>
        </w:rPr>
        <w:tab/>
        <w:t>12,314,451</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358,655</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12,673,106</w:t>
      </w:r>
      <w:r w:rsidRPr="0099740B">
        <w:rPr>
          <w:rFonts w:ascii="Arial" w:eastAsia="DengXian" w:hAnsi="Arial" w:cs="Arial"/>
          <w:b/>
          <w:bCs/>
          <w:color w:val="000000"/>
          <w:sz w:val="16"/>
          <w:szCs w:val="16"/>
          <w:lang w:val="en-CA" w:eastAsia="zh-CN"/>
          <w14:ligatures w14:val="standardContextual"/>
        </w:rPr>
        <w:tab/>
      </w:r>
    </w:p>
    <w:p w14:paraId="2B3BC681" w14:textId="77777777" w:rsidR="0099740B" w:rsidRPr="0099740B" w:rsidRDefault="0099740B" w:rsidP="0099740B">
      <w:pPr>
        <w:tabs>
          <w:tab w:val="left" w:pos="3456"/>
          <w:tab w:val="right" w:pos="4130"/>
          <w:tab w:val="left" w:pos="4752"/>
          <w:tab w:val="left" w:pos="4987"/>
          <w:tab w:val="right" w:pos="6257"/>
          <w:tab w:val="left" w:pos="6283"/>
          <w:tab w:val="left" w:pos="6688"/>
          <w:tab w:val="right" w:pos="7362"/>
          <w:tab w:val="left" w:pos="7984"/>
          <w:tab w:val="left" w:pos="8445"/>
          <w:tab w:val="right" w:pos="9715"/>
          <w:tab w:val="left" w:pos="9741"/>
        </w:tabs>
        <w:autoSpaceDE w:val="0"/>
        <w:autoSpaceDN w:val="0"/>
        <w:adjustRightInd w:val="0"/>
        <w:spacing w:after="0" w:line="240" w:lineRule="auto"/>
        <w:ind w:left="680"/>
        <w:jc w:val="both"/>
        <w:rPr>
          <w:rFonts w:ascii="Arial" w:eastAsia="DengXian" w:hAnsi="Arial" w:cs="Arial"/>
          <w:b/>
          <w:bCs/>
          <w:color w:val="000000"/>
          <w:sz w:val="16"/>
          <w:szCs w:val="16"/>
          <w:lang w:val="en-CA" w:eastAsia="zh-CN"/>
          <w14:ligatures w14:val="standardContextual"/>
        </w:rPr>
      </w:pPr>
      <w:r w:rsidRPr="0099740B">
        <w:rPr>
          <w:rFonts w:ascii="Arial" w:eastAsia="DengXian" w:hAnsi="Arial" w:cs="Arial"/>
          <w:b/>
          <w:bCs/>
          <w:color w:val="000000"/>
          <w:sz w:val="16"/>
          <w:szCs w:val="16"/>
          <w:lang w:val="en-CA" w:eastAsia="zh-CN"/>
          <w14:ligatures w14:val="standardContextual"/>
        </w:rPr>
        <w:t>Patents and licenses</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580,710</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580,710</w:t>
      </w:r>
      <w:r w:rsidRPr="0099740B">
        <w:rPr>
          <w:rFonts w:ascii="Arial" w:eastAsia="DengXian" w:hAnsi="Arial" w:cs="Arial"/>
          <w:b/>
          <w:bCs/>
          <w:color w:val="000000"/>
          <w:sz w:val="16"/>
          <w:szCs w:val="16"/>
          <w:lang w:val="en-CA" w:eastAsia="zh-CN"/>
          <w14:ligatures w14:val="standardContextual"/>
        </w:rPr>
        <w:tab/>
      </w:r>
    </w:p>
    <w:p w14:paraId="2F3B1343" w14:textId="77777777" w:rsidR="0099740B" w:rsidRPr="0099740B" w:rsidRDefault="0099740B" w:rsidP="0099740B">
      <w:pPr>
        <w:tabs>
          <w:tab w:val="left" w:pos="3456"/>
          <w:tab w:val="right" w:pos="4726"/>
          <w:tab w:val="left" w:pos="4752"/>
          <w:tab w:val="left" w:pos="4987"/>
          <w:tab w:val="right" w:pos="5661"/>
          <w:tab w:val="left" w:pos="6283"/>
          <w:tab w:val="left" w:pos="6688"/>
          <w:tab w:val="right" w:pos="7362"/>
          <w:tab w:val="left" w:pos="7984"/>
          <w:tab w:val="left" w:pos="8445"/>
          <w:tab w:val="right" w:pos="9715"/>
          <w:tab w:val="left" w:pos="9741"/>
        </w:tabs>
        <w:autoSpaceDE w:val="0"/>
        <w:autoSpaceDN w:val="0"/>
        <w:adjustRightInd w:val="0"/>
        <w:spacing w:after="0" w:line="240" w:lineRule="auto"/>
        <w:ind w:left="680"/>
        <w:jc w:val="both"/>
        <w:rPr>
          <w:rFonts w:ascii="Arial" w:eastAsia="DengXian" w:hAnsi="Arial" w:cs="Arial"/>
          <w:b/>
          <w:bCs/>
          <w:color w:val="000000"/>
          <w:sz w:val="16"/>
          <w:szCs w:val="16"/>
          <w:lang w:val="en-CA" w:eastAsia="zh-CN"/>
          <w14:ligatures w14:val="standardContextual"/>
        </w:rPr>
      </w:pPr>
      <w:r w:rsidRPr="0099740B">
        <w:rPr>
          <w:rFonts w:ascii="Arial" w:eastAsia="DengXian" w:hAnsi="Arial" w:cs="Arial"/>
          <w:b/>
          <w:bCs/>
          <w:color w:val="000000"/>
          <w:sz w:val="16"/>
          <w:szCs w:val="16"/>
          <w:lang w:val="en-CA" w:eastAsia="zh-CN"/>
          <w14:ligatures w14:val="standardContextual"/>
        </w:rPr>
        <w:t>Right of use assets</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674,453</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674,453</w:t>
      </w:r>
      <w:r w:rsidRPr="0099740B">
        <w:rPr>
          <w:rFonts w:ascii="Arial" w:eastAsia="DengXian" w:hAnsi="Arial" w:cs="Arial"/>
          <w:b/>
          <w:bCs/>
          <w:color w:val="000000"/>
          <w:sz w:val="16"/>
          <w:szCs w:val="16"/>
          <w:lang w:val="en-CA" w:eastAsia="zh-CN"/>
          <w14:ligatures w14:val="standardContextual"/>
        </w:rPr>
        <w:tab/>
      </w:r>
    </w:p>
    <w:p w14:paraId="085EC75C" w14:textId="58CF0F18" w:rsidR="0099740B" w:rsidRPr="0099740B" w:rsidRDefault="0099740B" w:rsidP="0099740B">
      <w:pPr>
        <w:autoSpaceDE w:val="0"/>
        <w:autoSpaceDN w:val="0"/>
        <w:adjustRightInd w:val="0"/>
        <w:spacing w:after="0" w:line="240" w:lineRule="auto"/>
        <w:ind w:left="680"/>
        <w:rPr>
          <w:rFonts w:ascii="Arial" w:eastAsia="DengXian" w:hAnsi="Arial" w:cs="Arial"/>
          <w:b/>
          <w:bCs/>
          <w:color w:val="000000"/>
          <w:sz w:val="16"/>
          <w:szCs w:val="16"/>
          <w:lang w:val="en-CA" w:eastAsia="zh-CN"/>
          <w14:ligatures w14:val="standardContextual"/>
        </w:rPr>
      </w:pPr>
      <w:r w:rsidRPr="0099740B">
        <w:rPr>
          <w:rFonts w:ascii="Arial" w:eastAsia="DengXian" w:hAnsi="Arial" w:cs="Arial"/>
          <w:noProof/>
          <w:color w:val="000000"/>
          <w:sz w:val="24"/>
          <w:szCs w:val="24"/>
          <w:lang w:val="en-CA" w:eastAsia="zh-CN"/>
          <w14:ligatures w14:val="standardContextual"/>
        </w:rPr>
        <mc:AlternateContent>
          <mc:Choice Requires="wps">
            <w:drawing>
              <wp:anchor distT="0" distB="0" distL="114300" distR="114300" simplePos="0" relativeHeight="251739136" behindDoc="0" locked="0" layoutInCell="0" allowOverlap="1" wp14:anchorId="6A12EA54" wp14:editId="6452D555">
                <wp:simplePos x="0" y="0"/>
                <wp:positionH relativeFrom="character">
                  <wp:posOffset>0</wp:posOffset>
                </wp:positionH>
                <wp:positionV relativeFrom="paragraph">
                  <wp:posOffset>52070</wp:posOffset>
                </wp:positionV>
                <wp:extent cx="5975350" cy="0"/>
                <wp:effectExtent l="0" t="0" r="0" b="0"/>
                <wp:wrapNone/>
                <wp:docPr id="1927801851"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35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DA1343" id="Straight Connector 44" o:spid="_x0000_s1026" style="position:absolute;z-index:251739136;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 from="0,4.1pt" to="47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" o:allowincell="f" strokeweight="1pt"/>
            </w:pict>
          </mc:Fallback>
        </mc:AlternateContent>
      </w:r>
    </w:p>
    <w:p w14:paraId="3712DBFB" w14:textId="77777777" w:rsidR="0099740B" w:rsidRPr="0099740B" w:rsidRDefault="0099740B" w:rsidP="0099740B">
      <w:pPr>
        <w:tabs>
          <w:tab w:val="left" w:pos="3456"/>
          <w:tab w:val="right" w:pos="4726"/>
          <w:tab w:val="left" w:pos="4752"/>
          <w:tab w:val="left" w:pos="4987"/>
          <w:tab w:val="right" w:pos="6257"/>
          <w:tab w:val="left" w:pos="6283"/>
          <w:tab w:val="left" w:pos="6688"/>
          <w:tab w:val="right" w:pos="7958"/>
          <w:tab w:val="left" w:pos="7984"/>
          <w:tab w:val="left" w:pos="8445"/>
          <w:tab w:val="right" w:pos="9715"/>
          <w:tab w:val="left" w:pos="9741"/>
        </w:tabs>
        <w:autoSpaceDE w:val="0"/>
        <w:autoSpaceDN w:val="0"/>
        <w:adjustRightInd w:val="0"/>
        <w:spacing w:after="0" w:line="240" w:lineRule="auto"/>
        <w:ind w:left="680"/>
        <w:jc w:val="both"/>
        <w:rPr>
          <w:rFonts w:ascii="Arial" w:eastAsia="DengXian" w:hAnsi="Arial" w:cs="Arial"/>
          <w:b/>
          <w:bCs/>
          <w:color w:val="000000"/>
          <w:sz w:val="16"/>
          <w:szCs w:val="16"/>
          <w:lang w:val="en-CA" w:eastAsia="zh-CN"/>
          <w14:ligatures w14:val="standardContextual"/>
        </w:rPr>
      </w:pPr>
      <w:r w:rsidRPr="0099740B">
        <w:rPr>
          <w:rFonts w:ascii="Arial" w:eastAsia="DengXian" w:hAnsi="Arial" w:cs="Arial"/>
          <w:b/>
          <w:bCs/>
          <w:color w:val="000000"/>
          <w:sz w:val="16"/>
          <w:szCs w:val="16"/>
          <w:lang w:val="en-CA" w:eastAsia="zh-CN"/>
          <w14:ligatures w14:val="standardContextual"/>
        </w:rPr>
        <w:t>Total Assets</w:t>
      </w:r>
      <w:r w:rsidRPr="0099740B">
        <w:rPr>
          <w:rFonts w:ascii="Arial" w:eastAsia="DengXian" w:hAnsi="Arial" w:cs="Arial"/>
          <w:b/>
          <w:bCs/>
          <w:color w:val="000000"/>
          <w:sz w:val="16"/>
          <w:szCs w:val="16"/>
          <w:lang w:val="en-CA" w:eastAsia="zh-CN"/>
          <w14:ligatures w14:val="standardContextual"/>
        </w:rPr>
        <w:tab/>
        <w:t>$</w:t>
      </w:r>
      <w:r w:rsidRPr="0099740B">
        <w:rPr>
          <w:rFonts w:ascii="Arial" w:eastAsia="DengXian" w:hAnsi="Arial" w:cs="Arial"/>
          <w:b/>
          <w:bCs/>
          <w:color w:val="000000"/>
          <w:sz w:val="16"/>
          <w:szCs w:val="16"/>
          <w:lang w:val="en-CA" w:eastAsia="zh-CN"/>
          <w14:ligatures w14:val="standardContextual"/>
        </w:rPr>
        <w:tab/>
        <w:t>14,027,999</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w:t>
      </w:r>
      <w:r w:rsidRPr="0099740B">
        <w:rPr>
          <w:rFonts w:ascii="Arial" w:eastAsia="DengXian" w:hAnsi="Arial" w:cs="Arial"/>
          <w:b/>
          <w:bCs/>
          <w:color w:val="000000"/>
          <w:sz w:val="16"/>
          <w:szCs w:val="16"/>
          <w:lang w:val="en-CA" w:eastAsia="zh-CN"/>
          <w14:ligatures w14:val="standardContextual"/>
        </w:rPr>
        <w:tab/>
        <w:t>1,546,459</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w:t>
      </w:r>
      <w:r w:rsidRPr="0099740B">
        <w:rPr>
          <w:rFonts w:ascii="Arial" w:eastAsia="DengXian" w:hAnsi="Arial" w:cs="Arial"/>
          <w:b/>
          <w:bCs/>
          <w:color w:val="000000"/>
          <w:sz w:val="16"/>
          <w:szCs w:val="16"/>
          <w:lang w:val="en-CA" w:eastAsia="zh-CN"/>
          <w14:ligatures w14:val="standardContextual"/>
        </w:rPr>
        <w:tab/>
        <w:t>92,259,211</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w:t>
      </w:r>
      <w:r w:rsidRPr="0099740B">
        <w:rPr>
          <w:rFonts w:ascii="Arial" w:eastAsia="DengXian" w:hAnsi="Arial" w:cs="Arial"/>
          <w:b/>
          <w:bCs/>
          <w:color w:val="000000"/>
          <w:sz w:val="16"/>
          <w:szCs w:val="16"/>
          <w:lang w:val="en-CA" w:eastAsia="zh-CN"/>
          <w14:ligatures w14:val="standardContextual"/>
        </w:rPr>
        <w:tab/>
        <w:t>107,833,669</w:t>
      </w:r>
      <w:r w:rsidRPr="0099740B">
        <w:rPr>
          <w:rFonts w:ascii="Arial" w:eastAsia="DengXian" w:hAnsi="Arial" w:cs="Arial"/>
          <w:b/>
          <w:bCs/>
          <w:color w:val="000000"/>
          <w:sz w:val="16"/>
          <w:szCs w:val="16"/>
          <w:lang w:val="en-CA" w:eastAsia="zh-CN"/>
          <w14:ligatures w14:val="standardContextual"/>
        </w:rPr>
        <w:tab/>
      </w:r>
    </w:p>
    <w:p w14:paraId="698DF191" w14:textId="67B2BF51" w:rsidR="0099740B" w:rsidRPr="0099740B" w:rsidRDefault="0099740B" w:rsidP="0099740B">
      <w:pPr>
        <w:autoSpaceDE w:val="0"/>
        <w:autoSpaceDN w:val="0"/>
        <w:adjustRightInd w:val="0"/>
        <w:spacing w:after="0" w:line="240" w:lineRule="auto"/>
        <w:ind w:left="680"/>
        <w:rPr>
          <w:rFonts w:ascii="Arial" w:eastAsia="DengXian" w:hAnsi="Arial" w:cs="Arial"/>
          <w:b/>
          <w:bCs/>
          <w:color w:val="000000"/>
          <w:sz w:val="16"/>
          <w:szCs w:val="16"/>
          <w:lang w:val="en-CA" w:eastAsia="zh-CN"/>
          <w14:ligatures w14:val="standardContextual"/>
        </w:rPr>
      </w:pPr>
      <w:r w:rsidRPr="0099740B">
        <w:rPr>
          <w:rFonts w:ascii="Arial" w:eastAsia="DengXian" w:hAnsi="Arial" w:cs="Arial"/>
          <w:noProof/>
          <w:color w:val="000000"/>
          <w:sz w:val="24"/>
          <w:szCs w:val="24"/>
          <w:lang w:val="en-CA" w:eastAsia="zh-CN"/>
          <w14:ligatures w14:val="standardContextual"/>
        </w:rPr>
        <mc:AlternateContent>
          <mc:Choice Requires="wps">
            <w:drawing>
              <wp:anchor distT="0" distB="0" distL="114300" distR="114300" simplePos="0" relativeHeight="251740160" behindDoc="0" locked="0" layoutInCell="0" allowOverlap="1" wp14:anchorId="72B48F20" wp14:editId="2C62DC86">
                <wp:simplePos x="0" y="0"/>
                <wp:positionH relativeFrom="character">
                  <wp:posOffset>0</wp:posOffset>
                </wp:positionH>
                <wp:positionV relativeFrom="paragraph">
                  <wp:posOffset>52070</wp:posOffset>
                </wp:positionV>
                <wp:extent cx="5975350" cy="0"/>
                <wp:effectExtent l="0" t="0" r="0" b="0"/>
                <wp:wrapNone/>
                <wp:docPr id="1644303121"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35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9307D9" id="Straight Connector 43" o:spid="_x0000_s1026" style="position:absolute;z-index:251740160;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 from="0,4.1pt" to="47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" o:allowincell="f" strokeweight="1pt"/>
            </w:pict>
          </mc:Fallback>
        </mc:AlternateContent>
      </w:r>
    </w:p>
    <w:p w14:paraId="05792929" w14:textId="77777777" w:rsidR="0099740B" w:rsidRPr="0099740B" w:rsidRDefault="0099740B" w:rsidP="0099740B">
      <w:pPr>
        <w:autoSpaceDE w:val="0"/>
        <w:autoSpaceDN w:val="0"/>
        <w:adjustRightInd w:val="0"/>
        <w:spacing w:after="0" w:line="240" w:lineRule="auto"/>
        <w:rPr>
          <w:rFonts w:ascii="Arial" w:eastAsia="DengXian" w:hAnsi="Arial" w:cs="Arial"/>
          <w:color w:val="000000"/>
          <w:sz w:val="24"/>
          <w:szCs w:val="24"/>
          <w:lang w:val="en-CA" w:eastAsia="zh-CN"/>
          <w14:ligatures w14:val="standardContextual"/>
        </w:rPr>
      </w:pPr>
    </w:p>
    <w:p w14:paraId="142CC970" w14:textId="2DA0B430" w:rsidR="0099740B" w:rsidRPr="0099740B" w:rsidRDefault="0099740B" w:rsidP="0099740B">
      <w:pPr>
        <w:autoSpaceDE w:val="0"/>
        <w:autoSpaceDN w:val="0"/>
        <w:adjustRightInd w:val="0"/>
        <w:spacing w:after="0" w:line="240" w:lineRule="auto"/>
        <w:ind w:left="680"/>
        <w:rPr>
          <w:rFonts w:ascii="Arial" w:eastAsia="DengXian" w:hAnsi="Arial" w:cs="Arial"/>
          <w:b/>
          <w:bCs/>
          <w:color w:val="000000"/>
          <w:sz w:val="16"/>
          <w:szCs w:val="16"/>
          <w:lang w:val="en-CA" w:eastAsia="zh-CN"/>
          <w14:ligatures w14:val="standardContextual"/>
        </w:rPr>
      </w:pPr>
      <w:r w:rsidRPr="0099740B">
        <w:rPr>
          <w:rFonts w:ascii="Arial" w:eastAsia="DengXian" w:hAnsi="Arial" w:cs="Arial"/>
          <w:noProof/>
          <w:color w:val="000000"/>
          <w:sz w:val="24"/>
          <w:szCs w:val="24"/>
          <w:lang w:val="en-CA" w:eastAsia="zh-CN"/>
          <w14:ligatures w14:val="standardContextual"/>
        </w:rPr>
        <mc:AlternateContent>
          <mc:Choice Requires="wps">
            <w:drawing>
              <wp:anchor distT="0" distB="0" distL="114300" distR="114300" simplePos="0" relativeHeight="251741184" behindDoc="0" locked="0" layoutInCell="0" allowOverlap="1" wp14:anchorId="13E3AD13" wp14:editId="2ABD3A63">
                <wp:simplePos x="0" y="0"/>
                <wp:positionH relativeFrom="character">
                  <wp:posOffset>0</wp:posOffset>
                </wp:positionH>
                <wp:positionV relativeFrom="paragraph">
                  <wp:posOffset>0</wp:posOffset>
                </wp:positionV>
                <wp:extent cx="5975350" cy="0"/>
                <wp:effectExtent l="0" t="0" r="0" b="0"/>
                <wp:wrapNone/>
                <wp:docPr id="1470393597"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35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1E9F8E" id="Straight Connector 42" o:spid="_x0000_s1026" style="position:absolute;z-index:251741184;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 from="0,0" to="47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" o:allowincell="f" strokeweight="1pt"/>
            </w:pict>
          </mc:Fallback>
        </mc:AlternateContent>
      </w:r>
    </w:p>
    <w:p w14:paraId="1538825D" w14:textId="64F9DF01" w:rsidR="0099740B" w:rsidRPr="0099740B" w:rsidRDefault="0099740B" w:rsidP="0099740B">
      <w:pPr>
        <w:tabs>
          <w:tab w:val="left" w:pos="4194"/>
          <w:tab w:val="left" w:pos="5668"/>
          <w:tab w:val="left" w:pos="7086"/>
          <w:tab w:val="left" w:pos="8503"/>
          <w:tab w:val="right" w:pos="9694"/>
        </w:tabs>
        <w:autoSpaceDE w:val="0"/>
        <w:autoSpaceDN w:val="0"/>
        <w:adjustRightInd w:val="0"/>
        <w:spacing w:after="0" w:line="240" w:lineRule="auto"/>
        <w:ind w:left="680"/>
        <w:jc w:val="both"/>
        <w:rPr>
          <w:rFonts w:ascii="Arial" w:eastAsia="DengXian" w:hAnsi="Arial" w:cs="Arial"/>
          <w:b/>
          <w:bCs/>
          <w:color w:val="000000"/>
          <w:sz w:val="16"/>
          <w:szCs w:val="16"/>
          <w:lang w:val="en-CA" w:eastAsia="zh-CN"/>
          <w14:ligatures w14:val="standardContextual"/>
        </w:rPr>
      </w:pPr>
      <w:r w:rsidRPr="0099740B">
        <w:rPr>
          <w:rFonts w:ascii="Arial" w:eastAsia="DengXian" w:hAnsi="Arial" w:cs="Arial"/>
          <w:noProof/>
          <w:color w:val="000000"/>
          <w:sz w:val="24"/>
          <w:szCs w:val="24"/>
          <w:lang w:val="en-CA" w:eastAsia="zh-CN"/>
          <w14:ligatures w14:val="standardContextual"/>
        </w:rPr>
        <mc:AlternateContent>
          <mc:Choice Requires="wps">
            <w:drawing>
              <wp:anchor distT="0" distB="0" distL="114300" distR="114300" simplePos="0" relativeHeight="251742208" behindDoc="0" locked="0" layoutInCell="0" allowOverlap="1" wp14:anchorId="20735B7D" wp14:editId="6E5164EC">
                <wp:simplePos x="0" y="0"/>
                <wp:positionH relativeFrom="character">
                  <wp:posOffset>2540</wp:posOffset>
                </wp:positionH>
                <wp:positionV relativeFrom="paragraph">
                  <wp:posOffset>97790</wp:posOffset>
                </wp:positionV>
                <wp:extent cx="5975350" cy="0"/>
                <wp:effectExtent l="0" t="0" r="0" b="0"/>
                <wp:wrapNone/>
                <wp:docPr id="1664340308"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35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66CEC0" id="Straight Connector 41" o:spid="_x0000_s1026" style="position:absolute;z-index:25174220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 from=".2pt,7.7pt" to="470.7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" o:allowincell="f" strokeweight="1pt"/>
            </w:pict>
          </mc:Fallback>
        </mc:AlternateContent>
      </w:r>
      <w:r w:rsidRPr="0099740B">
        <w:rPr>
          <w:rFonts w:ascii="Arial" w:eastAsia="DengXian" w:hAnsi="Arial" w:cs="Arial"/>
          <w:b/>
          <w:bCs/>
          <w:color w:val="000000"/>
          <w:sz w:val="16"/>
          <w:szCs w:val="16"/>
          <w:lang w:val="en-CA" w:eastAsia="zh-CN"/>
          <w14:ligatures w14:val="standardContextual"/>
        </w:rPr>
        <w:t xml:space="preserve">For the Nine Months Ended September </w:t>
      </w:r>
      <w:proofErr w:type="gramStart"/>
      <w:r w:rsidRPr="0099740B">
        <w:rPr>
          <w:rFonts w:ascii="Arial" w:eastAsia="DengXian" w:hAnsi="Arial" w:cs="Arial"/>
          <w:b/>
          <w:bCs/>
          <w:color w:val="000000"/>
          <w:sz w:val="16"/>
          <w:szCs w:val="16"/>
          <w:lang w:val="en-CA" w:eastAsia="zh-CN"/>
          <w14:ligatures w14:val="standardContextual"/>
        </w:rPr>
        <w:t xml:space="preserve">30,  </w:t>
      </w:r>
      <w:r w:rsidRPr="0099740B">
        <w:rPr>
          <w:rFonts w:ascii="Arial" w:eastAsia="DengXian" w:hAnsi="Arial" w:cs="Arial"/>
          <w:b/>
          <w:bCs/>
          <w:color w:val="000000"/>
          <w:sz w:val="16"/>
          <w:szCs w:val="16"/>
          <w:lang w:val="en-CA" w:eastAsia="zh-CN"/>
          <w14:ligatures w14:val="standardContextual"/>
        </w:rPr>
        <w:tab/>
      </w:r>
      <w:proofErr w:type="gramEnd"/>
      <w:r w:rsidRPr="0099740B">
        <w:rPr>
          <w:rFonts w:ascii="Arial" w:eastAsia="DengXian" w:hAnsi="Arial" w:cs="Arial"/>
          <w:b/>
          <w:bCs/>
          <w:color w:val="000000"/>
          <w:sz w:val="16"/>
          <w:szCs w:val="16"/>
          <w:lang w:val="en-CA" w:eastAsia="zh-CN"/>
          <w14:ligatures w14:val="standardContextual"/>
        </w:rPr>
        <w:t>Asia</w:t>
      </w:r>
      <w:r w:rsidRPr="0099740B">
        <w:rPr>
          <w:rFonts w:ascii="Arial" w:eastAsia="DengXian" w:hAnsi="Arial" w:cs="Arial"/>
          <w:b/>
          <w:bCs/>
          <w:color w:val="000000"/>
          <w:sz w:val="16"/>
          <w:szCs w:val="16"/>
          <w:lang w:val="en-CA" w:eastAsia="zh-CN"/>
          <w14:ligatures w14:val="standardContextual"/>
        </w:rPr>
        <w:tab/>
        <w:t>US</w:t>
      </w:r>
      <w:r w:rsidRPr="0099740B">
        <w:rPr>
          <w:rFonts w:ascii="Arial" w:eastAsia="DengXian" w:hAnsi="Arial" w:cs="Arial"/>
          <w:b/>
          <w:bCs/>
          <w:color w:val="000000"/>
          <w:sz w:val="16"/>
          <w:szCs w:val="16"/>
          <w:lang w:val="en-CA" w:eastAsia="zh-CN"/>
          <w14:ligatures w14:val="standardContextual"/>
        </w:rPr>
        <w:tab/>
        <w:t>Canada</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Consolidated</w:t>
      </w:r>
    </w:p>
    <w:p w14:paraId="33EDF7DD" w14:textId="6F3A45D5" w:rsidR="0099740B" w:rsidRPr="0099740B" w:rsidRDefault="0099740B" w:rsidP="0099740B">
      <w:pPr>
        <w:tabs>
          <w:tab w:val="left" w:pos="3456"/>
          <w:tab w:val="right" w:pos="4726"/>
          <w:tab w:val="left" w:pos="4752"/>
          <w:tab w:val="left" w:pos="4987"/>
          <w:tab w:val="right" w:pos="5661"/>
          <w:tab w:val="left" w:pos="6283"/>
          <w:tab w:val="left" w:pos="6688"/>
          <w:tab w:val="right" w:pos="7362"/>
          <w:tab w:val="left" w:pos="7984"/>
          <w:tab w:val="left" w:pos="8445"/>
          <w:tab w:val="right" w:pos="9715"/>
          <w:tab w:val="left" w:pos="9741"/>
        </w:tabs>
        <w:autoSpaceDE w:val="0"/>
        <w:autoSpaceDN w:val="0"/>
        <w:adjustRightInd w:val="0"/>
        <w:spacing w:after="0" w:line="240" w:lineRule="auto"/>
        <w:ind w:left="680"/>
        <w:jc w:val="both"/>
        <w:rPr>
          <w:rFonts w:ascii="Arial" w:eastAsia="DengXian" w:hAnsi="Arial" w:cs="Arial"/>
          <w:b/>
          <w:bCs/>
          <w:color w:val="000000"/>
          <w:sz w:val="16"/>
          <w:szCs w:val="16"/>
          <w:lang w:val="en-CA" w:eastAsia="zh-CN"/>
          <w14:ligatures w14:val="standardContextual"/>
        </w:rPr>
      </w:pPr>
      <w:r w:rsidRPr="0099740B">
        <w:rPr>
          <w:rFonts w:ascii="Arial" w:eastAsia="DengXian" w:hAnsi="Arial" w:cs="Arial"/>
          <w:b/>
          <w:bCs/>
          <w:color w:val="000000"/>
          <w:sz w:val="16"/>
          <w:szCs w:val="16"/>
          <w:lang w:val="en-CA" w:eastAsia="zh-CN"/>
          <w14:ligatures w14:val="standardContextual"/>
        </w:rPr>
        <w:t>Revenue</w:t>
      </w:r>
      <w:r w:rsidRPr="0099740B">
        <w:rPr>
          <w:rFonts w:ascii="Arial" w:eastAsia="DengXian" w:hAnsi="Arial" w:cs="Arial"/>
          <w:b/>
          <w:bCs/>
          <w:color w:val="000000"/>
          <w:sz w:val="16"/>
          <w:szCs w:val="16"/>
          <w:lang w:val="en-CA" w:eastAsia="zh-CN"/>
          <w14:ligatures w14:val="standardContextual"/>
        </w:rPr>
        <w:tab/>
        <w:t>$</w:t>
      </w:r>
      <w:r w:rsidRPr="0099740B">
        <w:rPr>
          <w:rFonts w:ascii="Arial" w:eastAsia="DengXian" w:hAnsi="Arial" w:cs="Arial"/>
          <w:b/>
          <w:bCs/>
          <w:color w:val="000000"/>
          <w:sz w:val="16"/>
          <w:szCs w:val="16"/>
          <w:lang w:val="en-CA" w:eastAsia="zh-CN"/>
          <w14:ligatures w14:val="standardContextual"/>
        </w:rPr>
        <w:tab/>
        <w:t>733,663</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w:t>
      </w:r>
      <w:r w:rsidRPr="0099740B">
        <w:rPr>
          <w:rFonts w:ascii="Arial" w:eastAsia="DengXian" w:hAnsi="Arial" w:cs="Arial"/>
          <w:b/>
          <w:bCs/>
          <w:color w:val="000000"/>
          <w:sz w:val="16"/>
          <w:szCs w:val="16"/>
          <w:lang w:val="en-CA" w:eastAsia="zh-CN"/>
          <w14:ligatures w14:val="standardContextual"/>
        </w:rPr>
        <w:tab/>
        <w:t>-</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w:t>
      </w:r>
      <w:r w:rsidRPr="0099740B">
        <w:rPr>
          <w:rFonts w:ascii="Arial" w:eastAsia="DengXian" w:hAnsi="Arial" w:cs="Arial"/>
          <w:b/>
          <w:bCs/>
          <w:color w:val="000000"/>
          <w:sz w:val="16"/>
          <w:szCs w:val="16"/>
          <w:lang w:val="en-CA" w:eastAsia="zh-CN"/>
          <w14:ligatures w14:val="standardContextual"/>
        </w:rPr>
        <w:tab/>
        <w:t>-</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w:t>
      </w:r>
      <w:r w:rsidRPr="0099740B">
        <w:rPr>
          <w:rFonts w:ascii="Arial" w:eastAsia="DengXian" w:hAnsi="Arial" w:cs="Arial"/>
          <w:b/>
          <w:bCs/>
          <w:color w:val="000000"/>
          <w:sz w:val="16"/>
          <w:szCs w:val="16"/>
          <w:lang w:val="en-CA" w:eastAsia="zh-CN"/>
          <w14:ligatures w14:val="standardContextual"/>
        </w:rPr>
        <w:tab/>
        <w:t>733,663</w:t>
      </w:r>
      <w:r w:rsidRPr="0099740B">
        <w:rPr>
          <w:rFonts w:ascii="Arial" w:eastAsia="DengXian" w:hAnsi="Arial" w:cs="Arial"/>
          <w:b/>
          <w:bCs/>
          <w:color w:val="000000"/>
          <w:sz w:val="16"/>
          <w:szCs w:val="16"/>
          <w:lang w:val="en-CA" w:eastAsia="zh-CN"/>
          <w14:ligatures w14:val="standardContextual"/>
        </w:rPr>
        <w:tab/>
      </w:r>
    </w:p>
    <w:p w14:paraId="4B4A971A" w14:textId="36A1C885" w:rsidR="0099740B" w:rsidRPr="0099740B" w:rsidRDefault="0099740B" w:rsidP="0099740B">
      <w:pPr>
        <w:autoSpaceDE w:val="0"/>
        <w:autoSpaceDN w:val="0"/>
        <w:adjustRightInd w:val="0"/>
        <w:spacing w:after="0" w:line="240" w:lineRule="auto"/>
        <w:ind w:left="680"/>
        <w:jc w:val="both"/>
        <w:rPr>
          <w:rFonts w:ascii="Arial" w:eastAsia="DengXian" w:hAnsi="Arial" w:cs="Arial"/>
          <w:b/>
          <w:bCs/>
          <w:color w:val="000000"/>
          <w:sz w:val="16"/>
          <w:szCs w:val="16"/>
          <w:lang w:val="en-CA" w:eastAsia="zh-CN"/>
          <w14:ligatures w14:val="standardContextual"/>
        </w:rPr>
      </w:pPr>
      <w:r w:rsidRPr="0099740B">
        <w:rPr>
          <w:rFonts w:ascii="Arial" w:eastAsia="DengXian" w:hAnsi="Arial" w:cs="Arial"/>
          <w:b/>
          <w:bCs/>
          <w:color w:val="000000"/>
          <w:sz w:val="16"/>
          <w:szCs w:val="16"/>
          <w:lang w:val="en-CA" w:eastAsia="zh-CN"/>
          <w14:ligatures w14:val="standardContextual"/>
        </w:rPr>
        <w:t>Selling, marketing and</w:t>
      </w:r>
    </w:p>
    <w:p w14:paraId="079394AB" w14:textId="79CDF601" w:rsidR="0099740B" w:rsidRPr="0099740B" w:rsidRDefault="0099740B" w:rsidP="0099740B">
      <w:pPr>
        <w:tabs>
          <w:tab w:val="left" w:pos="3456"/>
          <w:tab w:val="right" w:pos="4726"/>
          <w:tab w:val="left" w:pos="4752"/>
          <w:tab w:val="left" w:pos="4987"/>
          <w:tab w:val="right" w:pos="6257"/>
          <w:tab w:val="left" w:pos="6283"/>
          <w:tab w:val="left" w:pos="6688"/>
          <w:tab w:val="right" w:pos="7958"/>
          <w:tab w:val="left" w:pos="7984"/>
          <w:tab w:val="left" w:pos="8445"/>
          <w:tab w:val="right" w:pos="9715"/>
          <w:tab w:val="left" w:pos="9741"/>
        </w:tabs>
        <w:autoSpaceDE w:val="0"/>
        <w:autoSpaceDN w:val="0"/>
        <w:adjustRightInd w:val="0"/>
        <w:spacing w:after="0" w:line="240" w:lineRule="auto"/>
        <w:ind w:left="680"/>
        <w:jc w:val="both"/>
        <w:rPr>
          <w:rFonts w:ascii="Arial" w:eastAsia="DengXian" w:hAnsi="Arial" w:cs="Arial"/>
          <w:b/>
          <w:bCs/>
          <w:color w:val="000000"/>
          <w:sz w:val="16"/>
          <w:szCs w:val="16"/>
          <w:lang w:val="en-CA" w:eastAsia="zh-CN"/>
          <w14:ligatures w14:val="standardContextual"/>
        </w:rPr>
      </w:pPr>
      <w:r w:rsidRPr="0099740B">
        <w:rPr>
          <w:rFonts w:ascii="Arial" w:eastAsia="DengXian" w:hAnsi="Arial" w:cs="Arial"/>
          <w:b/>
          <w:bCs/>
          <w:color w:val="000000"/>
          <w:sz w:val="16"/>
          <w:szCs w:val="16"/>
          <w:lang w:val="en-CA" w:eastAsia="zh-CN"/>
          <w14:ligatures w14:val="standardContextual"/>
        </w:rPr>
        <w:t>administration</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w:t>
      </w:r>
      <w:r w:rsidR="006E2B6C">
        <w:rPr>
          <w:rFonts w:ascii="Arial" w:eastAsia="DengXian" w:hAnsi="Arial" w:cs="Arial"/>
          <w:b/>
          <w:bCs/>
          <w:color w:val="000000"/>
          <w:sz w:val="16"/>
          <w:szCs w:val="16"/>
          <w:lang w:val="en-CA" w:eastAsia="zh-CN"/>
          <w14:ligatures w14:val="standardContextual"/>
        </w:rPr>
        <w:t>4,103,393</w:t>
      </w:r>
      <w:r w:rsidRPr="0099740B">
        <w:rPr>
          <w:rFonts w:ascii="Arial" w:eastAsia="DengXian" w:hAnsi="Arial" w:cs="Arial"/>
          <w:b/>
          <w:bCs/>
          <w:color w:val="000000"/>
          <w:sz w:val="16"/>
          <w:szCs w:val="16"/>
          <w:lang w:val="en-CA" w:eastAsia="zh-CN"/>
          <w14:ligatures w14:val="standardContextual"/>
        </w:rPr>
        <w:t>)</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(5,</w:t>
      </w:r>
      <w:r w:rsidR="006E2B6C">
        <w:rPr>
          <w:rFonts w:ascii="Arial" w:eastAsia="DengXian" w:hAnsi="Arial" w:cs="Arial"/>
          <w:b/>
          <w:bCs/>
          <w:color w:val="000000"/>
          <w:sz w:val="16"/>
          <w:szCs w:val="16"/>
          <w:lang w:val="en-CA" w:eastAsia="zh-CN"/>
          <w14:ligatures w14:val="standardContextual"/>
        </w:rPr>
        <w:t>795,882</w:t>
      </w:r>
      <w:r w:rsidRPr="0099740B">
        <w:rPr>
          <w:rFonts w:ascii="Arial" w:eastAsia="DengXian" w:hAnsi="Arial" w:cs="Arial"/>
          <w:b/>
          <w:bCs/>
          <w:color w:val="000000"/>
          <w:sz w:val="16"/>
          <w:szCs w:val="16"/>
          <w:lang w:val="en-CA" w:eastAsia="zh-CN"/>
          <w14:ligatures w14:val="standardContextual"/>
        </w:rPr>
        <w:t>)</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(5,943,590)</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(15,842,865)</w:t>
      </w:r>
      <w:r w:rsidRPr="0099740B">
        <w:rPr>
          <w:rFonts w:ascii="Arial" w:eastAsia="DengXian" w:hAnsi="Arial" w:cs="Arial"/>
          <w:b/>
          <w:bCs/>
          <w:color w:val="000000"/>
          <w:sz w:val="16"/>
          <w:szCs w:val="16"/>
          <w:lang w:val="en-CA" w:eastAsia="zh-CN"/>
          <w14:ligatures w14:val="standardContextual"/>
        </w:rPr>
        <w:tab/>
      </w:r>
    </w:p>
    <w:p w14:paraId="43BB1DE4" w14:textId="77777777" w:rsidR="0099740B" w:rsidRPr="0099740B" w:rsidRDefault="0099740B" w:rsidP="0099740B">
      <w:pPr>
        <w:tabs>
          <w:tab w:val="left" w:pos="3456"/>
          <w:tab w:val="right" w:pos="4726"/>
          <w:tab w:val="left" w:pos="4752"/>
          <w:tab w:val="left" w:pos="4987"/>
          <w:tab w:val="right" w:pos="6257"/>
          <w:tab w:val="left" w:pos="6283"/>
          <w:tab w:val="left" w:pos="6688"/>
          <w:tab w:val="right" w:pos="7958"/>
          <w:tab w:val="left" w:pos="7984"/>
          <w:tab w:val="left" w:pos="8445"/>
          <w:tab w:val="right" w:pos="9715"/>
          <w:tab w:val="left" w:pos="9741"/>
        </w:tabs>
        <w:autoSpaceDE w:val="0"/>
        <w:autoSpaceDN w:val="0"/>
        <w:adjustRightInd w:val="0"/>
        <w:spacing w:after="0" w:line="240" w:lineRule="auto"/>
        <w:ind w:left="680"/>
        <w:jc w:val="both"/>
        <w:rPr>
          <w:rFonts w:ascii="Arial" w:eastAsia="DengXian" w:hAnsi="Arial" w:cs="Arial"/>
          <w:b/>
          <w:bCs/>
          <w:color w:val="000000"/>
          <w:sz w:val="16"/>
          <w:szCs w:val="16"/>
          <w:lang w:val="en-CA" w:eastAsia="zh-CN"/>
          <w14:ligatures w14:val="standardContextual"/>
        </w:rPr>
      </w:pPr>
      <w:r w:rsidRPr="0099740B">
        <w:rPr>
          <w:rFonts w:ascii="Arial" w:eastAsia="DengXian" w:hAnsi="Arial" w:cs="Arial"/>
          <w:b/>
          <w:bCs/>
          <w:color w:val="000000"/>
          <w:sz w:val="16"/>
          <w:szCs w:val="16"/>
          <w:lang w:val="en-CA" w:eastAsia="zh-CN"/>
          <w14:ligatures w14:val="standardContextual"/>
        </w:rPr>
        <w:t>Research and development</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(10,945,601)</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(1,649,690)</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(143,663)</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(12,738,954)</w:t>
      </w:r>
      <w:r w:rsidRPr="0099740B">
        <w:rPr>
          <w:rFonts w:ascii="Arial" w:eastAsia="DengXian" w:hAnsi="Arial" w:cs="Arial"/>
          <w:b/>
          <w:bCs/>
          <w:color w:val="000000"/>
          <w:sz w:val="16"/>
          <w:szCs w:val="16"/>
          <w:lang w:val="en-CA" w:eastAsia="zh-CN"/>
          <w14:ligatures w14:val="standardContextual"/>
        </w:rPr>
        <w:tab/>
      </w:r>
    </w:p>
    <w:p w14:paraId="7C768F63" w14:textId="77777777" w:rsidR="0099740B" w:rsidRPr="0099740B" w:rsidRDefault="0099740B" w:rsidP="0099740B">
      <w:pPr>
        <w:tabs>
          <w:tab w:val="left" w:pos="3456"/>
          <w:tab w:val="right" w:pos="4726"/>
          <w:tab w:val="left" w:pos="4752"/>
          <w:tab w:val="left" w:pos="4987"/>
          <w:tab w:val="right" w:pos="5661"/>
          <w:tab w:val="left" w:pos="6283"/>
          <w:tab w:val="left" w:pos="6688"/>
          <w:tab w:val="right" w:pos="7362"/>
          <w:tab w:val="left" w:pos="7984"/>
          <w:tab w:val="left" w:pos="8445"/>
          <w:tab w:val="right" w:pos="9715"/>
          <w:tab w:val="left" w:pos="9741"/>
        </w:tabs>
        <w:autoSpaceDE w:val="0"/>
        <w:autoSpaceDN w:val="0"/>
        <w:adjustRightInd w:val="0"/>
        <w:spacing w:after="0" w:line="240" w:lineRule="auto"/>
        <w:ind w:left="680"/>
        <w:jc w:val="both"/>
        <w:rPr>
          <w:rFonts w:ascii="Arial" w:eastAsia="DengXian" w:hAnsi="Arial" w:cs="Arial"/>
          <w:b/>
          <w:bCs/>
          <w:color w:val="000000"/>
          <w:sz w:val="16"/>
          <w:szCs w:val="16"/>
          <w:lang w:val="en-CA" w:eastAsia="zh-CN"/>
          <w14:ligatures w14:val="standardContextual"/>
        </w:rPr>
      </w:pPr>
      <w:r w:rsidRPr="0099740B">
        <w:rPr>
          <w:rFonts w:ascii="Arial" w:eastAsia="DengXian" w:hAnsi="Arial" w:cs="Arial"/>
          <w:b/>
          <w:bCs/>
          <w:color w:val="000000"/>
          <w:sz w:val="16"/>
          <w:szCs w:val="16"/>
          <w:lang w:val="en-CA" w:eastAsia="zh-CN"/>
          <w14:ligatures w14:val="standardContextual"/>
        </w:rPr>
        <w:t>Interest expense</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(95,140)</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(95,140)</w:t>
      </w:r>
      <w:r w:rsidRPr="0099740B">
        <w:rPr>
          <w:rFonts w:ascii="Arial" w:eastAsia="DengXian" w:hAnsi="Arial" w:cs="Arial"/>
          <w:b/>
          <w:bCs/>
          <w:color w:val="000000"/>
          <w:sz w:val="16"/>
          <w:szCs w:val="16"/>
          <w:lang w:val="en-CA" w:eastAsia="zh-CN"/>
          <w14:ligatures w14:val="standardContextual"/>
        </w:rPr>
        <w:tab/>
      </w:r>
    </w:p>
    <w:p w14:paraId="6B67C7D1" w14:textId="77777777" w:rsidR="0099740B" w:rsidRPr="0099740B" w:rsidRDefault="0099740B" w:rsidP="0099740B">
      <w:pPr>
        <w:autoSpaceDE w:val="0"/>
        <w:autoSpaceDN w:val="0"/>
        <w:adjustRightInd w:val="0"/>
        <w:spacing w:after="0" w:line="240" w:lineRule="auto"/>
        <w:ind w:left="680"/>
        <w:jc w:val="both"/>
        <w:rPr>
          <w:rFonts w:ascii="Arial" w:eastAsia="DengXian" w:hAnsi="Arial" w:cs="Arial"/>
          <w:b/>
          <w:bCs/>
          <w:color w:val="000000"/>
          <w:sz w:val="16"/>
          <w:szCs w:val="16"/>
          <w:lang w:val="en-CA" w:eastAsia="zh-CN"/>
          <w14:ligatures w14:val="standardContextual"/>
        </w:rPr>
      </w:pPr>
      <w:r w:rsidRPr="0099740B">
        <w:rPr>
          <w:rFonts w:ascii="Arial" w:eastAsia="DengXian" w:hAnsi="Arial" w:cs="Arial"/>
          <w:b/>
          <w:bCs/>
          <w:color w:val="000000"/>
          <w:sz w:val="16"/>
          <w:szCs w:val="16"/>
          <w:lang w:val="en-CA" w:eastAsia="zh-CN"/>
          <w14:ligatures w14:val="standardContextual"/>
        </w:rPr>
        <w:t xml:space="preserve">Fair value adjustment to derivative </w:t>
      </w:r>
    </w:p>
    <w:p w14:paraId="07698AB3" w14:textId="77777777" w:rsidR="0099740B" w:rsidRPr="0099740B" w:rsidRDefault="0099740B" w:rsidP="0099740B">
      <w:pPr>
        <w:tabs>
          <w:tab w:val="left" w:pos="3456"/>
          <w:tab w:val="right" w:pos="4130"/>
          <w:tab w:val="left" w:pos="4752"/>
          <w:tab w:val="left" w:pos="4987"/>
          <w:tab w:val="right" w:pos="5661"/>
          <w:tab w:val="left" w:pos="6283"/>
          <w:tab w:val="left" w:pos="6688"/>
          <w:tab w:val="right" w:pos="7958"/>
          <w:tab w:val="left" w:pos="7984"/>
          <w:tab w:val="left" w:pos="8445"/>
          <w:tab w:val="right" w:pos="9715"/>
          <w:tab w:val="left" w:pos="9741"/>
        </w:tabs>
        <w:autoSpaceDE w:val="0"/>
        <w:autoSpaceDN w:val="0"/>
        <w:adjustRightInd w:val="0"/>
        <w:spacing w:after="0" w:line="240" w:lineRule="auto"/>
        <w:ind w:left="680"/>
        <w:jc w:val="both"/>
        <w:rPr>
          <w:rFonts w:ascii="Arial" w:eastAsia="DengXian" w:hAnsi="Arial" w:cs="Arial"/>
          <w:b/>
          <w:bCs/>
          <w:color w:val="000000"/>
          <w:sz w:val="16"/>
          <w:szCs w:val="16"/>
          <w:lang w:val="en-CA" w:eastAsia="zh-CN"/>
          <w14:ligatures w14:val="standardContextual"/>
        </w:rPr>
      </w:pPr>
      <w:r w:rsidRPr="0099740B">
        <w:rPr>
          <w:rFonts w:ascii="Arial" w:eastAsia="DengXian" w:hAnsi="Arial" w:cs="Arial"/>
          <w:b/>
          <w:bCs/>
          <w:color w:val="000000"/>
          <w:sz w:val="16"/>
          <w:szCs w:val="16"/>
          <w:lang w:val="en-CA" w:eastAsia="zh-CN"/>
          <w14:ligatures w14:val="standardContextual"/>
        </w:rPr>
        <w:t>warrant liability</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5,408,757</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5,408,757</w:t>
      </w:r>
      <w:r w:rsidRPr="0099740B">
        <w:rPr>
          <w:rFonts w:ascii="Arial" w:eastAsia="DengXian" w:hAnsi="Arial" w:cs="Arial"/>
          <w:b/>
          <w:bCs/>
          <w:color w:val="000000"/>
          <w:sz w:val="16"/>
          <w:szCs w:val="16"/>
          <w:lang w:val="en-CA" w:eastAsia="zh-CN"/>
          <w14:ligatures w14:val="standardContextual"/>
        </w:rPr>
        <w:tab/>
      </w:r>
    </w:p>
    <w:p w14:paraId="76FAAC8C" w14:textId="77777777" w:rsidR="0099740B" w:rsidRPr="0099740B" w:rsidRDefault="0099740B" w:rsidP="0099740B">
      <w:pPr>
        <w:tabs>
          <w:tab w:val="left" w:pos="3456"/>
          <w:tab w:val="right" w:pos="4726"/>
          <w:tab w:val="left" w:pos="4752"/>
          <w:tab w:val="left" w:pos="4987"/>
          <w:tab w:val="right" w:pos="5661"/>
          <w:tab w:val="left" w:pos="6283"/>
          <w:tab w:val="left" w:pos="6688"/>
          <w:tab w:val="right" w:pos="7958"/>
          <w:tab w:val="left" w:pos="7984"/>
          <w:tab w:val="left" w:pos="8445"/>
          <w:tab w:val="right" w:pos="9715"/>
          <w:tab w:val="left" w:pos="9741"/>
        </w:tabs>
        <w:autoSpaceDE w:val="0"/>
        <w:autoSpaceDN w:val="0"/>
        <w:adjustRightInd w:val="0"/>
        <w:spacing w:after="0" w:line="240" w:lineRule="auto"/>
        <w:ind w:left="680"/>
        <w:jc w:val="both"/>
        <w:rPr>
          <w:rFonts w:ascii="Arial" w:eastAsia="DengXian" w:hAnsi="Arial" w:cs="Arial"/>
          <w:b/>
          <w:bCs/>
          <w:color w:val="000000"/>
          <w:sz w:val="16"/>
          <w:szCs w:val="16"/>
          <w:lang w:val="en-CA" w:eastAsia="zh-CN"/>
          <w14:ligatures w14:val="standardContextual"/>
        </w:rPr>
      </w:pPr>
      <w:r w:rsidRPr="0099740B">
        <w:rPr>
          <w:rFonts w:ascii="Arial" w:eastAsia="DengXian" w:hAnsi="Arial" w:cs="Arial"/>
          <w:b/>
          <w:bCs/>
          <w:color w:val="000000"/>
          <w:sz w:val="16"/>
          <w:szCs w:val="16"/>
          <w:lang w:val="en-CA" w:eastAsia="zh-CN"/>
          <w14:ligatures w14:val="standardContextual"/>
        </w:rPr>
        <w:t>Unrealized exchange gain (loss)</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512,826</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(319,915)</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192,911</w:t>
      </w:r>
      <w:r w:rsidRPr="0099740B">
        <w:rPr>
          <w:rFonts w:ascii="Arial" w:eastAsia="DengXian" w:hAnsi="Arial" w:cs="Arial"/>
          <w:b/>
          <w:bCs/>
          <w:color w:val="000000"/>
          <w:sz w:val="16"/>
          <w:szCs w:val="16"/>
          <w:lang w:val="en-CA" w:eastAsia="zh-CN"/>
          <w14:ligatures w14:val="standardContextual"/>
        </w:rPr>
        <w:tab/>
      </w:r>
    </w:p>
    <w:p w14:paraId="09BA678E" w14:textId="77777777" w:rsidR="0099740B" w:rsidRPr="0099740B" w:rsidRDefault="0099740B" w:rsidP="0099740B">
      <w:pPr>
        <w:autoSpaceDE w:val="0"/>
        <w:autoSpaceDN w:val="0"/>
        <w:adjustRightInd w:val="0"/>
        <w:spacing w:after="0" w:line="240" w:lineRule="auto"/>
        <w:ind w:left="680"/>
        <w:jc w:val="both"/>
        <w:rPr>
          <w:rFonts w:ascii="Arial" w:eastAsia="DengXian" w:hAnsi="Arial" w:cs="Arial"/>
          <w:b/>
          <w:bCs/>
          <w:color w:val="000000"/>
          <w:sz w:val="16"/>
          <w:szCs w:val="16"/>
          <w:lang w:val="en-CA" w:eastAsia="zh-CN"/>
          <w14:ligatures w14:val="standardContextual"/>
        </w:rPr>
      </w:pPr>
      <w:r w:rsidRPr="0099740B">
        <w:rPr>
          <w:rFonts w:ascii="Arial" w:eastAsia="DengXian" w:hAnsi="Arial" w:cs="Arial"/>
          <w:b/>
          <w:bCs/>
          <w:color w:val="000000"/>
          <w:sz w:val="16"/>
          <w:szCs w:val="16"/>
          <w:lang w:val="en-CA" w:eastAsia="zh-CN"/>
          <w14:ligatures w14:val="standardContextual"/>
        </w:rPr>
        <w:t>Other income, including</w:t>
      </w:r>
    </w:p>
    <w:p w14:paraId="4F236D41" w14:textId="77777777" w:rsidR="0099740B" w:rsidRPr="0099740B" w:rsidRDefault="0099740B" w:rsidP="0099740B">
      <w:pPr>
        <w:tabs>
          <w:tab w:val="left" w:pos="3456"/>
          <w:tab w:val="right" w:pos="4726"/>
          <w:tab w:val="left" w:pos="4752"/>
          <w:tab w:val="left" w:pos="4987"/>
          <w:tab w:val="right" w:pos="5661"/>
          <w:tab w:val="left" w:pos="6283"/>
          <w:tab w:val="left" w:pos="6688"/>
          <w:tab w:val="right" w:pos="7958"/>
          <w:tab w:val="left" w:pos="7984"/>
          <w:tab w:val="left" w:pos="8445"/>
          <w:tab w:val="right" w:pos="9715"/>
          <w:tab w:val="left" w:pos="9741"/>
        </w:tabs>
        <w:autoSpaceDE w:val="0"/>
        <w:autoSpaceDN w:val="0"/>
        <w:adjustRightInd w:val="0"/>
        <w:spacing w:after="0" w:line="240" w:lineRule="auto"/>
        <w:ind w:left="680"/>
        <w:jc w:val="both"/>
        <w:rPr>
          <w:rFonts w:ascii="Arial" w:eastAsia="DengXian" w:hAnsi="Arial" w:cs="Arial"/>
          <w:b/>
          <w:bCs/>
          <w:color w:val="000000"/>
          <w:sz w:val="16"/>
          <w:szCs w:val="16"/>
          <w:lang w:val="en-CA" w:eastAsia="zh-CN"/>
          <w14:ligatures w14:val="standardContextual"/>
        </w:rPr>
      </w:pPr>
      <w:r w:rsidRPr="0099740B">
        <w:rPr>
          <w:rFonts w:ascii="Arial" w:eastAsia="DengXian" w:hAnsi="Arial" w:cs="Arial"/>
          <w:b/>
          <w:bCs/>
          <w:color w:val="000000"/>
          <w:sz w:val="16"/>
          <w:szCs w:val="16"/>
          <w:lang w:val="en-CA" w:eastAsia="zh-CN"/>
          <w14:ligatures w14:val="standardContextual"/>
        </w:rPr>
        <w:t>Interest</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11,703</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2,038,394</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2,050,097</w:t>
      </w:r>
      <w:r w:rsidRPr="0099740B">
        <w:rPr>
          <w:rFonts w:ascii="Arial" w:eastAsia="DengXian" w:hAnsi="Arial" w:cs="Arial"/>
          <w:b/>
          <w:bCs/>
          <w:color w:val="000000"/>
          <w:sz w:val="16"/>
          <w:szCs w:val="16"/>
          <w:lang w:val="en-CA" w:eastAsia="zh-CN"/>
          <w14:ligatures w14:val="standardContextual"/>
        </w:rPr>
        <w:tab/>
      </w:r>
    </w:p>
    <w:p w14:paraId="1D233912" w14:textId="1207CEE0" w:rsidR="0099740B" w:rsidRPr="0099740B" w:rsidRDefault="0099740B" w:rsidP="0099740B">
      <w:pPr>
        <w:autoSpaceDE w:val="0"/>
        <w:autoSpaceDN w:val="0"/>
        <w:adjustRightInd w:val="0"/>
        <w:spacing w:after="0" w:line="240" w:lineRule="auto"/>
        <w:ind w:left="680"/>
        <w:rPr>
          <w:rFonts w:ascii="Arial" w:eastAsia="DengXian" w:hAnsi="Arial" w:cs="Arial"/>
          <w:b/>
          <w:bCs/>
          <w:color w:val="000000"/>
          <w:sz w:val="16"/>
          <w:szCs w:val="16"/>
          <w:lang w:val="en-CA" w:eastAsia="zh-CN"/>
          <w14:ligatures w14:val="standardContextual"/>
        </w:rPr>
      </w:pPr>
      <w:r w:rsidRPr="0099740B">
        <w:rPr>
          <w:rFonts w:ascii="Arial" w:eastAsia="DengXian" w:hAnsi="Arial" w:cs="Arial"/>
          <w:noProof/>
          <w:color w:val="000000"/>
          <w:sz w:val="24"/>
          <w:szCs w:val="24"/>
          <w:lang w:val="en-CA" w:eastAsia="zh-CN"/>
          <w14:ligatures w14:val="standardContextual"/>
        </w:rPr>
        <mc:AlternateContent>
          <mc:Choice Requires="wps">
            <w:drawing>
              <wp:anchor distT="0" distB="0" distL="114300" distR="114300" simplePos="0" relativeHeight="251743232" behindDoc="0" locked="0" layoutInCell="0" allowOverlap="1" wp14:anchorId="04899CFC" wp14:editId="191692BB">
                <wp:simplePos x="0" y="0"/>
                <wp:positionH relativeFrom="character">
                  <wp:posOffset>0</wp:posOffset>
                </wp:positionH>
                <wp:positionV relativeFrom="paragraph">
                  <wp:posOffset>52070</wp:posOffset>
                </wp:positionV>
                <wp:extent cx="5975350" cy="0"/>
                <wp:effectExtent l="0" t="0" r="0" b="0"/>
                <wp:wrapNone/>
                <wp:docPr id="1692288872"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35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5B6D41" id="Straight Connector 40" o:spid="_x0000_s1026" style="position:absolute;z-index:251743232;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 from="0,4.1pt" to="47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" o:allowincell="f" strokeweight="1pt"/>
            </w:pict>
          </mc:Fallback>
        </mc:AlternateContent>
      </w:r>
    </w:p>
    <w:p w14:paraId="6B5134F0" w14:textId="718A04B1" w:rsidR="0099740B" w:rsidRPr="0099740B" w:rsidRDefault="0099740B" w:rsidP="0099740B">
      <w:pPr>
        <w:tabs>
          <w:tab w:val="left" w:pos="3456"/>
          <w:tab w:val="right" w:pos="4726"/>
          <w:tab w:val="left" w:pos="4752"/>
          <w:tab w:val="left" w:pos="4987"/>
          <w:tab w:val="right" w:pos="6257"/>
          <w:tab w:val="left" w:pos="6283"/>
          <w:tab w:val="left" w:pos="6688"/>
          <w:tab w:val="right" w:pos="7958"/>
          <w:tab w:val="left" w:pos="7984"/>
          <w:tab w:val="left" w:pos="8445"/>
          <w:tab w:val="right" w:pos="9715"/>
          <w:tab w:val="left" w:pos="9741"/>
        </w:tabs>
        <w:autoSpaceDE w:val="0"/>
        <w:autoSpaceDN w:val="0"/>
        <w:adjustRightInd w:val="0"/>
        <w:spacing w:after="0" w:line="240" w:lineRule="auto"/>
        <w:ind w:left="680"/>
        <w:jc w:val="both"/>
        <w:rPr>
          <w:rFonts w:ascii="Arial" w:eastAsia="DengXian" w:hAnsi="Arial" w:cs="Arial"/>
          <w:b/>
          <w:bCs/>
          <w:color w:val="000000"/>
          <w:sz w:val="16"/>
          <w:szCs w:val="16"/>
          <w:lang w:val="en-CA" w:eastAsia="zh-CN"/>
          <w14:ligatures w14:val="standardContextual"/>
        </w:rPr>
      </w:pPr>
      <w:r w:rsidRPr="0099740B">
        <w:rPr>
          <w:rFonts w:ascii="Arial" w:eastAsia="DengXian" w:hAnsi="Arial" w:cs="Arial"/>
          <w:b/>
          <w:bCs/>
          <w:color w:val="000000"/>
          <w:sz w:val="16"/>
          <w:szCs w:val="16"/>
          <w:lang w:val="en-CA" w:eastAsia="zh-CN"/>
          <w14:ligatures w14:val="standardContextual"/>
        </w:rPr>
        <w:t>Net loss</w:t>
      </w:r>
      <w:r w:rsidRPr="0099740B">
        <w:rPr>
          <w:rFonts w:ascii="Arial" w:eastAsia="DengXian" w:hAnsi="Arial" w:cs="Arial"/>
          <w:b/>
          <w:bCs/>
          <w:color w:val="000000"/>
          <w:sz w:val="16"/>
          <w:szCs w:val="16"/>
          <w:lang w:val="en-CA" w:eastAsia="zh-CN"/>
          <w14:ligatures w14:val="standardContextual"/>
        </w:rPr>
        <w:tab/>
        <w:t>$</w:t>
      </w:r>
      <w:r w:rsidRPr="0099740B">
        <w:rPr>
          <w:rFonts w:ascii="Arial" w:eastAsia="DengXian" w:hAnsi="Arial" w:cs="Arial"/>
          <w:b/>
          <w:bCs/>
          <w:color w:val="000000"/>
          <w:sz w:val="16"/>
          <w:szCs w:val="16"/>
          <w:lang w:val="en-CA" w:eastAsia="zh-CN"/>
          <w14:ligatures w14:val="standardContextual"/>
        </w:rPr>
        <w:tab/>
        <w:t>(13,</w:t>
      </w:r>
      <w:r w:rsidR="006E2B6C">
        <w:rPr>
          <w:rFonts w:ascii="Arial" w:eastAsia="DengXian" w:hAnsi="Arial" w:cs="Arial"/>
          <w:b/>
          <w:bCs/>
          <w:color w:val="000000"/>
          <w:sz w:val="16"/>
          <w:szCs w:val="16"/>
          <w:lang w:val="en-CA" w:eastAsia="zh-CN"/>
          <w14:ligatures w14:val="standardContextual"/>
        </w:rPr>
        <w:t>885,945</w:t>
      </w:r>
      <w:r w:rsidRPr="0099740B">
        <w:rPr>
          <w:rFonts w:ascii="Arial" w:eastAsia="DengXian" w:hAnsi="Arial" w:cs="Arial"/>
          <w:b/>
          <w:bCs/>
          <w:color w:val="000000"/>
          <w:sz w:val="16"/>
          <w:szCs w:val="16"/>
          <w:lang w:val="en-CA" w:eastAsia="zh-CN"/>
          <w14:ligatures w14:val="standardContextual"/>
        </w:rPr>
        <w:t>)</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w:t>
      </w:r>
      <w:r w:rsidRPr="0099740B">
        <w:rPr>
          <w:rFonts w:ascii="Arial" w:eastAsia="DengXian" w:hAnsi="Arial" w:cs="Arial"/>
          <w:b/>
          <w:bCs/>
          <w:color w:val="000000"/>
          <w:sz w:val="16"/>
          <w:szCs w:val="16"/>
          <w:lang w:val="en-CA" w:eastAsia="zh-CN"/>
          <w14:ligatures w14:val="standardContextual"/>
        </w:rPr>
        <w:tab/>
        <w:t>(7,</w:t>
      </w:r>
      <w:r w:rsidR="006E2B6C">
        <w:rPr>
          <w:rFonts w:ascii="Arial" w:eastAsia="DengXian" w:hAnsi="Arial" w:cs="Arial"/>
          <w:b/>
          <w:bCs/>
          <w:color w:val="000000"/>
          <w:sz w:val="16"/>
          <w:szCs w:val="16"/>
          <w:lang w:val="en-CA" w:eastAsia="zh-CN"/>
          <w14:ligatures w14:val="standardContextual"/>
        </w:rPr>
        <w:t>445,572</w:t>
      </w:r>
      <w:r w:rsidRPr="0099740B">
        <w:rPr>
          <w:rFonts w:ascii="Arial" w:eastAsia="DengXian" w:hAnsi="Arial" w:cs="Arial"/>
          <w:b/>
          <w:bCs/>
          <w:color w:val="000000"/>
          <w:sz w:val="16"/>
          <w:szCs w:val="16"/>
          <w:lang w:val="en-CA" w:eastAsia="zh-CN"/>
          <w14:ligatures w14:val="standardContextual"/>
        </w:rPr>
        <w:t>)</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w:t>
      </w:r>
      <w:r w:rsidRPr="0099740B">
        <w:rPr>
          <w:rFonts w:ascii="Arial" w:eastAsia="DengXian" w:hAnsi="Arial" w:cs="Arial"/>
          <w:b/>
          <w:bCs/>
          <w:color w:val="000000"/>
          <w:sz w:val="16"/>
          <w:szCs w:val="16"/>
          <w:lang w:val="en-CA" w:eastAsia="zh-CN"/>
          <w14:ligatures w14:val="standardContextual"/>
        </w:rPr>
        <w:tab/>
        <w:t>1,039,983</w:t>
      </w:r>
      <w:r w:rsidRPr="0099740B">
        <w:rPr>
          <w:rFonts w:ascii="Arial" w:eastAsia="DengXian" w:hAnsi="Arial" w:cs="Arial"/>
          <w:b/>
          <w:bCs/>
          <w:color w:val="000000"/>
          <w:sz w:val="16"/>
          <w:szCs w:val="16"/>
          <w:lang w:val="en-CA" w:eastAsia="zh-CN"/>
          <w14:ligatures w14:val="standardContextual"/>
        </w:rPr>
        <w:tab/>
      </w:r>
      <w:r w:rsidRPr="0099740B">
        <w:rPr>
          <w:rFonts w:ascii="Arial" w:eastAsia="DengXian" w:hAnsi="Arial" w:cs="Arial"/>
          <w:b/>
          <w:bCs/>
          <w:color w:val="000000"/>
          <w:sz w:val="16"/>
          <w:szCs w:val="16"/>
          <w:lang w:val="en-CA" w:eastAsia="zh-CN"/>
          <w14:ligatures w14:val="standardContextual"/>
        </w:rPr>
        <w:tab/>
        <w:t>$</w:t>
      </w:r>
      <w:r w:rsidRPr="0099740B">
        <w:rPr>
          <w:rFonts w:ascii="Arial" w:eastAsia="DengXian" w:hAnsi="Arial" w:cs="Arial"/>
          <w:b/>
          <w:bCs/>
          <w:color w:val="000000"/>
          <w:sz w:val="16"/>
          <w:szCs w:val="16"/>
          <w:lang w:val="en-CA" w:eastAsia="zh-CN"/>
          <w14:ligatures w14:val="standardContextual"/>
        </w:rPr>
        <w:tab/>
        <w:t>(20,291,531)</w:t>
      </w:r>
      <w:r w:rsidRPr="0099740B">
        <w:rPr>
          <w:rFonts w:ascii="Arial" w:eastAsia="DengXian" w:hAnsi="Arial" w:cs="Arial"/>
          <w:b/>
          <w:bCs/>
          <w:color w:val="000000"/>
          <w:sz w:val="16"/>
          <w:szCs w:val="16"/>
          <w:lang w:val="en-CA" w:eastAsia="zh-CN"/>
          <w14:ligatures w14:val="standardContextual"/>
        </w:rPr>
        <w:tab/>
      </w:r>
    </w:p>
    <w:p w14:paraId="2568CD61" w14:textId="29756CF1" w:rsidR="0099740B" w:rsidRPr="0099740B" w:rsidRDefault="0099740B" w:rsidP="0099740B">
      <w:pPr>
        <w:autoSpaceDE w:val="0"/>
        <w:autoSpaceDN w:val="0"/>
        <w:adjustRightInd w:val="0"/>
        <w:spacing w:after="0" w:line="240" w:lineRule="auto"/>
        <w:ind w:left="680"/>
        <w:rPr>
          <w:rFonts w:ascii="Arial" w:eastAsia="DengXian" w:hAnsi="Arial" w:cs="Arial"/>
          <w:b/>
          <w:bCs/>
          <w:color w:val="000000"/>
          <w:sz w:val="16"/>
          <w:szCs w:val="16"/>
          <w:lang w:val="en-CA" w:eastAsia="zh-CN"/>
          <w14:ligatures w14:val="standardContextual"/>
        </w:rPr>
      </w:pPr>
      <w:r w:rsidRPr="0099740B">
        <w:rPr>
          <w:rFonts w:ascii="Arial" w:eastAsia="DengXian" w:hAnsi="Arial" w:cs="Arial"/>
          <w:noProof/>
          <w:color w:val="000000"/>
          <w:sz w:val="24"/>
          <w:szCs w:val="24"/>
          <w:lang w:val="en-CA" w:eastAsia="zh-CN"/>
          <w14:ligatures w14:val="standardContextual"/>
        </w:rPr>
        <mc:AlternateContent>
          <mc:Choice Requires="wps">
            <w:drawing>
              <wp:anchor distT="0" distB="0" distL="114300" distR="114300" simplePos="0" relativeHeight="251744256" behindDoc="0" locked="0" layoutInCell="0" allowOverlap="1" wp14:anchorId="2E582978" wp14:editId="6833E217">
                <wp:simplePos x="0" y="0"/>
                <wp:positionH relativeFrom="character">
                  <wp:posOffset>0</wp:posOffset>
                </wp:positionH>
                <wp:positionV relativeFrom="paragraph">
                  <wp:posOffset>52070</wp:posOffset>
                </wp:positionV>
                <wp:extent cx="5975350" cy="0"/>
                <wp:effectExtent l="0" t="0" r="0" b="0"/>
                <wp:wrapNone/>
                <wp:docPr id="1418400701"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35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D57712" id="Straight Connector 39" o:spid="_x0000_s1026" style="position:absolute;z-index:251744256;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 from="0,4.1pt" to="47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" o:allowincell="f" strokeweight="1pt"/>
            </w:pict>
          </mc:Fallback>
        </mc:AlternateContent>
      </w:r>
    </w:p>
    <w:p w14:paraId="409BD52F" w14:textId="77777777" w:rsidR="0099740B" w:rsidRPr="0099740B" w:rsidRDefault="0099740B" w:rsidP="0099740B">
      <w:pPr>
        <w:tabs>
          <w:tab w:val="center" w:pos="7086"/>
        </w:tabs>
        <w:autoSpaceDE w:val="0"/>
        <w:autoSpaceDN w:val="0"/>
        <w:adjustRightInd w:val="0"/>
        <w:spacing w:after="113" w:line="240" w:lineRule="auto"/>
        <w:ind w:left="680"/>
        <w:jc w:val="both"/>
        <w:rPr>
          <w:rFonts w:ascii="Arial" w:eastAsia="DengXian" w:hAnsi="Arial" w:cs="Arial"/>
          <w:color w:val="000000"/>
          <w:sz w:val="16"/>
          <w:szCs w:val="16"/>
          <w:lang w:val="en-CA" w:eastAsia="zh-CN"/>
          <w14:ligatures w14:val="standardContextual"/>
        </w:rPr>
      </w:pPr>
      <w:r w:rsidRPr="0099740B">
        <w:rPr>
          <w:rFonts w:ascii="Arial" w:eastAsia="DengXian" w:hAnsi="Arial" w:cs="Arial"/>
          <w:color w:val="000000"/>
          <w:sz w:val="16"/>
          <w:szCs w:val="16"/>
          <w:lang w:val="en-CA" w:eastAsia="zh-CN"/>
          <w14:ligatures w14:val="standardContextual"/>
        </w:rPr>
        <w:tab/>
        <w:t>2024</w:t>
      </w:r>
    </w:p>
    <w:p w14:paraId="354E48D6" w14:textId="2BA52240" w:rsidR="0099740B" w:rsidRPr="0099740B" w:rsidRDefault="0099740B" w:rsidP="0099740B">
      <w:pPr>
        <w:autoSpaceDE w:val="0"/>
        <w:autoSpaceDN w:val="0"/>
        <w:adjustRightInd w:val="0"/>
        <w:spacing w:after="0" w:line="240" w:lineRule="auto"/>
        <w:ind w:left="680"/>
        <w:rPr>
          <w:rFonts w:ascii="Arial" w:eastAsia="DengXian" w:hAnsi="Arial" w:cs="Arial"/>
          <w:color w:val="000000"/>
          <w:sz w:val="16"/>
          <w:szCs w:val="16"/>
          <w:lang w:val="en-CA" w:eastAsia="zh-CN"/>
          <w14:ligatures w14:val="standardContextual"/>
        </w:rPr>
      </w:pPr>
      <w:r w:rsidRPr="0099740B">
        <w:rPr>
          <w:rFonts w:ascii="Arial" w:eastAsia="DengXian" w:hAnsi="Arial" w:cs="Arial"/>
          <w:noProof/>
          <w:color w:val="000000"/>
          <w:sz w:val="24"/>
          <w:szCs w:val="24"/>
          <w:lang w:val="en-CA" w:eastAsia="zh-CN"/>
          <w14:ligatures w14:val="standardContextual"/>
        </w:rPr>
        <mc:AlternateContent>
          <mc:Choice Requires="wps">
            <w:drawing>
              <wp:anchor distT="0" distB="0" distL="114300" distR="114300" simplePos="0" relativeHeight="251745280" behindDoc="0" locked="0" layoutInCell="0" allowOverlap="1" wp14:anchorId="073BA3BC" wp14:editId="414C6AAC">
                <wp:simplePos x="0" y="0"/>
                <wp:positionH relativeFrom="character">
                  <wp:posOffset>0</wp:posOffset>
                </wp:positionH>
                <wp:positionV relativeFrom="paragraph">
                  <wp:posOffset>0</wp:posOffset>
                </wp:positionV>
                <wp:extent cx="5975350" cy="0"/>
                <wp:effectExtent l="0" t="0" r="0" b="0"/>
                <wp:wrapNone/>
                <wp:docPr id="1241563495"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35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9BB66E" id="Straight Connector 38" o:spid="_x0000_s1026" style="position:absolute;z-index:251745280;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 from="0,0" to="47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" o:allowincell="f" strokeweight="1pt"/>
            </w:pict>
          </mc:Fallback>
        </mc:AlternateContent>
      </w:r>
    </w:p>
    <w:p w14:paraId="174D0EA4" w14:textId="62909AB2" w:rsidR="0099740B" w:rsidRPr="0099740B" w:rsidRDefault="0099740B" w:rsidP="0099740B">
      <w:pPr>
        <w:tabs>
          <w:tab w:val="left" w:pos="3798"/>
          <w:tab w:val="left" w:pos="5668"/>
          <w:tab w:val="left" w:pos="7086"/>
          <w:tab w:val="left" w:pos="8503"/>
          <w:tab w:val="right" w:pos="9694"/>
        </w:tabs>
        <w:autoSpaceDE w:val="0"/>
        <w:autoSpaceDN w:val="0"/>
        <w:adjustRightInd w:val="0"/>
        <w:spacing w:after="0" w:line="240" w:lineRule="auto"/>
        <w:ind w:left="680"/>
        <w:jc w:val="both"/>
        <w:rPr>
          <w:rFonts w:ascii="Arial" w:eastAsia="DengXian" w:hAnsi="Arial" w:cs="Arial"/>
          <w:color w:val="000000"/>
          <w:sz w:val="16"/>
          <w:szCs w:val="16"/>
          <w:lang w:val="en-CA" w:eastAsia="zh-CN"/>
          <w14:ligatures w14:val="standardContextual"/>
        </w:rPr>
      </w:pPr>
      <w:r w:rsidRPr="0099740B">
        <w:rPr>
          <w:rFonts w:ascii="Arial" w:eastAsia="DengXian" w:hAnsi="Arial" w:cs="Arial"/>
          <w:noProof/>
          <w:color w:val="000000"/>
          <w:sz w:val="24"/>
          <w:szCs w:val="24"/>
          <w:lang w:val="en-CA" w:eastAsia="zh-CN"/>
          <w14:ligatures w14:val="standardContextual"/>
        </w:rPr>
        <mc:AlternateContent>
          <mc:Choice Requires="wps">
            <w:drawing>
              <wp:anchor distT="0" distB="0" distL="114300" distR="114300" simplePos="0" relativeHeight="251746304" behindDoc="0" locked="0" layoutInCell="0" allowOverlap="1" wp14:anchorId="16050D2F" wp14:editId="09783C7E">
                <wp:simplePos x="0" y="0"/>
                <wp:positionH relativeFrom="character">
                  <wp:posOffset>8255</wp:posOffset>
                </wp:positionH>
                <wp:positionV relativeFrom="paragraph">
                  <wp:posOffset>97790</wp:posOffset>
                </wp:positionV>
                <wp:extent cx="5975350" cy="0"/>
                <wp:effectExtent l="0" t="0" r="0" b="0"/>
                <wp:wrapNone/>
                <wp:docPr id="1768457514"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35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C53D58" id="Straight Connector 37" o:spid="_x0000_s1026" style="position:absolute;z-index:251746304;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 from=".65pt,7.7pt" to="471.1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" o:allowincell="f" strokeweight="1pt"/>
            </w:pict>
          </mc:Fallback>
        </mc:AlternateContent>
      </w:r>
      <w:r w:rsidRPr="0099740B">
        <w:rPr>
          <w:rFonts w:ascii="Arial" w:eastAsia="DengXian" w:hAnsi="Arial" w:cs="Arial"/>
          <w:color w:val="000000"/>
          <w:sz w:val="16"/>
          <w:szCs w:val="16"/>
          <w:lang w:val="en-CA" w:eastAsia="zh-CN"/>
          <w14:ligatures w14:val="standardContextual"/>
        </w:rPr>
        <w:t>As of December 31,</w:t>
      </w:r>
      <w:r w:rsidRPr="0099740B">
        <w:rPr>
          <w:rFonts w:ascii="Arial" w:eastAsia="DengXian" w:hAnsi="Arial" w:cs="Arial"/>
          <w:color w:val="000000"/>
          <w:sz w:val="16"/>
          <w:szCs w:val="16"/>
          <w:lang w:val="en-CA" w:eastAsia="zh-CN"/>
          <w14:ligatures w14:val="standardContextual"/>
        </w:rPr>
        <w:tab/>
        <w:t>Asia</w:t>
      </w:r>
      <w:r w:rsidRPr="0099740B">
        <w:rPr>
          <w:rFonts w:ascii="Arial" w:eastAsia="DengXian" w:hAnsi="Arial" w:cs="Arial"/>
          <w:color w:val="000000"/>
          <w:sz w:val="16"/>
          <w:szCs w:val="16"/>
          <w:lang w:val="en-CA" w:eastAsia="zh-CN"/>
          <w14:ligatures w14:val="standardContextual"/>
        </w:rPr>
        <w:tab/>
        <w:t>US</w:t>
      </w:r>
      <w:r w:rsidRPr="0099740B">
        <w:rPr>
          <w:rFonts w:ascii="Arial" w:eastAsia="DengXian" w:hAnsi="Arial" w:cs="Arial"/>
          <w:color w:val="000000"/>
          <w:sz w:val="16"/>
          <w:szCs w:val="16"/>
          <w:lang w:val="en-CA" w:eastAsia="zh-CN"/>
          <w14:ligatures w14:val="standardContextual"/>
        </w:rPr>
        <w:tab/>
        <w:t>Canada</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Consolidated</w:t>
      </w:r>
    </w:p>
    <w:p w14:paraId="02375557" w14:textId="4C039745" w:rsidR="0099740B" w:rsidRPr="0099740B" w:rsidRDefault="0099740B" w:rsidP="0099740B">
      <w:pPr>
        <w:tabs>
          <w:tab w:val="left" w:pos="3456"/>
          <w:tab w:val="right" w:pos="4726"/>
          <w:tab w:val="left" w:pos="4752"/>
          <w:tab w:val="left" w:pos="4987"/>
          <w:tab w:val="right" w:pos="6257"/>
          <w:tab w:val="left" w:pos="6283"/>
          <w:tab w:val="left" w:pos="6688"/>
          <w:tab w:val="right" w:pos="7958"/>
          <w:tab w:val="left" w:pos="7984"/>
          <w:tab w:val="left" w:pos="8445"/>
          <w:tab w:val="right" w:pos="9715"/>
          <w:tab w:val="left" w:pos="9741"/>
        </w:tabs>
        <w:autoSpaceDE w:val="0"/>
        <w:autoSpaceDN w:val="0"/>
        <w:adjustRightInd w:val="0"/>
        <w:spacing w:after="0" w:line="240" w:lineRule="auto"/>
        <w:ind w:left="680"/>
        <w:jc w:val="both"/>
        <w:rPr>
          <w:rFonts w:ascii="Arial" w:eastAsia="DengXian" w:hAnsi="Arial" w:cs="Arial"/>
          <w:color w:val="000000"/>
          <w:sz w:val="16"/>
          <w:szCs w:val="16"/>
          <w:lang w:val="en-CA" w:eastAsia="zh-CN"/>
          <w14:ligatures w14:val="standardContextual"/>
        </w:rPr>
      </w:pPr>
      <w:r w:rsidRPr="0099740B">
        <w:rPr>
          <w:rFonts w:ascii="Arial" w:eastAsia="DengXian" w:hAnsi="Arial" w:cs="Arial"/>
          <w:color w:val="000000"/>
          <w:sz w:val="16"/>
          <w:szCs w:val="16"/>
          <w:lang w:val="en-CA" w:eastAsia="zh-CN"/>
          <w14:ligatures w14:val="standardContextual"/>
        </w:rPr>
        <w:t xml:space="preserve">Current assets </w:t>
      </w:r>
      <w:r w:rsidRPr="0099740B">
        <w:rPr>
          <w:rFonts w:ascii="Arial" w:eastAsia="DengXian" w:hAnsi="Arial" w:cs="Arial"/>
          <w:color w:val="000000"/>
          <w:sz w:val="16"/>
          <w:szCs w:val="16"/>
          <w:lang w:val="en-CA" w:eastAsia="zh-CN"/>
          <w14:ligatures w14:val="standardContextual"/>
        </w:rPr>
        <w:tab/>
        <w:t>$</w:t>
      </w:r>
      <w:r w:rsidRPr="0099740B">
        <w:rPr>
          <w:rFonts w:ascii="Arial" w:eastAsia="DengXian" w:hAnsi="Arial" w:cs="Arial"/>
          <w:color w:val="000000"/>
          <w:sz w:val="16"/>
          <w:szCs w:val="16"/>
          <w:lang w:val="en-CA" w:eastAsia="zh-CN"/>
          <w14:ligatures w14:val="standardContextual"/>
        </w:rPr>
        <w:tab/>
        <w:t>1,325,632</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w:t>
      </w:r>
      <w:r w:rsidRPr="0099740B">
        <w:rPr>
          <w:rFonts w:ascii="Arial" w:eastAsia="DengXian" w:hAnsi="Arial" w:cs="Arial"/>
          <w:color w:val="000000"/>
          <w:sz w:val="16"/>
          <w:szCs w:val="16"/>
          <w:lang w:val="en-CA" w:eastAsia="zh-CN"/>
          <w14:ligatures w14:val="standardContextual"/>
        </w:rPr>
        <w:tab/>
        <w:t>341,240</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w:t>
      </w:r>
      <w:r w:rsidRPr="0099740B">
        <w:rPr>
          <w:rFonts w:ascii="Arial" w:eastAsia="DengXian" w:hAnsi="Arial" w:cs="Arial"/>
          <w:color w:val="000000"/>
          <w:sz w:val="16"/>
          <w:szCs w:val="16"/>
          <w:lang w:val="en-CA" w:eastAsia="zh-CN"/>
          <w14:ligatures w14:val="standardContextual"/>
        </w:rPr>
        <w:tab/>
        <w:t>53,815,162</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w:t>
      </w:r>
      <w:r w:rsidRPr="0099740B">
        <w:rPr>
          <w:rFonts w:ascii="Arial" w:eastAsia="DengXian" w:hAnsi="Arial" w:cs="Arial"/>
          <w:color w:val="000000"/>
          <w:sz w:val="16"/>
          <w:szCs w:val="16"/>
          <w:lang w:val="en-CA" w:eastAsia="zh-CN"/>
          <w14:ligatures w14:val="standardContextual"/>
        </w:rPr>
        <w:tab/>
        <w:t>55,482,034</w:t>
      </w:r>
      <w:r w:rsidRPr="0099740B">
        <w:rPr>
          <w:rFonts w:ascii="Arial" w:eastAsia="DengXian" w:hAnsi="Arial" w:cs="Arial"/>
          <w:color w:val="000000"/>
          <w:sz w:val="16"/>
          <w:szCs w:val="16"/>
          <w:lang w:val="en-CA" w:eastAsia="zh-CN"/>
          <w14:ligatures w14:val="standardContextual"/>
        </w:rPr>
        <w:tab/>
      </w:r>
    </w:p>
    <w:p w14:paraId="1FD1A115" w14:textId="77777777" w:rsidR="0099740B" w:rsidRPr="0099740B" w:rsidRDefault="0099740B" w:rsidP="0099740B">
      <w:pPr>
        <w:tabs>
          <w:tab w:val="left" w:pos="3456"/>
          <w:tab w:val="right" w:pos="4726"/>
          <w:tab w:val="left" w:pos="4752"/>
          <w:tab w:val="left" w:pos="4987"/>
          <w:tab w:val="right" w:pos="5661"/>
          <w:tab w:val="left" w:pos="6283"/>
          <w:tab w:val="left" w:pos="6688"/>
          <w:tab w:val="right" w:pos="7362"/>
          <w:tab w:val="left" w:pos="7984"/>
          <w:tab w:val="left" w:pos="8445"/>
          <w:tab w:val="right" w:pos="9715"/>
          <w:tab w:val="left" w:pos="9741"/>
        </w:tabs>
        <w:autoSpaceDE w:val="0"/>
        <w:autoSpaceDN w:val="0"/>
        <w:adjustRightInd w:val="0"/>
        <w:spacing w:after="0" w:line="240" w:lineRule="auto"/>
        <w:ind w:left="680"/>
        <w:jc w:val="both"/>
        <w:rPr>
          <w:rFonts w:ascii="Arial" w:eastAsia="DengXian" w:hAnsi="Arial" w:cs="Arial"/>
          <w:color w:val="000000"/>
          <w:sz w:val="16"/>
          <w:szCs w:val="16"/>
          <w:lang w:val="en-CA" w:eastAsia="zh-CN"/>
          <w14:ligatures w14:val="standardContextual"/>
        </w:rPr>
      </w:pPr>
      <w:r w:rsidRPr="0099740B">
        <w:rPr>
          <w:rFonts w:ascii="Arial" w:eastAsia="DengXian" w:hAnsi="Arial" w:cs="Arial"/>
          <w:color w:val="000000"/>
          <w:sz w:val="16"/>
          <w:szCs w:val="16"/>
          <w:lang w:val="en-CA" w:eastAsia="zh-CN"/>
          <w14:ligatures w14:val="standardContextual"/>
        </w:rPr>
        <w:t>Long</w:t>
      </w:r>
      <w:r w:rsidRPr="0099740B">
        <w:rPr>
          <w:rFonts w:ascii="Arial" w:eastAsia="DengXian" w:hAnsi="Arial" w:cs="Arial"/>
          <w:color w:val="000000"/>
          <w:sz w:val="16"/>
          <w:szCs w:val="16"/>
          <w:lang w:val="en-CA" w:eastAsia="zh-CN"/>
          <w14:ligatures w14:val="standardContextual"/>
        </w:rPr>
        <w:noBreakHyphen/>
        <w:t>term deposit</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107,890</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107,890</w:t>
      </w:r>
      <w:r w:rsidRPr="0099740B">
        <w:rPr>
          <w:rFonts w:ascii="Arial" w:eastAsia="DengXian" w:hAnsi="Arial" w:cs="Arial"/>
          <w:color w:val="000000"/>
          <w:sz w:val="16"/>
          <w:szCs w:val="16"/>
          <w:lang w:val="en-CA" w:eastAsia="zh-CN"/>
          <w14:ligatures w14:val="standardContextual"/>
        </w:rPr>
        <w:tab/>
      </w:r>
    </w:p>
    <w:p w14:paraId="481D5821" w14:textId="77777777" w:rsidR="0099740B" w:rsidRPr="0099740B" w:rsidRDefault="0099740B" w:rsidP="0099740B">
      <w:pPr>
        <w:tabs>
          <w:tab w:val="left" w:pos="3456"/>
          <w:tab w:val="right" w:pos="4726"/>
          <w:tab w:val="left" w:pos="4752"/>
          <w:tab w:val="left" w:pos="4987"/>
          <w:tab w:val="right" w:pos="6257"/>
          <w:tab w:val="left" w:pos="6283"/>
          <w:tab w:val="left" w:pos="6688"/>
          <w:tab w:val="right" w:pos="7362"/>
          <w:tab w:val="left" w:pos="7984"/>
          <w:tab w:val="left" w:pos="8445"/>
          <w:tab w:val="right" w:pos="9715"/>
          <w:tab w:val="left" w:pos="9741"/>
        </w:tabs>
        <w:autoSpaceDE w:val="0"/>
        <w:autoSpaceDN w:val="0"/>
        <w:adjustRightInd w:val="0"/>
        <w:spacing w:after="0" w:line="240" w:lineRule="auto"/>
        <w:ind w:left="680"/>
        <w:jc w:val="both"/>
        <w:rPr>
          <w:rFonts w:ascii="Arial" w:eastAsia="DengXian" w:hAnsi="Arial" w:cs="Arial"/>
          <w:color w:val="000000"/>
          <w:sz w:val="16"/>
          <w:szCs w:val="16"/>
          <w:lang w:val="en-CA" w:eastAsia="zh-CN"/>
          <w14:ligatures w14:val="standardContextual"/>
        </w:rPr>
      </w:pPr>
      <w:r w:rsidRPr="0099740B">
        <w:rPr>
          <w:rFonts w:ascii="Arial" w:eastAsia="DengXian" w:hAnsi="Arial" w:cs="Arial"/>
          <w:color w:val="000000"/>
          <w:sz w:val="16"/>
          <w:szCs w:val="16"/>
          <w:lang w:val="en-CA" w:eastAsia="zh-CN"/>
          <w14:ligatures w14:val="standardContextual"/>
        </w:rPr>
        <w:t xml:space="preserve">Property and </w:t>
      </w:r>
      <w:proofErr w:type="gramStart"/>
      <w:r w:rsidRPr="0099740B">
        <w:rPr>
          <w:rFonts w:ascii="Arial" w:eastAsia="DengXian" w:hAnsi="Arial" w:cs="Arial"/>
          <w:color w:val="000000"/>
          <w:sz w:val="16"/>
          <w:szCs w:val="16"/>
          <w:lang w:val="en-CA" w:eastAsia="zh-CN"/>
          <w14:ligatures w14:val="standardContextual"/>
        </w:rPr>
        <w:t xml:space="preserve">equipment  </w:t>
      </w:r>
      <w:r w:rsidRPr="0099740B">
        <w:rPr>
          <w:rFonts w:ascii="Arial" w:eastAsia="DengXian" w:hAnsi="Arial" w:cs="Arial"/>
          <w:color w:val="000000"/>
          <w:sz w:val="16"/>
          <w:szCs w:val="16"/>
          <w:lang w:val="en-CA" w:eastAsia="zh-CN"/>
          <w14:ligatures w14:val="standardContextual"/>
        </w:rPr>
        <w:tab/>
      </w:r>
      <w:proofErr w:type="gramEnd"/>
      <w:r w:rsidRPr="0099740B">
        <w:rPr>
          <w:rFonts w:ascii="Arial" w:eastAsia="DengXian" w:hAnsi="Arial" w:cs="Arial"/>
          <w:color w:val="000000"/>
          <w:sz w:val="16"/>
          <w:szCs w:val="16"/>
          <w:lang w:val="en-CA" w:eastAsia="zh-CN"/>
          <w14:ligatures w14:val="standardContextual"/>
        </w:rPr>
        <w:tab/>
        <w:t>12,256,402</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501,280</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12,757,682</w:t>
      </w:r>
      <w:r w:rsidRPr="0099740B">
        <w:rPr>
          <w:rFonts w:ascii="Arial" w:eastAsia="DengXian" w:hAnsi="Arial" w:cs="Arial"/>
          <w:color w:val="000000"/>
          <w:sz w:val="16"/>
          <w:szCs w:val="16"/>
          <w:lang w:val="en-CA" w:eastAsia="zh-CN"/>
          <w14:ligatures w14:val="standardContextual"/>
        </w:rPr>
        <w:tab/>
      </w:r>
    </w:p>
    <w:p w14:paraId="28CACEFE" w14:textId="77777777" w:rsidR="0099740B" w:rsidRPr="0099740B" w:rsidRDefault="0099740B" w:rsidP="0099740B">
      <w:pPr>
        <w:tabs>
          <w:tab w:val="left" w:pos="3456"/>
          <w:tab w:val="right" w:pos="4130"/>
          <w:tab w:val="left" w:pos="4752"/>
          <w:tab w:val="left" w:pos="4987"/>
          <w:tab w:val="right" w:pos="6257"/>
          <w:tab w:val="left" w:pos="6283"/>
          <w:tab w:val="left" w:pos="6688"/>
          <w:tab w:val="right" w:pos="7362"/>
          <w:tab w:val="left" w:pos="7984"/>
          <w:tab w:val="left" w:pos="8445"/>
          <w:tab w:val="right" w:pos="9715"/>
          <w:tab w:val="left" w:pos="9741"/>
        </w:tabs>
        <w:autoSpaceDE w:val="0"/>
        <w:autoSpaceDN w:val="0"/>
        <w:adjustRightInd w:val="0"/>
        <w:spacing w:after="0" w:line="240" w:lineRule="auto"/>
        <w:ind w:left="680"/>
        <w:jc w:val="both"/>
        <w:rPr>
          <w:rFonts w:ascii="Arial" w:eastAsia="DengXian" w:hAnsi="Arial" w:cs="Arial"/>
          <w:color w:val="000000"/>
          <w:sz w:val="16"/>
          <w:szCs w:val="16"/>
          <w:lang w:val="en-CA" w:eastAsia="zh-CN"/>
          <w14:ligatures w14:val="standardContextual"/>
        </w:rPr>
      </w:pPr>
      <w:r w:rsidRPr="0099740B">
        <w:rPr>
          <w:rFonts w:ascii="Arial" w:eastAsia="DengXian" w:hAnsi="Arial" w:cs="Arial"/>
          <w:color w:val="000000"/>
          <w:sz w:val="16"/>
          <w:szCs w:val="16"/>
          <w:lang w:val="en-CA" w:eastAsia="zh-CN"/>
          <w14:ligatures w14:val="standardContextual"/>
        </w:rPr>
        <w:t>Patents and licenses</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606,708</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606,708</w:t>
      </w:r>
      <w:r w:rsidRPr="0099740B">
        <w:rPr>
          <w:rFonts w:ascii="Arial" w:eastAsia="DengXian" w:hAnsi="Arial" w:cs="Arial"/>
          <w:color w:val="000000"/>
          <w:sz w:val="16"/>
          <w:szCs w:val="16"/>
          <w:lang w:val="en-CA" w:eastAsia="zh-CN"/>
          <w14:ligatures w14:val="standardContextual"/>
        </w:rPr>
        <w:tab/>
      </w:r>
    </w:p>
    <w:p w14:paraId="0773BA6C" w14:textId="77777777" w:rsidR="0099740B" w:rsidRPr="0099740B" w:rsidRDefault="0099740B" w:rsidP="0099740B">
      <w:pPr>
        <w:tabs>
          <w:tab w:val="left" w:pos="3456"/>
          <w:tab w:val="right" w:pos="4726"/>
          <w:tab w:val="left" w:pos="4752"/>
          <w:tab w:val="left" w:pos="4987"/>
          <w:tab w:val="right" w:pos="6257"/>
          <w:tab w:val="left" w:pos="6283"/>
          <w:tab w:val="left" w:pos="6688"/>
          <w:tab w:val="right" w:pos="7362"/>
          <w:tab w:val="left" w:pos="7984"/>
          <w:tab w:val="left" w:pos="8445"/>
          <w:tab w:val="right" w:pos="9715"/>
          <w:tab w:val="left" w:pos="9741"/>
        </w:tabs>
        <w:autoSpaceDE w:val="0"/>
        <w:autoSpaceDN w:val="0"/>
        <w:adjustRightInd w:val="0"/>
        <w:spacing w:after="0" w:line="240" w:lineRule="auto"/>
        <w:ind w:left="680"/>
        <w:jc w:val="both"/>
        <w:rPr>
          <w:rFonts w:ascii="Arial" w:eastAsia="DengXian" w:hAnsi="Arial" w:cs="Arial"/>
          <w:color w:val="000000"/>
          <w:sz w:val="16"/>
          <w:szCs w:val="16"/>
          <w:lang w:val="en-CA" w:eastAsia="zh-CN"/>
          <w14:ligatures w14:val="standardContextual"/>
        </w:rPr>
      </w:pPr>
      <w:r w:rsidRPr="0099740B">
        <w:rPr>
          <w:rFonts w:ascii="Arial" w:eastAsia="DengXian" w:hAnsi="Arial" w:cs="Arial"/>
          <w:color w:val="000000"/>
          <w:sz w:val="16"/>
          <w:szCs w:val="16"/>
          <w:lang w:val="en-CA" w:eastAsia="zh-CN"/>
          <w14:ligatures w14:val="standardContextual"/>
        </w:rPr>
        <w:t>Right of use assets</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677,553</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20,582</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698,135</w:t>
      </w:r>
      <w:r w:rsidRPr="0099740B">
        <w:rPr>
          <w:rFonts w:ascii="Arial" w:eastAsia="DengXian" w:hAnsi="Arial" w:cs="Arial"/>
          <w:color w:val="000000"/>
          <w:sz w:val="16"/>
          <w:szCs w:val="16"/>
          <w:lang w:val="en-CA" w:eastAsia="zh-CN"/>
          <w14:ligatures w14:val="standardContextual"/>
        </w:rPr>
        <w:tab/>
      </w:r>
    </w:p>
    <w:p w14:paraId="7DC37408" w14:textId="083C7845" w:rsidR="0099740B" w:rsidRPr="0099740B" w:rsidRDefault="0099740B" w:rsidP="0099740B">
      <w:pPr>
        <w:autoSpaceDE w:val="0"/>
        <w:autoSpaceDN w:val="0"/>
        <w:adjustRightInd w:val="0"/>
        <w:spacing w:after="0" w:line="240" w:lineRule="auto"/>
        <w:ind w:left="680"/>
        <w:rPr>
          <w:rFonts w:ascii="Arial" w:eastAsia="DengXian" w:hAnsi="Arial" w:cs="Arial"/>
          <w:color w:val="000000"/>
          <w:sz w:val="16"/>
          <w:szCs w:val="16"/>
          <w:lang w:val="en-CA" w:eastAsia="zh-CN"/>
          <w14:ligatures w14:val="standardContextual"/>
        </w:rPr>
      </w:pPr>
      <w:r w:rsidRPr="0099740B">
        <w:rPr>
          <w:rFonts w:ascii="Arial" w:eastAsia="DengXian" w:hAnsi="Arial" w:cs="Arial"/>
          <w:noProof/>
          <w:color w:val="000000"/>
          <w:sz w:val="24"/>
          <w:szCs w:val="24"/>
          <w:lang w:val="en-CA" w:eastAsia="zh-CN"/>
          <w14:ligatures w14:val="standardContextual"/>
        </w:rPr>
        <mc:AlternateContent>
          <mc:Choice Requires="wps">
            <w:drawing>
              <wp:anchor distT="0" distB="0" distL="114300" distR="114300" simplePos="0" relativeHeight="251747328" behindDoc="0" locked="0" layoutInCell="0" allowOverlap="1" wp14:anchorId="5AD78C27" wp14:editId="5BF95B9D">
                <wp:simplePos x="0" y="0"/>
                <wp:positionH relativeFrom="character">
                  <wp:posOffset>0</wp:posOffset>
                </wp:positionH>
                <wp:positionV relativeFrom="paragraph">
                  <wp:posOffset>52070</wp:posOffset>
                </wp:positionV>
                <wp:extent cx="5975350" cy="0"/>
                <wp:effectExtent l="0" t="0" r="0" b="0"/>
                <wp:wrapNone/>
                <wp:docPr id="208109224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35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E248FE" id="Straight Connector 36" o:spid="_x0000_s1026" style="position:absolute;z-index:25174732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 from="0,4.1pt" to="47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" o:allowincell="f" strokeweight="1pt"/>
            </w:pict>
          </mc:Fallback>
        </mc:AlternateContent>
      </w:r>
    </w:p>
    <w:p w14:paraId="4E475CF4" w14:textId="77777777" w:rsidR="0099740B" w:rsidRPr="0099740B" w:rsidRDefault="0099740B" w:rsidP="0099740B">
      <w:pPr>
        <w:tabs>
          <w:tab w:val="left" w:pos="3456"/>
          <w:tab w:val="right" w:pos="4726"/>
          <w:tab w:val="left" w:pos="4752"/>
          <w:tab w:val="left" w:pos="4987"/>
          <w:tab w:val="right" w:pos="6257"/>
          <w:tab w:val="left" w:pos="6283"/>
          <w:tab w:val="left" w:pos="6688"/>
          <w:tab w:val="right" w:pos="7958"/>
          <w:tab w:val="left" w:pos="7984"/>
          <w:tab w:val="left" w:pos="8445"/>
          <w:tab w:val="right" w:pos="9715"/>
          <w:tab w:val="left" w:pos="9741"/>
        </w:tabs>
        <w:autoSpaceDE w:val="0"/>
        <w:autoSpaceDN w:val="0"/>
        <w:adjustRightInd w:val="0"/>
        <w:spacing w:after="0" w:line="240" w:lineRule="auto"/>
        <w:ind w:left="680"/>
        <w:jc w:val="both"/>
        <w:rPr>
          <w:rFonts w:ascii="Arial" w:eastAsia="DengXian" w:hAnsi="Arial" w:cs="Arial"/>
          <w:color w:val="000000"/>
          <w:sz w:val="16"/>
          <w:szCs w:val="16"/>
          <w:lang w:val="en-CA" w:eastAsia="zh-CN"/>
          <w14:ligatures w14:val="standardContextual"/>
        </w:rPr>
      </w:pPr>
      <w:r w:rsidRPr="0099740B">
        <w:rPr>
          <w:rFonts w:ascii="Arial" w:eastAsia="DengXian" w:hAnsi="Arial" w:cs="Arial"/>
          <w:color w:val="000000"/>
          <w:sz w:val="16"/>
          <w:szCs w:val="16"/>
          <w:lang w:val="en-CA" w:eastAsia="zh-CN"/>
          <w14:ligatures w14:val="standardContextual"/>
        </w:rPr>
        <w:t>Total Assets</w:t>
      </w:r>
      <w:r w:rsidRPr="0099740B">
        <w:rPr>
          <w:rFonts w:ascii="Arial" w:eastAsia="DengXian" w:hAnsi="Arial" w:cs="Arial"/>
          <w:color w:val="000000"/>
          <w:sz w:val="16"/>
          <w:szCs w:val="16"/>
          <w:lang w:val="en-CA" w:eastAsia="zh-CN"/>
          <w14:ligatures w14:val="standardContextual"/>
        </w:rPr>
        <w:tab/>
        <w:t>$</w:t>
      </w:r>
      <w:r w:rsidRPr="0099740B">
        <w:rPr>
          <w:rFonts w:ascii="Arial" w:eastAsia="DengXian" w:hAnsi="Arial" w:cs="Arial"/>
          <w:color w:val="000000"/>
          <w:sz w:val="16"/>
          <w:szCs w:val="16"/>
          <w:lang w:val="en-CA" w:eastAsia="zh-CN"/>
          <w14:ligatures w14:val="standardContextual"/>
        </w:rPr>
        <w:tab/>
        <w:t>14,367,477</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w:t>
      </w:r>
      <w:r w:rsidRPr="0099740B">
        <w:rPr>
          <w:rFonts w:ascii="Arial" w:eastAsia="DengXian" w:hAnsi="Arial" w:cs="Arial"/>
          <w:color w:val="000000"/>
          <w:sz w:val="16"/>
          <w:szCs w:val="16"/>
          <w:lang w:val="en-CA" w:eastAsia="zh-CN"/>
          <w14:ligatures w14:val="standardContextual"/>
        </w:rPr>
        <w:tab/>
        <w:t>1,469,810</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w:t>
      </w:r>
      <w:r w:rsidRPr="0099740B">
        <w:rPr>
          <w:rFonts w:ascii="Arial" w:eastAsia="DengXian" w:hAnsi="Arial" w:cs="Arial"/>
          <w:color w:val="000000"/>
          <w:sz w:val="16"/>
          <w:szCs w:val="16"/>
          <w:lang w:val="en-CA" w:eastAsia="zh-CN"/>
          <w14:ligatures w14:val="standardContextual"/>
        </w:rPr>
        <w:tab/>
        <w:t>53,815,162</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w:t>
      </w:r>
      <w:r w:rsidRPr="0099740B">
        <w:rPr>
          <w:rFonts w:ascii="Arial" w:eastAsia="DengXian" w:hAnsi="Arial" w:cs="Arial"/>
          <w:color w:val="000000"/>
          <w:sz w:val="16"/>
          <w:szCs w:val="16"/>
          <w:lang w:val="en-CA" w:eastAsia="zh-CN"/>
          <w14:ligatures w14:val="standardContextual"/>
        </w:rPr>
        <w:tab/>
        <w:t>69,652,449</w:t>
      </w:r>
      <w:r w:rsidRPr="0099740B">
        <w:rPr>
          <w:rFonts w:ascii="Arial" w:eastAsia="DengXian" w:hAnsi="Arial" w:cs="Arial"/>
          <w:color w:val="000000"/>
          <w:sz w:val="16"/>
          <w:szCs w:val="16"/>
          <w:lang w:val="en-CA" w:eastAsia="zh-CN"/>
          <w14:ligatures w14:val="standardContextual"/>
        </w:rPr>
        <w:tab/>
      </w:r>
    </w:p>
    <w:p w14:paraId="22C5D4D5" w14:textId="1581EF63" w:rsidR="0099740B" w:rsidRPr="0099740B" w:rsidRDefault="0099740B" w:rsidP="0099740B">
      <w:pPr>
        <w:autoSpaceDE w:val="0"/>
        <w:autoSpaceDN w:val="0"/>
        <w:adjustRightInd w:val="0"/>
        <w:spacing w:after="0" w:line="240" w:lineRule="auto"/>
        <w:ind w:left="680"/>
        <w:rPr>
          <w:rFonts w:ascii="Arial" w:eastAsia="DengXian" w:hAnsi="Arial" w:cs="Arial"/>
          <w:color w:val="000000"/>
          <w:sz w:val="16"/>
          <w:szCs w:val="16"/>
          <w:lang w:val="en-CA" w:eastAsia="zh-CN"/>
          <w14:ligatures w14:val="standardContextual"/>
        </w:rPr>
      </w:pPr>
      <w:r w:rsidRPr="0099740B">
        <w:rPr>
          <w:rFonts w:ascii="Arial" w:eastAsia="DengXian" w:hAnsi="Arial" w:cs="Arial"/>
          <w:noProof/>
          <w:color w:val="000000"/>
          <w:sz w:val="24"/>
          <w:szCs w:val="24"/>
          <w:lang w:val="en-CA" w:eastAsia="zh-CN"/>
          <w14:ligatures w14:val="standardContextual"/>
        </w:rPr>
        <mc:AlternateContent>
          <mc:Choice Requires="wps">
            <w:drawing>
              <wp:anchor distT="0" distB="0" distL="114300" distR="114300" simplePos="0" relativeHeight="251748352" behindDoc="0" locked="0" layoutInCell="0" allowOverlap="1" wp14:anchorId="1A28AA55" wp14:editId="77FBE4B5">
                <wp:simplePos x="0" y="0"/>
                <wp:positionH relativeFrom="character">
                  <wp:posOffset>0</wp:posOffset>
                </wp:positionH>
                <wp:positionV relativeFrom="paragraph">
                  <wp:posOffset>52070</wp:posOffset>
                </wp:positionV>
                <wp:extent cx="5975350" cy="0"/>
                <wp:effectExtent l="0" t="0" r="0" b="0"/>
                <wp:wrapNone/>
                <wp:docPr id="793979201"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35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9A28B0" id="Straight Connector 35" o:spid="_x0000_s1026" style="position:absolute;z-index:251748352;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 from="0,4.1pt" to="47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" o:allowincell="f" strokeweight="1pt"/>
            </w:pict>
          </mc:Fallback>
        </mc:AlternateContent>
      </w:r>
    </w:p>
    <w:p w14:paraId="76F98F7E" w14:textId="77777777" w:rsidR="0099740B" w:rsidRDefault="0099740B" w:rsidP="002B1607">
      <w:pPr>
        <w:widowControl/>
        <w:spacing w:after="120"/>
        <w:jc w:val="both"/>
        <w:rPr>
          <w:rFonts w:ascii="Times New Roman" w:eastAsia="Times New Roman" w:hAnsi="Times New Roman"/>
          <w:lang w:val="en-CA"/>
        </w:rPr>
      </w:pPr>
    </w:p>
    <w:p w14:paraId="65605999" w14:textId="2457AA67" w:rsidR="0099740B" w:rsidRPr="0099740B" w:rsidRDefault="0099740B" w:rsidP="0099740B">
      <w:pPr>
        <w:autoSpaceDE w:val="0"/>
        <w:autoSpaceDN w:val="0"/>
        <w:adjustRightInd w:val="0"/>
        <w:spacing w:after="0" w:line="240" w:lineRule="auto"/>
        <w:ind w:left="680"/>
        <w:rPr>
          <w:rFonts w:ascii="Arial" w:eastAsia="DengXian" w:hAnsi="Arial" w:cs="Arial"/>
          <w:color w:val="000000"/>
          <w:sz w:val="16"/>
          <w:szCs w:val="16"/>
          <w:lang w:val="en-CA" w:eastAsia="zh-CN"/>
          <w14:ligatures w14:val="standardContextual"/>
        </w:rPr>
      </w:pPr>
      <w:r w:rsidRPr="0099740B">
        <w:rPr>
          <w:rFonts w:ascii="Arial" w:eastAsia="DengXian" w:hAnsi="Arial" w:cs="Arial"/>
          <w:noProof/>
          <w:color w:val="000000"/>
          <w:sz w:val="24"/>
          <w:szCs w:val="24"/>
          <w:lang w:val="en-CA" w:eastAsia="zh-CN"/>
          <w14:ligatures w14:val="standardContextual"/>
        </w:rPr>
        <mc:AlternateContent>
          <mc:Choice Requires="wps">
            <w:drawing>
              <wp:anchor distT="0" distB="0" distL="114300" distR="114300" simplePos="0" relativeHeight="251750400" behindDoc="0" locked="0" layoutInCell="0" allowOverlap="1" wp14:anchorId="40DF3EF5" wp14:editId="3B6171CD">
                <wp:simplePos x="0" y="0"/>
                <wp:positionH relativeFrom="character">
                  <wp:posOffset>0</wp:posOffset>
                </wp:positionH>
                <wp:positionV relativeFrom="paragraph">
                  <wp:posOffset>0</wp:posOffset>
                </wp:positionV>
                <wp:extent cx="5975350" cy="0"/>
                <wp:effectExtent l="0" t="0" r="0" b="0"/>
                <wp:wrapNone/>
                <wp:docPr id="1533773517"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35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51B548" id="Straight Connector 54" o:spid="_x0000_s1026" style="position:absolute;z-index:251750400;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 from="0,0" to="47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" o:allowincell="f" strokeweight="1pt"/>
            </w:pict>
          </mc:Fallback>
        </mc:AlternateContent>
      </w:r>
    </w:p>
    <w:p w14:paraId="3C5A1E98" w14:textId="38B307F1" w:rsidR="0099740B" w:rsidRPr="0099740B" w:rsidRDefault="0099740B" w:rsidP="0099740B">
      <w:pPr>
        <w:tabs>
          <w:tab w:val="left" w:pos="3798"/>
          <w:tab w:val="left" w:pos="5668"/>
          <w:tab w:val="left" w:pos="7086"/>
          <w:tab w:val="left" w:pos="8503"/>
          <w:tab w:val="right" w:pos="9694"/>
        </w:tabs>
        <w:autoSpaceDE w:val="0"/>
        <w:autoSpaceDN w:val="0"/>
        <w:adjustRightInd w:val="0"/>
        <w:spacing w:after="0" w:line="240" w:lineRule="auto"/>
        <w:ind w:left="680"/>
        <w:jc w:val="both"/>
        <w:rPr>
          <w:rFonts w:ascii="Arial" w:eastAsia="DengXian" w:hAnsi="Arial" w:cs="Arial"/>
          <w:color w:val="000000"/>
          <w:sz w:val="16"/>
          <w:szCs w:val="16"/>
          <w:lang w:val="en-CA" w:eastAsia="zh-CN"/>
          <w14:ligatures w14:val="standardContextual"/>
        </w:rPr>
      </w:pPr>
      <w:r w:rsidRPr="0099740B">
        <w:rPr>
          <w:rFonts w:ascii="Arial" w:eastAsia="DengXian" w:hAnsi="Arial" w:cs="Arial"/>
          <w:noProof/>
          <w:color w:val="000000"/>
          <w:sz w:val="24"/>
          <w:szCs w:val="24"/>
          <w:lang w:val="en-CA" w:eastAsia="zh-CN"/>
          <w14:ligatures w14:val="standardContextual"/>
        </w:rPr>
        <mc:AlternateContent>
          <mc:Choice Requires="wps">
            <w:drawing>
              <wp:anchor distT="0" distB="0" distL="114300" distR="114300" simplePos="0" relativeHeight="251751424" behindDoc="0" locked="0" layoutInCell="0" allowOverlap="1" wp14:anchorId="4F7F211C" wp14:editId="1495CA60">
                <wp:simplePos x="0" y="0"/>
                <wp:positionH relativeFrom="character">
                  <wp:posOffset>8255</wp:posOffset>
                </wp:positionH>
                <wp:positionV relativeFrom="paragraph">
                  <wp:posOffset>118110</wp:posOffset>
                </wp:positionV>
                <wp:extent cx="5975350" cy="0"/>
                <wp:effectExtent l="0" t="0" r="0" b="0"/>
                <wp:wrapNone/>
                <wp:docPr id="383736984"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35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53BD0D" id="Straight Connector 53" o:spid="_x0000_s1026" style="position:absolute;z-index:251751424;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 from=".65pt,9.3pt" to="471.1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" o:allowincell="f" strokeweight="1pt"/>
            </w:pict>
          </mc:Fallback>
        </mc:AlternateContent>
      </w:r>
      <w:r w:rsidRPr="0099740B">
        <w:rPr>
          <w:rFonts w:ascii="Arial" w:eastAsia="DengXian" w:hAnsi="Arial" w:cs="Arial"/>
          <w:color w:val="000000"/>
          <w:sz w:val="16"/>
          <w:szCs w:val="16"/>
          <w:lang w:val="en-CA" w:eastAsia="zh-CN"/>
          <w14:ligatures w14:val="standardContextual"/>
        </w:rPr>
        <w:t>For the Nine Months Ended September 30,</w:t>
      </w:r>
      <w:r w:rsidRPr="0099740B">
        <w:rPr>
          <w:rFonts w:ascii="Arial" w:eastAsia="DengXian" w:hAnsi="Arial" w:cs="Arial"/>
          <w:color w:val="000000"/>
          <w:sz w:val="16"/>
          <w:szCs w:val="16"/>
          <w:lang w:val="en-CA" w:eastAsia="zh-CN"/>
          <w14:ligatures w14:val="standardContextual"/>
        </w:rPr>
        <w:tab/>
        <w:t>Asia</w:t>
      </w:r>
      <w:r w:rsidRPr="0099740B">
        <w:rPr>
          <w:rFonts w:ascii="Arial" w:eastAsia="DengXian" w:hAnsi="Arial" w:cs="Arial"/>
          <w:color w:val="000000"/>
          <w:sz w:val="16"/>
          <w:szCs w:val="16"/>
          <w:lang w:val="en-CA" w:eastAsia="zh-CN"/>
          <w14:ligatures w14:val="standardContextual"/>
        </w:rPr>
        <w:tab/>
        <w:t>US</w:t>
      </w:r>
      <w:r w:rsidRPr="0099740B">
        <w:rPr>
          <w:rFonts w:ascii="Arial" w:eastAsia="DengXian" w:hAnsi="Arial" w:cs="Arial"/>
          <w:color w:val="000000"/>
          <w:sz w:val="16"/>
          <w:szCs w:val="16"/>
          <w:lang w:val="en-CA" w:eastAsia="zh-CN"/>
          <w14:ligatures w14:val="standardContextual"/>
        </w:rPr>
        <w:tab/>
        <w:t>Canada</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Consolidated</w:t>
      </w:r>
    </w:p>
    <w:p w14:paraId="68548927" w14:textId="32DBF4EE" w:rsidR="0099740B" w:rsidRPr="0099740B" w:rsidRDefault="0099740B" w:rsidP="0099740B">
      <w:pPr>
        <w:tabs>
          <w:tab w:val="left" w:pos="3456"/>
          <w:tab w:val="right" w:pos="4726"/>
          <w:tab w:val="left" w:pos="4752"/>
          <w:tab w:val="left" w:pos="4987"/>
          <w:tab w:val="right" w:pos="5661"/>
          <w:tab w:val="left" w:pos="6283"/>
          <w:tab w:val="left" w:pos="6688"/>
          <w:tab w:val="right" w:pos="7362"/>
          <w:tab w:val="left" w:pos="7984"/>
          <w:tab w:val="left" w:pos="8445"/>
          <w:tab w:val="right" w:pos="9715"/>
          <w:tab w:val="left" w:pos="9741"/>
        </w:tabs>
        <w:autoSpaceDE w:val="0"/>
        <w:autoSpaceDN w:val="0"/>
        <w:adjustRightInd w:val="0"/>
        <w:spacing w:after="0" w:line="240" w:lineRule="auto"/>
        <w:ind w:left="680"/>
        <w:jc w:val="both"/>
        <w:rPr>
          <w:rFonts w:ascii="Arial" w:eastAsia="DengXian" w:hAnsi="Arial" w:cs="Arial"/>
          <w:color w:val="000000"/>
          <w:sz w:val="16"/>
          <w:szCs w:val="16"/>
          <w:lang w:val="en-CA" w:eastAsia="zh-CN"/>
          <w14:ligatures w14:val="standardContextual"/>
        </w:rPr>
      </w:pPr>
      <w:r w:rsidRPr="0099740B">
        <w:rPr>
          <w:rFonts w:ascii="Arial" w:eastAsia="DengXian" w:hAnsi="Arial" w:cs="Arial"/>
          <w:color w:val="000000"/>
          <w:sz w:val="16"/>
          <w:szCs w:val="16"/>
          <w:lang w:val="en-CA" w:eastAsia="zh-CN"/>
          <w14:ligatures w14:val="standardContextual"/>
        </w:rPr>
        <w:t>Revenue</w:t>
      </w:r>
      <w:r w:rsidRPr="0099740B">
        <w:rPr>
          <w:rFonts w:ascii="Arial" w:eastAsia="DengXian" w:hAnsi="Arial" w:cs="Arial"/>
          <w:color w:val="000000"/>
          <w:sz w:val="16"/>
          <w:szCs w:val="16"/>
          <w:lang w:val="en-CA" w:eastAsia="zh-CN"/>
          <w14:ligatures w14:val="standardContextual"/>
        </w:rPr>
        <w:tab/>
        <w:t>$</w:t>
      </w:r>
      <w:r w:rsidRPr="0099740B">
        <w:rPr>
          <w:rFonts w:ascii="Arial" w:eastAsia="DengXian" w:hAnsi="Arial" w:cs="Arial"/>
          <w:color w:val="000000"/>
          <w:sz w:val="16"/>
          <w:szCs w:val="16"/>
          <w:lang w:val="en-CA" w:eastAsia="zh-CN"/>
          <w14:ligatures w14:val="standardContextual"/>
        </w:rPr>
        <w:tab/>
        <w:t>12,395</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w:t>
      </w:r>
      <w:r w:rsidRPr="0099740B">
        <w:rPr>
          <w:rFonts w:ascii="Arial" w:eastAsia="DengXian" w:hAnsi="Arial" w:cs="Arial"/>
          <w:color w:val="000000"/>
          <w:sz w:val="16"/>
          <w:szCs w:val="16"/>
          <w:lang w:val="en-CA" w:eastAsia="zh-CN"/>
          <w14:ligatures w14:val="standardContextual"/>
        </w:rPr>
        <w:tab/>
        <w:t>-</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w:t>
      </w:r>
      <w:r w:rsidRPr="0099740B">
        <w:rPr>
          <w:rFonts w:ascii="Arial" w:eastAsia="DengXian" w:hAnsi="Arial" w:cs="Arial"/>
          <w:color w:val="000000"/>
          <w:sz w:val="16"/>
          <w:szCs w:val="16"/>
          <w:lang w:val="en-CA" w:eastAsia="zh-CN"/>
          <w14:ligatures w14:val="standardContextual"/>
        </w:rPr>
        <w:tab/>
        <w:t>-</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w:t>
      </w:r>
      <w:r w:rsidRPr="0099740B">
        <w:rPr>
          <w:rFonts w:ascii="Arial" w:eastAsia="DengXian" w:hAnsi="Arial" w:cs="Arial"/>
          <w:color w:val="000000"/>
          <w:sz w:val="16"/>
          <w:szCs w:val="16"/>
          <w:lang w:val="en-CA" w:eastAsia="zh-CN"/>
          <w14:ligatures w14:val="standardContextual"/>
        </w:rPr>
        <w:tab/>
        <w:t>12,395</w:t>
      </w:r>
      <w:r w:rsidRPr="0099740B">
        <w:rPr>
          <w:rFonts w:ascii="Arial" w:eastAsia="DengXian" w:hAnsi="Arial" w:cs="Arial"/>
          <w:color w:val="000000"/>
          <w:sz w:val="16"/>
          <w:szCs w:val="16"/>
          <w:lang w:val="en-CA" w:eastAsia="zh-CN"/>
          <w14:ligatures w14:val="standardContextual"/>
        </w:rPr>
        <w:tab/>
      </w:r>
    </w:p>
    <w:p w14:paraId="0E1E9881" w14:textId="297A72B7" w:rsidR="0099740B" w:rsidRPr="0099740B" w:rsidRDefault="0099740B" w:rsidP="0099740B">
      <w:pPr>
        <w:tabs>
          <w:tab w:val="left" w:pos="3456"/>
          <w:tab w:val="right" w:pos="4726"/>
          <w:tab w:val="left" w:pos="4752"/>
          <w:tab w:val="left" w:pos="4987"/>
          <w:tab w:val="right" w:pos="6257"/>
          <w:tab w:val="left" w:pos="6283"/>
          <w:tab w:val="left" w:pos="6688"/>
          <w:tab w:val="right" w:pos="7958"/>
          <w:tab w:val="left" w:pos="7984"/>
          <w:tab w:val="left" w:pos="8445"/>
          <w:tab w:val="right" w:pos="9715"/>
          <w:tab w:val="left" w:pos="9741"/>
        </w:tabs>
        <w:autoSpaceDE w:val="0"/>
        <w:autoSpaceDN w:val="0"/>
        <w:adjustRightInd w:val="0"/>
        <w:spacing w:after="0" w:line="240" w:lineRule="auto"/>
        <w:ind w:left="680"/>
        <w:jc w:val="both"/>
        <w:rPr>
          <w:rFonts w:ascii="Arial" w:eastAsia="DengXian" w:hAnsi="Arial" w:cs="Arial"/>
          <w:color w:val="000000"/>
          <w:sz w:val="16"/>
          <w:szCs w:val="16"/>
          <w:lang w:val="en-CA" w:eastAsia="zh-CN"/>
          <w14:ligatures w14:val="standardContextual"/>
        </w:rPr>
      </w:pPr>
      <w:r w:rsidRPr="0099740B">
        <w:rPr>
          <w:rFonts w:ascii="Arial" w:eastAsia="DengXian" w:hAnsi="Arial" w:cs="Arial"/>
          <w:color w:val="000000"/>
          <w:sz w:val="16"/>
          <w:szCs w:val="16"/>
          <w:lang w:val="en-CA" w:eastAsia="zh-CN"/>
          <w14:ligatures w14:val="standardContextual"/>
        </w:rPr>
        <w:t>Selling, marketing and administration</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(1,992,919)</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(5,490,578)</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(3,832,892)</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(11,316,389)</w:t>
      </w:r>
      <w:r w:rsidRPr="0099740B">
        <w:rPr>
          <w:rFonts w:ascii="Arial" w:eastAsia="DengXian" w:hAnsi="Arial" w:cs="Arial"/>
          <w:color w:val="000000"/>
          <w:sz w:val="16"/>
          <w:szCs w:val="16"/>
          <w:lang w:val="en-CA" w:eastAsia="zh-CN"/>
          <w14:ligatures w14:val="standardContextual"/>
        </w:rPr>
        <w:tab/>
      </w:r>
    </w:p>
    <w:p w14:paraId="46CD3F97" w14:textId="77777777" w:rsidR="0099740B" w:rsidRPr="0099740B" w:rsidRDefault="0099740B" w:rsidP="0099740B">
      <w:pPr>
        <w:tabs>
          <w:tab w:val="left" w:pos="3456"/>
          <w:tab w:val="right" w:pos="4726"/>
          <w:tab w:val="left" w:pos="4752"/>
          <w:tab w:val="left" w:pos="4987"/>
          <w:tab w:val="right" w:pos="6257"/>
          <w:tab w:val="left" w:pos="6283"/>
          <w:tab w:val="left" w:pos="6688"/>
          <w:tab w:val="right" w:pos="7958"/>
          <w:tab w:val="left" w:pos="7984"/>
          <w:tab w:val="left" w:pos="8445"/>
          <w:tab w:val="right" w:pos="9715"/>
          <w:tab w:val="left" w:pos="9741"/>
        </w:tabs>
        <w:autoSpaceDE w:val="0"/>
        <w:autoSpaceDN w:val="0"/>
        <w:adjustRightInd w:val="0"/>
        <w:spacing w:after="0" w:line="240" w:lineRule="auto"/>
        <w:ind w:left="680"/>
        <w:jc w:val="both"/>
        <w:rPr>
          <w:rFonts w:ascii="Arial" w:eastAsia="DengXian" w:hAnsi="Arial" w:cs="Arial"/>
          <w:color w:val="000000"/>
          <w:sz w:val="16"/>
          <w:szCs w:val="16"/>
          <w:lang w:val="en-CA" w:eastAsia="zh-CN"/>
          <w14:ligatures w14:val="standardContextual"/>
        </w:rPr>
      </w:pPr>
      <w:r w:rsidRPr="0099740B">
        <w:rPr>
          <w:rFonts w:ascii="Arial" w:eastAsia="DengXian" w:hAnsi="Arial" w:cs="Arial"/>
          <w:color w:val="000000"/>
          <w:sz w:val="16"/>
          <w:szCs w:val="16"/>
          <w:lang w:val="en-CA" w:eastAsia="zh-CN"/>
          <w14:ligatures w14:val="standardContextual"/>
        </w:rPr>
        <w:t>Research and development</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(4,230,451)</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(2,957,186)</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(131,270)</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(7,318,907)</w:t>
      </w:r>
      <w:r w:rsidRPr="0099740B">
        <w:rPr>
          <w:rFonts w:ascii="Arial" w:eastAsia="DengXian" w:hAnsi="Arial" w:cs="Arial"/>
          <w:color w:val="000000"/>
          <w:sz w:val="16"/>
          <w:szCs w:val="16"/>
          <w:lang w:val="en-CA" w:eastAsia="zh-CN"/>
          <w14:ligatures w14:val="standardContextual"/>
        </w:rPr>
        <w:tab/>
      </w:r>
    </w:p>
    <w:p w14:paraId="4B0D5C92" w14:textId="77777777" w:rsidR="0099740B" w:rsidRPr="0099740B" w:rsidRDefault="0099740B" w:rsidP="0099740B">
      <w:pPr>
        <w:tabs>
          <w:tab w:val="left" w:pos="3456"/>
          <w:tab w:val="right" w:pos="4726"/>
          <w:tab w:val="left" w:pos="4752"/>
          <w:tab w:val="left" w:pos="4987"/>
          <w:tab w:val="right" w:pos="6257"/>
          <w:tab w:val="left" w:pos="6283"/>
          <w:tab w:val="left" w:pos="6688"/>
          <w:tab w:val="right" w:pos="7362"/>
          <w:tab w:val="left" w:pos="7984"/>
          <w:tab w:val="left" w:pos="8445"/>
          <w:tab w:val="right" w:pos="9715"/>
          <w:tab w:val="left" w:pos="9741"/>
        </w:tabs>
        <w:autoSpaceDE w:val="0"/>
        <w:autoSpaceDN w:val="0"/>
        <w:adjustRightInd w:val="0"/>
        <w:spacing w:after="0" w:line="240" w:lineRule="auto"/>
        <w:ind w:left="680"/>
        <w:jc w:val="both"/>
        <w:rPr>
          <w:rFonts w:ascii="Arial" w:eastAsia="DengXian" w:hAnsi="Arial" w:cs="Arial"/>
          <w:color w:val="000000"/>
          <w:sz w:val="16"/>
          <w:szCs w:val="16"/>
          <w:lang w:val="en-CA" w:eastAsia="zh-CN"/>
          <w14:ligatures w14:val="standardContextual"/>
        </w:rPr>
      </w:pPr>
      <w:r w:rsidRPr="0099740B">
        <w:rPr>
          <w:rFonts w:ascii="Arial" w:eastAsia="DengXian" w:hAnsi="Arial" w:cs="Arial"/>
          <w:color w:val="000000"/>
          <w:sz w:val="16"/>
          <w:szCs w:val="16"/>
          <w:lang w:val="en-CA" w:eastAsia="zh-CN"/>
          <w14:ligatures w14:val="standardContextual"/>
        </w:rPr>
        <w:t>Interest</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(46,211)</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(24,857)</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(71,068)</w:t>
      </w:r>
      <w:r w:rsidRPr="0099740B">
        <w:rPr>
          <w:rFonts w:ascii="Arial" w:eastAsia="DengXian" w:hAnsi="Arial" w:cs="Arial"/>
          <w:color w:val="000000"/>
          <w:sz w:val="16"/>
          <w:szCs w:val="16"/>
          <w:lang w:val="en-CA" w:eastAsia="zh-CN"/>
          <w14:ligatures w14:val="standardContextual"/>
        </w:rPr>
        <w:tab/>
      </w:r>
    </w:p>
    <w:p w14:paraId="5AA52946" w14:textId="77777777" w:rsidR="0099740B" w:rsidRPr="0099740B" w:rsidRDefault="0099740B" w:rsidP="0099740B">
      <w:pPr>
        <w:autoSpaceDE w:val="0"/>
        <w:autoSpaceDN w:val="0"/>
        <w:adjustRightInd w:val="0"/>
        <w:spacing w:after="0" w:line="240" w:lineRule="auto"/>
        <w:ind w:left="680"/>
        <w:jc w:val="both"/>
        <w:rPr>
          <w:rFonts w:ascii="Arial" w:eastAsia="DengXian" w:hAnsi="Arial" w:cs="Arial"/>
          <w:color w:val="000000"/>
          <w:sz w:val="16"/>
          <w:szCs w:val="16"/>
          <w:lang w:val="en-CA" w:eastAsia="zh-CN"/>
          <w14:ligatures w14:val="standardContextual"/>
        </w:rPr>
      </w:pPr>
      <w:r w:rsidRPr="0099740B">
        <w:rPr>
          <w:rFonts w:ascii="Arial" w:eastAsia="DengXian" w:hAnsi="Arial" w:cs="Arial"/>
          <w:color w:val="000000"/>
          <w:sz w:val="16"/>
          <w:szCs w:val="16"/>
          <w:lang w:val="en-CA" w:eastAsia="zh-CN"/>
          <w14:ligatures w14:val="standardContextual"/>
        </w:rPr>
        <w:t xml:space="preserve">Fair value adjustment to derivative </w:t>
      </w:r>
    </w:p>
    <w:p w14:paraId="0D2D5346" w14:textId="77777777" w:rsidR="0099740B" w:rsidRPr="0099740B" w:rsidRDefault="0099740B" w:rsidP="0099740B">
      <w:pPr>
        <w:tabs>
          <w:tab w:val="left" w:pos="3456"/>
          <w:tab w:val="right" w:pos="4130"/>
          <w:tab w:val="left" w:pos="4752"/>
          <w:tab w:val="left" w:pos="4987"/>
          <w:tab w:val="right" w:pos="5661"/>
          <w:tab w:val="left" w:pos="6283"/>
          <w:tab w:val="left" w:pos="6688"/>
          <w:tab w:val="right" w:pos="7958"/>
          <w:tab w:val="left" w:pos="7984"/>
          <w:tab w:val="left" w:pos="8445"/>
          <w:tab w:val="right" w:pos="9715"/>
          <w:tab w:val="left" w:pos="9741"/>
        </w:tabs>
        <w:autoSpaceDE w:val="0"/>
        <w:autoSpaceDN w:val="0"/>
        <w:adjustRightInd w:val="0"/>
        <w:spacing w:after="0" w:line="240" w:lineRule="auto"/>
        <w:ind w:left="680"/>
        <w:jc w:val="both"/>
        <w:rPr>
          <w:rFonts w:ascii="Arial" w:eastAsia="DengXian" w:hAnsi="Arial" w:cs="Arial"/>
          <w:color w:val="000000"/>
          <w:sz w:val="16"/>
          <w:szCs w:val="16"/>
          <w:lang w:val="en-CA" w:eastAsia="zh-CN"/>
          <w14:ligatures w14:val="standardContextual"/>
        </w:rPr>
      </w:pPr>
      <w:r w:rsidRPr="0099740B">
        <w:rPr>
          <w:rFonts w:ascii="Arial" w:eastAsia="DengXian" w:hAnsi="Arial" w:cs="Arial"/>
          <w:color w:val="000000"/>
          <w:sz w:val="16"/>
          <w:szCs w:val="16"/>
          <w:lang w:val="en-CA" w:eastAsia="zh-CN"/>
          <w14:ligatures w14:val="standardContextual"/>
        </w:rPr>
        <w:t>warrant liability</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(8,186,421)</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(8,186,421)</w:t>
      </w:r>
      <w:r w:rsidRPr="0099740B">
        <w:rPr>
          <w:rFonts w:ascii="Arial" w:eastAsia="DengXian" w:hAnsi="Arial" w:cs="Arial"/>
          <w:color w:val="000000"/>
          <w:sz w:val="16"/>
          <w:szCs w:val="16"/>
          <w:lang w:val="en-CA" w:eastAsia="zh-CN"/>
          <w14:ligatures w14:val="standardContextual"/>
        </w:rPr>
        <w:tab/>
      </w:r>
    </w:p>
    <w:p w14:paraId="1EE06D0A" w14:textId="77777777" w:rsidR="0099740B" w:rsidRPr="0099740B" w:rsidRDefault="0099740B" w:rsidP="0099740B">
      <w:pPr>
        <w:autoSpaceDE w:val="0"/>
        <w:autoSpaceDN w:val="0"/>
        <w:adjustRightInd w:val="0"/>
        <w:spacing w:after="0" w:line="240" w:lineRule="auto"/>
        <w:ind w:left="680"/>
        <w:jc w:val="both"/>
        <w:rPr>
          <w:rFonts w:ascii="Arial" w:eastAsia="DengXian" w:hAnsi="Arial" w:cs="Arial"/>
          <w:color w:val="000000"/>
          <w:sz w:val="16"/>
          <w:szCs w:val="16"/>
          <w:lang w:val="en-CA" w:eastAsia="zh-CN"/>
          <w14:ligatures w14:val="standardContextual"/>
        </w:rPr>
      </w:pPr>
      <w:r w:rsidRPr="0099740B">
        <w:rPr>
          <w:rFonts w:ascii="Arial" w:eastAsia="DengXian" w:hAnsi="Arial" w:cs="Arial"/>
          <w:color w:val="000000"/>
          <w:sz w:val="16"/>
          <w:szCs w:val="16"/>
          <w:lang w:val="en-CA" w:eastAsia="zh-CN"/>
          <w14:ligatures w14:val="standardContextual"/>
        </w:rPr>
        <w:t>Other income, including interest</w:t>
      </w:r>
    </w:p>
    <w:p w14:paraId="22C3CC7C" w14:textId="77777777" w:rsidR="0099740B" w:rsidRPr="0099740B" w:rsidRDefault="0099740B" w:rsidP="0099740B">
      <w:pPr>
        <w:tabs>
          <w:tab w:val="left" w:pos="3456"/>
          <w:tab w:val="right" w:pos="4130"/>
          <w:tab w:val="left" w:pos="4752"/>
          <w:tab w:val="left" w:pos="4987"/>
          <w:tab w:val="right" w:pos="5661"/>
          <w:tab w:val="left" w:pos="6283"/>
          <w:tab w:val="left" w:pos="6688"/>
          <w:tab w:val="right" w:pos="7958"/>
          <w:tab w:val="left" w:pos="7984"/>
          <w:tab w:val="left" w:pos="8445"/>
          <w:tab w:val="right" w:pos="9715"/>
          <w:tab w:val="left" w:pos="9741"/>
        </w:tabs>
        <w:autoSpaceDE w:val="0"/>
        <w:autoSpaceDN w:val="0"/>
        <w:adjustRightInd w:val="0"/>
        <w:spacing w:after="0" w:line="240" w:lineRule="auto"/>
        <w:ind w:left="680"/>
        <w:jc w:val="both"/>
        <w:rPr>
          <w:rFonts w:ascii="Arial" w:eastAsia="DengXian" w:hAnsi="Arial" w:cs="Arial"/>
          <w:color w:val="000000"/>
          <w:sz w:val="16"/>
          <w:szCs w:val="16"/>
          <w:lang w:val="en-CA" w:eastAsia="zh-CN"/>
          <w14:ligatures w14:val="standardContextual"/>
        </w:rPr>
      </w:pPr>
      <w:r w:rsidRPr="0099740B">
        <w:rPr>
          <w:rFonts w:ascii="Arial" w:eastAsia="DengXian" w:hAnsi="Arial" w:cs="Arial"/>
          <w:color w:val="000000"/>
          <w:sz w:val="16"/>
          <w:szCs w:val="16"/>
          <w:lang w:val="en-CA" w:eastAsia="zh-CN"/>
          <w14:ligatures w14:val="standardContextual"/>
        </w:rPr>
        <w:t>and loan forgiveness</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443,806</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443,806</w:t>
      </w:r>
      <w:r w:rsidRPr="0099740B">
        <w:rPr>
          <w:rFonts w:ascii="Arial" w:eastAsia="DengXian" w:hAnsi="Arial" w:cs="Arial"/>
          <w:color w:val="000000"/>
          <w:sz w:val="16"/>
          <w:szCs w:val="16"/>
          <w:lang w:val="en-CA" w:eastAsia="zh-CN"/>
          <w14:ligatures w14:val="standardContextual"/>
        </w:rPr>
        <w:tab/>
      </w:r>
    </w:p>
    <w:p w14:paraId="4C887F32" w14:textId="18BCE72D" w:rsidR="0099740B" w:rsidRPr="0099740B" w:rsidRDefault="0099740B" w:rsidP="0099740B">
      <w:pPr>
        <w:autoSpaceDE w:val="0"/>
        <w:autoSpaceDN w:val="0"/>
        <w:adjustRightInd w:val="0"/>
        <w:spacing w:after="0" w:line="240" w:lineRule="auto"/>
        <w:ind w:left="680"/>
        <w:rPr>
          <w:rFonts w:ascii="Arial" w:eastAsia="DengXian" w:hAnsi="Arial" w:cs="Arial"/>
          <w:color w:val="000000"/>
          <w:sz w:val="16"/>
          <w:szCs w:val="16"/>
          <w:lang w:val="en-CA" w:eastAsia="zh-CN"/>
          <w14:ligatures w14:val="standardContextual"/>
        </w:rPr>
      </w:pPr>
      <w:r w:rsidRPr="0099740B">
        <w:rPr>
          <w:rFonts w:ascii="Arial" w:eastAsia="DengXian" w:hAnsi="Arial" w:cs="Arial"/>
          <w:noProof/>
          <w:color w:val="000000"/>
          <w:sz w:val="24"/>
          <w:szCs w:val="24"/>
          <w:lang w:val="en-CA" w:eastAsia="zh-CN"/>
          <w14:ligatures w14:val="standardContextual"/>
        </w:rPr>
        <mc:AlternateContent>
          <mc:Choice Requires="wps">
            <w:drawing>
              <wp:anchor distT="0" distB="0" distL="114300" distR="114300" simplePos="0" relativeHeight="251752448" behindDoc="0" locked="0" layoutInCell="0" allowOverlap="1" wp14:anchorId="5B25FC6C" wp14:editId="35BC6D61">
                <wp:simplePos x="0" y="0"/>
                <wp:positionH relativeFrom="character">
                  <wp:posOffset>0</wp:posOffset>
                </wp:positionH>
                <wp:positionV relativeFrom="paragraph">
                  <wp:posOffset>52070</wp:posOffset>
                </wp:positionV>
                <wp:extent cx="5975350" cy="0"/>
                <wp:effectExtent l="0" t="0" r="0" b="0"/>
                <wp:wrapNone/>
                <wp:docPr id="109891458"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35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9E50FE" id="Straight Connector 52" o:spid="_x0000_s1026" style="position:absolute;z-index:25175244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 from="0,4.1pt" to="47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" o:allowincell="f" strokeweight="1pt"/>
            </w:pict>
          </mc:Fallback>
        </mc:AlternateContent>
      </w:r>
    </w:p>
    <w:p w14:paraId="2B848C50" w14:textId="77777777" w:rsidR="0099740B" w:rsidRPr="0099740B" w:rsidRDefault="0099740B" w:rsidP="0099740B">
      <w:pPr>
        <w:tabs>
          <w:tab w:val="left" w:pos="3456"/>
          <w:tab w:val="right" w:pos="4726"/>
          <w:tab w:val="left" w:pos="4752"/>
          <w:tab w:val="left" w:pos="4987"/>
          <w:tab w:val="right" w:pos="6257"/>
          <w:tab w:val="left" w:pos="6283"/>
          <w:tab w:val="left" w:pos="6688"/>
          <w:tab w:val="right" w:pos="7958"/>
          <w:tab w:val="left" w:pos="7984"/>
          <w:tab w:val="left" w:pos="8445"/>
          <w:tab w:val="right" w:pos="9715"/>
          <w:tab w:val="left" w:pos="9741"/>
        </w:tabs>
        <w:autoSpaceDE w:val="0"/>
        <w:autoSpaceDN w:val="0"/>
        <w:adjustRightInd w:val="0"/>
        <w:spacing w:after="0" w:line="240" w:lineRule="auto"/>
        <w:ind w:left="680"/>
        <w:jc w:val="both"/>
        <w:rPr>
          <w:rFonts w:ascii="Arial" w:eastAsia="DengXian" w:hAnsi="Arial" w:cs="Arial"/>
          <w:color w:val="000000"/>
          <w:sz w:val="16"/>
          <w:szCs w:val="16"/>
          <w:lang w:val="en-CA" w:eastAsia="zh-CN"/>
          <w14:ligatures w14:val="standardContextual"/>
        </w:rPr>
      </w:pPr>
      <w:r w:rsidRPr="0099740B">
        <w:rPr>
          <w:rFonts w:ascii="Arial" w:eastAsia="DengXian" w:hAnsi="Arial" w:cs="Arial"/>
          <w:color w:val="000000"/>
          <w:sz w:val="16"/>
          <w:szCs w:val="16"/>
          <w:lang w:val="en-CA" w:eastAsia="zh-CN"/>
          <w14:ligatures w14:val="standardContextual"/>
        </w:rPr>
        <w:t>Net loss</w:t>
      </w:r>
      <w:r w:rsidRPr="0099740B">
        <w:rPr>
          <w:rFonts w:ascii="Arial" w:eastAsia="DengXian" w:hAnsi="Arial" w:cs="Arial"/>
          <w:color w:val="000000"/>
          <w:sz w:val="16"/>
          <w:szCs w:val="16"/>
          <w:lang w:val="en-CA" w:eastAsia="zh-CN"/>
          <w14:ligatures w14:val="standardContextual"/>
        </w:rPr>
        <w:tab/>
        <w:t>$</w:t>
      </w:r>
      <w:r w:rsidRPr="0099740B">
        <w:rPr>
          <w:rFonts w:ascii="Arial" w:eastAsia="DengXian" w:hAnsi="Arial" w:cs="Arial"/>
          <w:color w:val="000000"/>
          <w:sz w:val="16"/>
          <w:szCs w:val="16"/>
          <w:lang w:val="en-CA" w:eastAsia="zh-CN"/>
          <w14:ligatures w14:val="standardContextual"/>
        </w:rPr>
        <w:tab/>
        <w:t>(6,257,186)</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w:t>
      </w:r>
      <w:r w:rsidRPr="0099740B">
        <w:rPr>
          <w:rFonts w:ascii="Arial" w:eastAsia="DengXian" w:hAnsi="Arial" w:cs="Arial"/>
          <w:color w:val="000000"/>
          <w:sz w:val="16"/>
          <w:szCs w:val="16"/>
          <w:lang w:val="en-CA" w:eastAsia="zh-CN"/>
          <w14:ligatures w14:val="standardContextual"/>
        </w:rPr>
        <w:tab/>
        <w:t>(8,472,621)</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w:t>
      </w:r>
      <w:r w:rsidRPr="0099740B">
        <w:rPr>
          <w:rFonts w:ascii="Arial" w:eastAsia="DengXian" w:hAnsi="Arial" w:cs="Arial"/>
          <w:color w:val="000000"/>
          <w:sz w:val="16"/>
          <w:szCs w:val="16"/>
          <w:lang w:val="en-CA" w:eastAsia="zh-CN"/>
          <w14:ligatures w14:val="standardContextual"/>
        </w:rPr>
        <w:tab/>
        <w:t>(11,706,777)</w:t>
      </w:r>
      <w:r w:rsidRPr="0099740B">
        <w:rPr>
          <w:rFonts w:ascii="Arial" w:eastAsia="DengXian" w:hAnsi="Arial" w:cs="Arial"/>
          <w:color w:val="000000"/>
          <w:sz w:val="16"/>
          <w:szCs w:val="16"/>
          <w:lang w:val="en-CA" w:eastAsia="zh-CN"/>
          <w14:ligatures w14:val="standardContextual"/>
        </w:rPr>
        <w:tab/>
      </w:r>
      <w:r w:rsidRPr="0099740B">
        <w:rPr>
          <w:rFonts w:ascii="Arial" w:eastAsia="DengXian" w:hAnsi="Arial" w:cs="Arial"/>
          <w:color w:val="000000"/>
          <w:sz w:val="16"/>
          <w:szCs w:val="16"/>
          <w:lang w:val="en-CA" w:eastAsia="zh-CN"/>
          <w14:ligatures w14:val="standardContextual"/>
        </w:rPr>
        <w:tab/>
        <w:t>$</w:t>
      </w:r>
      <w:r w:rsidRPr="0099740B">
        <w:rPr>
          <w:rFonts w:ascii="Arial" w:eastAsia="DengXian" w:hAnsi="Arial" w:cs="Arial"/>
          <w:color w:val="000000"/>
          <w:sz w:val="16"/>
          <w:szCs w:val="16"/>
          <w:lang w:val="en-CA" w:eastAsia="zh-CN"/>
          <w14:ligatures w14:val="standardContextual"/>
        </w:rPr>
        <w:tab/>
        <w:t>(26,436,584)</w:t>
      </w:r>
      <w:r w:rsidRPr="0099740B">
        <w:rPr>
          <w:rFonts w:ascii="Arial" w:eastAsia="DengXian" w:hAnsi="Arial" w:cs="Arial"/>
          <w:color w:val="000000"/>
          <w:sz w:val="16"/>
          <w:szCs w:val="16"/>
          <w:lang w:val="en-CA" w:eastAsia="zh-CN"/>
          <w14:ligatures w14:val="standardContextual"/>
        </w:rPr>
        <w:tab/>
      </w:r>
    </w:p>
    <w:p w14:paraId="1707A92A" w14:textId="77296F87" w:rsidR="0099740B" w:rsidRPr="0099740B" w:rsidRDefault="0099740B" w:rsidP="0099740B">
      <w:pPr>
        <w:autoSpaceDE w:val="0"/>
        <w:autoSpaceDN w:val="0"/>
        <w:adjustRightInd w:val="0"/>
        <w:spacing w:after="0" w:line="240" w:lineRule="auto"/>
        <w:ind w:left="680"/>
        <w:rPr>
          <w:rFonts w:ascii="Arial" w:eastAsia="DengXian" w:hAnsi="Arial" w:cs="Arial"/>
          <w:color w:val="000000"/>
          <w:sz w:val="16"/>
          <w:szCs w:val="16"/>
          <w:lang w:val="en-CA" w:eastAsia="zh-CN"/>
          <w14:ligatures w14:val="standardContextual"/>
        </w:rPr>
      </w:pPr>
      <w:r w:rsidRPr="0099740B">
        <w:rPr>
          <w:rFonts w:ascii="Arial" w:eastAsia="DengXian" w:hAnsi="Arial" w:cs="Arial"/>
          <w:noProof/>
          <w:color w:val="000000"/>
          <w:sz w:val="24"/>
          <w:szCs w:val="24"/>
          <w:lang w:val="en-CA" w:eastAsia="zh-CN"/>
          <w14:ligatures w14:val="standardContextual"/>
        </w:rPr>
        <mc:AlternateContent>
          <mc:Choice Requires="wps">
            <w:drawing>
              <wp:anchor distT="0" distB="0" distL="114300" distR="114300" simplePos="0" relativeHeight="251753472" behindDoc="0" locked="0" layoutInCell="0" allowOverlap="1" wp14:anchorId="5B519F7D" wp14:editId="1414A5CD">
                <wp:simplePos x="0" y="0"/>
                <wp:positionH relativeFrom="character">
                  <wp:posOffset>0</wp:posOffset>
                </wp:positionH>
                <wp:positionV relativeFrom="paragraph">
                  <wp:posOffset>52070</wp:posOffset>
                </wp:positionV>
                <wp:extent cx="5975350" cy="0"/>
                <wp:effectExtent l="0" t="0" r="0" b="0"/>
                <wp:wrapNone/>
                <wp:docPr id="1479581825"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35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1F4BDA" id="Straight Connector 51" o:spid="_x0000_s1026" style="position:absolute;z-index:251753472;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 from="0,4.1pt" to="47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" o:allowincell="f" strokeweight="1pt"/>
            </w:pict>
          </mc:Fallback>
        </mc:AlternateContent>
      </w:r>
    </w:p>
    <w:p w14:paraId="3751315B" w14:textId="77777777" w:rsidR="0099740B" w:rsidRPr="0099740B" w:rsidRDefault="0099740B" w:rsidP="002B1607">
      <w:pPr>
        <w:widowControl/>
        <w:spacing w:after="120"/>
        <w:jc w:val="both"/>
        <w:rPr>
          <w:rFonts w:ascii="Times New Roman" w:eastAsia="Times New Roman" w:hAnsi="Times New Roman"/>
          <w:lang w:val="en-CA"/>
        </w:rPr>
      </w:pPr>
    </w:p>
    <w:bookmarkEnd w:id="14"/>
    <w:p w14:paraId="5EAB5C77" w14:textId="6578BB73" w:rsidR="000F0A0B" w:rsidRPr="00233B8E" w:rsidRDefault="004928E7" w:rsidP="00233B8E">
      <w:pPr>
        <w:keepNext/>
        <w:widowControl/>
        <w:spacing w:before="160" w:after="50"/>
        <w:jc w:val="both"/>
        <w:outlineLvl w:val="0"/>
        <w:rPr>
          <w:rFonts w:ascii="Times New Roman" w:eastAsia="Times New Roman" w:hAnsi="Times New Roman"/>
          <w:b/>
          <w:i/>
        </w:rPr>
      </w:pPr>
      <w:r w:rsidRPr="00233B8E">
        <w:rPr>
          <w:rFonts w:ascii="Times New Roman" w:eastAsia="Times New Roman" w:hAnsi="Times New Roman"/>
          <w:b/>
          <w:i/>
        </w:rPr>
        <w:t>Liquidity and Capital Resources</w:t>
      </w:r>
    </w:p>
    <w:p w14:paraId="4F2F15D2" w14:textId="32BFD20D" w:rsidR="00050961" w:rsidRDefault="004928E7" w:rsidP="0023210C">
      <w:pPr>
        <w:spacing w:before="120" w:after="120"/>
        <w:jc w:val="both"/>
        <w:rPr>
          <w:rFonts w:ascii="Times New Roman" w:hAnsi="Times New Roman"/>
          <w:color w:val="000000" w:themeColor="text1"/>
        </w:rPr>
      </w:pPr>
      <w:r w:rsidRPr="009639C7">
        <w:rPr>
          <w:rFonts w:ascii="Times New Roman" w:eastAsia="Times New Roman" w:hAnsi="Times New Roman"/>
          <w:color w:val="000000"/>
          <w:lang w:val="en-CA" w:eastAsia="en-CA"/>
        </w:rPr>
        <w:t>The Company had working capital of</w:t>
      </w:r>
      <w:r w:rsidR="002A6118">
        <w:rPr>
          <w:rFonts w:ascii="Times New Roman" w:eastAsia="Times New Roman" w:hAnsi="Times New Roman"/>
          <w:color w:val="000000"/>
          <w:lang w:val="en-CA" w:eastAsia="en-CA"/>
        </w:rPr>
        <w:t xml:space="preserve"> </w:t>
      </w:r>
      <w:r w:rsidR="00F9258B">
        <w:rPr>
          <w:rFonts w:ascii="Times New Roman" w:eastAsia="Times New Roman" w:hAnsi="Times New Roman"/>
          <w:color w:val="000000"/>
          <w:lang w:val="en-CA" w:eastAsia="en-CA"/>
        </w:rPr>
        <w:t>$</w:t>
      </w:r>
      <w:r w:rsidR="00841DFA">
        <w:rPr>
          <w:rFonts w:ascii="Times New Roman" w:eastAsia="Times New Roman" w:hAnsi="Times New Roman"/>
          <w:color w:val="000000"/>
          <w:lang w:val="en-CA" w:eastAsia="en-CA"/>
        </w:rPr>
        <w:t>52,925,789</w:t>
      </w:r>
      <w:r w:rsidR="001868BB">
        <w:rPr>
          <w:rFonts w:ascii="Times New Roman" w:eastAsia="Times New Roman" w:hAnsi="Times New Roman"/>
          <w:color w:val="000000"/>
          <w:lang w:val="en-CA" w:eastAsia="en-CA"/>
        </w:rPr>
        <w:t xml:space="preserve"> on </w:t>
      </w:r>
      <w:r w:rsidR="000E08E0">
        <w:rPr>
          <w:rFonts w:ascii="Times New Roman" w:eastAsia="Times New Roman" w:hAnsi="Times New Roman"/>
          <w:color w:val="000000"/>
          <w:lang w:val="en-CA" w:eastAsia="en-CA"/>
        </w:rPr>
        <w:t xml:space="preserve">September 30, </w:t>
      </w:r>
      <w:proofErr w:type="gramStart"/>
      <w:r w:rsidR="000E08E0">
        <w:rPr>
          <w:rFonts w:ascii="Times New Roman" w:eastAsia="Times New Roman" w:hAnsi="Times New Roman"/>
          <w:color w:val="000000"/>
          <w:lang w:val="en-CA" w:eastAsia="en-CA"/>
        </w:rPr>
        <w:t>2025</w:t>
      </w:r>
      <w:proofErr w:type="gramEnd"/>
      <w:r w:rsidR="001868BB">
        <w:rPr>
          <w:rFonts w:ascii="Times New Roman" w:eastAsia="Times New Roman" w:hAnsi="Times New Roman"/>
          <w:color w:val="000000"/>
          <w:lang w:val="en-CA" w:eastAsia="en-CA"/>
        </w:rPr>
        <w:t xml:space="preserve"> </w:t>
      </w:r>
      <w:r>
        <w:rPr>
          <w:rFonts w:ascii="Times New Roman" w:eastAsia="Times New Roman" w:hAnsi="Times New Roman"/>
          <w:color w:val="000000"/>
          <w:lang w:val="en-CA" w:eastAsia="en-CA"/>
        </w:rPr>
        <w:t xml:space="preserve">compared to </w:t>
      </w:r>
      <w:r w:rsidR="0035041D">
        <w:rPr>
          <w:rFonts w:ascii="Times New Roman" w:eastAsia="Times New Roman" w:hAnsi="Times New Roman"/>
          <w:color w:val="000000"/>
          <w:lang w:val="en-CA" w:eastAsia="en-CA"/>
        </w:rPr>
        <w:t>a working capital</w:t>
      </w:r>
      <w:r w:rsidR="007A4976">
        <w:rPr>
          <w:rFonts w:ascii="Times New Roman" w:eastAsia="Times New Roman" w:hAnsi="Times New Roman"/>
          <w:color w:val="000000"/>
          <w:lang w:val="en-CA" w:eastAsia="en-CA"/>
        </w:rPr>
        <w:t xml:space="preserve"> </w:t>
      </w:r>
      <w:r w:rsidR="0035041D">
        <w:rPr>
          <w:rFonts w:ascii="Times New Roman" w:eastAsia="Times New Roman" w:hAnsi="Times New Roman"/>
          <w:color w:val="000000"/>
          <w:lang w:val="en-CA" w:eastAsia="en-CA"/>
        </w:rPr>
        <w:t xml:space="preserve">of </w:t>
      </w:r>
      <w:r w:rsidRPr="009639C7">
        <w:rPr>
          <w:rFonts w:ascii="Times New Roman" w:eastAsia="Times New Roman" w:hAnsi="Times New Roman"/>
          <w:color w:val="000000"/>
          <w:lang w:val="en-CA" w:eastAsia="en-CA"/>
        </w:rPr>
        <w:t>$</w:t>
      </w:r>
      <w:r w:rsidR="007A4976">
        <w:rPr>
          <w:rFonts w:ascii="Times New Roman" w:eastAsia="Times New Roman" w:hAnsi="Times New Roman"/>
          <w:color w:val="000000"/>
          <w:lang w:val="en-CA" w:eastAsia="en-CA"/>
        </w:rPr>
        <w:t>7,145,097</w:t>
      </w:r>
      <w:r w:rsidR="00160D03" w:rsidRPr="009639C7">
        <w:rPr>
          <w:rFonts w:ascii="Times New Roman" w:eastAsia="Times New Roman" w:hAnsi="Times New Roman"/>
          <w:color w:val="000000"/>
          <w:lang w:val="en-CA" w:eastAsia="en-CA"/>
        </w:rPr>
        <w:t xml:space="preserve"> on </w:t>
      </w:r>
      <w:r w:rsidR="001D4133">
        <w:rPr>
          <w:rFonts w:ascii="Times New Roman" w:eastAsia="Times New Roman" w:hAnsi="Times New Roman"/>
          <w:color w:val="000000"/>
          <w:lang w:val="en-CA" w:eastAsia="en-CA"/>
        </w:rPr>
        <w:t>December 31, 202</w:t>
      </w:r>
      <w:r w:rsidR="007A4976">
        <w:rPr>
          <w:rFonts w:ascii="Times New Roman" w:eastAsia="Times New Roman" w:hAnsi="Times New Roman"/>
          <w:color w:val="000000"/>
          <w:lang w:val="en-CA" w:eastAsia="en-CA"/>
        </w:rPr>
        <w:t>4</w:t>
      </w:r>
      <w:r w:rsidRPr="009639C7">
        <w:rPr>
          <w:rFonts w:ascii="Times New Roman" w:eastAsia="Times New Roman" w:hAnsi="Times New Roman"/>
          <w:color w:val="000000"/>
          <w:lang w:val="en-CA" w:eastAsia="en-CA"/>
        </w:rPr>
        <w:t xml:space="preserve">. </w:t>
      </w:r>
      <w:r w:rsidR="00050961" w:rsidRPr="000F26A9">
        <w:rPr>
          <w:rFonts w:ascii="Times New Roman" w:hAnsi="Times New Roman"/>
          <w:color w:val="000000" w:themeColor="text1"/>
        </w:rPr>
        <w:t xml:space="preserve">The Company’s </w:t>
      </w:r>
      <w:r w:rsidR="00050961">
        <w:rPr>
          <w:rFonts w:ascii="Times New Roman" w:hAnsi="Times New Roman"/>
          <w:color w:val="000000" w:themeColor="text1"/>
        </w:rPr>
        <w:t xml:space="preserve">statement of financial position </w:t>
      </w:r>
      <w:r w:rsidR="00050961" w:rsidRPr="000F26A9">
        <w:rPr>
          <w:rFonts w:ascii="Times New Roman" w:hAnsi="Times New Roman"/>
          <w:color w:val="000000" w:themeColor="text1"/>
        </w:rPr>
        <w:t xml:space="preserve">as of </w:t>
      </w:r>
      <w:r w:rsidR="000E08E0">
        <w:rPr>
          <w:rFonts w:ascii="Times New Roman" w:hAnsi="Times New Roman"/>
          <w:color w:val="000000" w:themeColor="text1"/>
        </w:rPr>
        <w:t xml:space="preserve">September 30, </w:t>
      </w:r>
      <w:proofErr w:type="gramStart"/>
      <w:r w:rsidR="000E08E0">
        <w:rPr>
          <w:rFonts w:ascii="Times New Roman" w:hAnsi="Times New Roman"/>
          <w:color w:val="000000" w:themeColor="text1"/>
        </w:rPr>
        <w:t>2025</w:t>
      </w:r>
      <w:proofErr w:type="gramEnd"/>
      <w:r w:rsidR="00050961" w:rsidRPr="000F26A9">
        <w:rPr>
          <w:rFonts w:ascii="Times New Roman" w:hAnsi="Times New Roman"/>
          <w:color w:val="000000" w:themeColor="text1"/>
        </w:rPr>
        <w:t xml:space="preserve"> reflects assets with a book value of </w:t>
      </w:r>
      <w:r w:rsidR="001868BB">
        <w:rPr>
          <w:rFonts w:ascii="Times New Roman" w:hAnsi="Times New Roman"/>
          <w:color w:val="000000" w:themeColor="text1"/>
        </w:rPr>
        <w:t>$</w:t>
      </w:r>
      <w:r w:rsidR="00B871DF">
        <w:rPr>
          <w:rFonts w:ascii="Times New Roman" w:hAnsi="Times New Roman"/>
          <w:color w:val="000000" w:themeColor="text1"/>
        </w:rPr>
        <w:t>107,833,669</w:t>
      </w:r>
      <w:r w:rsidR="007A4976">
        <w:rPr>
          <w:rFonts w:ascii="Times New Roman" w:hAnsi="Times New Roman"/>
          <w:color w:val="000000" w:themeColor="text1"/>
        </w:rPr>
        <w:t xml:space="preserve"> </w:t>
      </w:r>
      <w:r w:rsidR="001868BB">
        <w:rPr>
          <w:rFonts w:ascii="Times New Roman" w:hAnsi="Times New Roman"/>
          <w:color w:val="000000" w:themeColor="text1"/>
        </w:rPr>
        <w:t xml:space="preserve">compared to </w:t>
      </w:r>
      <w:r w:rsidR="00050961">
        <w:rPr>
          <w:rFonts w:ascii="Times New Roman" w:hAnsi="Times New Roman"/>
          <w:color w:val="000000" w:themeColor="text1"/>
        </w:rPr>
        <w:t>$</w:t>
      </w:r>
      <w:r w:rsidR="007A4976">
        <w:rPr>
          <w:rFonts w:ascii="Times New Roman" w:hAnsi="Times New Roman"/>
          <w:color w:val="000000" w:themeColor="text1"/>
        </w:rPr>
        <w:t>69,652,449</w:t>
      </w:r>
      <w:r w:rsidR="001868BB">
        <w:rPr>
          <w:rFonts w:ascii="Times New Roman" w:hAnsi="Times New Roman"/>
          <w:color w:val="000000" w:themeColor="text1"/>
        </w:rPr>
        <w:t xml:space="preserve"> </w:t>
      </w:r>
      <w:r w:rsidR="00050961" w:rsidRPr="000F26A9">
        <w:rPr>
          <w:rFonts w:ascii="Times New Roman" w:hAnsi="Times New Roman"/>
          <w:color w:val="000000" w:themeColor="text1"/>
        </w:rPr>
        <w:t xml:space="preserve">as of </w:t>
      </w:r>
      <w:r w:rsidR="001D4133">
        <w:rPr>
          <w:rFonts w:ascii="Times New Roman" w:hAnsi="Times New Roman"/>
          <w:color w:val="000000" w:themeColor="text1"/>
        </w:rPr>
        <w:t>December 31, 202</w:t>
      </w:r>
      <w:r w:rsidR="007A4976">
        <w:rPr>
          <w:rFonts w:ascii="Times New Roman" w:hAnsi="Times New Roman"/>
          <w:color w:val="000000" w:themeColor="text1"/>
        </w:rPr>
        <w:t>4</w:t>
      </w:r>
      <w:r w:rsidR="00050961" w:rsidRPr="000F26A9">
        <w:rPr>
          <w:rFonts w:ascii="Times New Roman" w:hAnsi="Times New Roman"/>
          <w:color w:val="000000" w:themeColor="text1"/>
        </w:rPr>
        <w:t xml:space="preserve">. </w:t>
      </w:r>
      <w:r w:rsidR="00FC5D19">
        <w:rPr>
          <w:rFonts w:ascii="Times New Roman" w:hAnsi="Times New Roman"/>
          <w:color w:val="000000" w:themeColor="text1"/>
        </w:rPr>
        <w:t xml:space="preserve">Eight </w:t>
      </w:r>
      <w:r w:rsidR="00B871DF">
        <w:rPr>
          <w:rFonts w:ascii="Times New Roman" w:hAnsi="Times New Roman"/>
          <w:color w:val="000000" w:themeColor="text1"/>
        </w:rPr>
        <w:t xml:space="preserve">seven </w:t>
      </w:r>
      <w:r w:rsidR="00367BE5">
        <w:rPr>
          <w:rFonts w:ascii="Times New Roman" w:hAnsi="Times New Roman"/>
          <w:color w:val="000000" w:themeColor="text1"/>
        </w:rPr>
        <w:lastRenderedPageBreak/>
        <w:t>perc</w:t>
      </w:r>
      <w:r w:rsidR="00050961">
        <w:rPr>
          <w:rFonts w:ascii="Times New Roman" w:hAnsi="Times New Roman"/>
          <w:color w:val="000000" w:themeColor="text1"/>
        </w:rPr>
        <w:t>ent (</w:t>
      </w:r>
      <w:r w:rsidR="00FC5D19">
        <w:rPr>
          <w:rFonts w:ascii="Times New Roman" w:hAnsi="Times New Roman"/>
          <w:color w:val="000000" w:themeColor="text1"/>
        </w:rPr>
        <w:t>8</w:t>
      </w:r>
      <w:r w:rsidR="00B871DF">
        <w:rPr>
          <w:rFonts w:ascii="Times New Roman" w:hAnsi="Times New Roman"/>
          <w:color w:val="000000" w:themeColor="text1"/>
        </w:rPr>
        <w:t>7</w:t>
      </w:r>
      <w:r w:rsidR="00050961">
        <w:rPr>
          <w:rFonts w:ascii="Times New Roman" w:hAnsi="Times New Roman"/>
          <w:color w:val="000000" w:themeColor="text1"/>
        </w:rPr>
        <w:t xml:space="preserve">%) </w:t>
      </w:r>
      <w:r w:rsidR="00050961" w:rsidRPr="000F26A9">
        <w:rPr>
          <w:rFonts w:ascii="Times New Roman" w:hAnsi="Times New Roman"/>
          <w:color w:val="000000" w:themeColor="text1"/>
        </w:rPr>
        <w:t xml:space="preserve">of the book value </w:t>
      </w:r>
      <w:proofErr w:type="gramStart"/>
      <w:r w:rsidR="00050961" w:rsidRPr="000F26A9">
        <w:rPr>
          <w:rFonts w:ascii="Times New Roman" w:hAnsi="Times New Roman"/>
          <w:color w:val="000000" w:themeColor="text1"/>
        </w:rPr>
        <w:t>at</w:t>
      </w:r>
      <w:proofErr w:type="gramEnd"/>
      <w:r w:rsidR="00050961" w:rsidRPr="000F26A9">
        <w:rPr>
          <w:rFonts w:ascii="Times New Roman" w:hAnsi="Times New Roman"/>
          <w:color w:val="000000" w:themeColor="text1"/>
        </w:rPr>
        <w:t xml:space="preserve"> </w:t>
      </w:r>
      <w:r w:rsidR="000E08E0">
        <w:rPr>
          <w:rFonts w:ascii="Times New Roman" w:hAnsi="Times New Roman"/>
          <w:color w:val="000000" w:themeColor="text1"/>
        </w:rPr>
        <w:t xml:space="preserve">September 30, </w:t>
      </w:r>
      <w:proofErr w:type="gramStart"/>
      <w:r w:rsidR="000E08E0">
        <w:rPr>
          <w:rFonts w:ascii="Times New Roman" w:hAnsi="Times New Roman"/>
          <w:color w:val="000000" w:themeColor="text1"/>
        </w:rPr>
        <w:t>2025</w:t>
      </w:r>
      <w:proofErr w:type="gramEnd"/>
      <w:r w:rsidR="001868BB">
        <w:rPr>
          <w:rFonts w:ascii="Times New Roman" w:hAnsi="Times New Roman"/>
          <w:color w:val="000000" w:themeColor="text1"/>
        </w:rPr>
        <w:t xml:space="preserve"> </w:t>
      </w:r>
      <w:r w:rsidR="00050961" w:rsidRPr="000F26A9">
        <w:rPr>
          <w:rFonts w:ascii="Times New Roman" w:hAnsi="Times New Roman"/>
          <w:color w:val="000000" w:themeColor="text1"/>
        </w:rPr>
        <w:t xml:space="preserve">was in current assets consisting primarily of </w:t>
      </w:r>
      <w:r w:rsidR="00050961">
        <w:rPr>
          <w:rFonts w:ascii="Times New Roman" w:hAnsi="Times New Roman"/>
          <w:color w:val="000000" w:themeColor="text1"/>
        </w:rPr>
        <w:t>cash</w:t>
      </w:r>
      <w:r w:rsidR="00640266">
        <w:rPr>
          <w:rFonts w:ascii="Times New Roman" w:hAnsi="Times New Roman"/>
          <w:color w:val="000000" w:themeColor="text1"/>
        </w:rPr>
        <w:t xml:space="preserve"> and</w:t>
      </w:r>
      <w:r w:rsidR="00050961">
        <w:rPr>
          <w:rFonts w:ascii="Times New Roman" w:hAnsi="Times New Roman"/>
          <w:color w:val="000000" w:themeColor="text1"/>
        </w:rPr>
        <w:t xml:space="preserve"> cash equivalents</w:t>
      </w:r>
      <w:r w:rsidR="00D23534">
        <w:rPr>
          <w:rFonts w:ascii="Times New Roman" w:hAnsi="Times New Roman"/>
          <w:color w:val="000000" w:themeColor="text1"/>
        </w:rPr>
        <w:t xml:space="preserve"> and short-term investments</w:t>
      </w:r>
      <w:r w:rsidR="00050961">
        <w:rPr>
          <w:rFonts w:ascii="Times New Roman" w:hAnsi="Times New Roman"/>
          <w:color w:val="000000" w:themeColor="text1"/>
        </w:rPr>
        <w:t xml:space="preserve"> of $</w:t>
      </w:r>
      <w:r w:rsidR="00B871DF">
        <w:rPr>
          <w:rFonts w:ascii="Times New Roman" w:hAnsi="Times New Roman"/>
          <w:color w:val="000000" w:themeColor="text1"/>
        </w:rPr>
        <w:t>92,735,905</w:t>
      </w:r>
      <w:r w:rsidR="007A4976">
        <w:rPr>
          <w:rFonts w:ascii="Times New Roman" w:hAnsi="Times New Roman"/>
          <w:color w:val="000000" w:themeColor="text1"/>
        </w:rPr>
        <w:t xml:space="preserve"> </w:t>
      </w:r>
      <w:r w:rsidR="00050961">
        <w:rPr>
          <w:rFonts w:ascii="Times New Roman" w:hAnsi="Times New Roman"/>
          <w:color w:val="000000" w:themeColor="text1"/>
        </w:rPr>
        <w:t>com</w:t>
      </w:r>
      <w:r w:rsidR="00050961" w:rsidRPr="000F26A9">
        <w:rPr>
          <w:rFonts w:ascii="Times New Roman" w:hAnsi="Times New Roman"/>
          <w:color w:val="000000" w:themeColor="text1"/>
        </w:rPr>
        <w:t xml:space="preserve">pared to </w:t>
      </w:r>
      <w:r w:rsidR="007A4976">
        <w:rPr>
          <w:rFonts w:ascii="Times New Roman" w:hAnsi="Times New Roman"/>
          <w:color w:val="000000" w:themeColor="text1"/>
        </w:rPr>
        <w:t xml:space="preserve">eighty </w:t>
      </w:r>
      <w:r w:rsidR="00050961" w:rsidRPr="000F26A9">
        <w:rPr>
          <w:rFonts w:ascii="Times New Roman" w:hAnsi="Times New Roman"/>
          <w:color w:val="000000" w:themeColor="text1"/>
        </w:rPr>
        <w:t>percent (</w:t>
      </w:r>
      <w:r w:rsidR="007A4976">
        <w:rPr>
          <w:rFonts w:ascii="Times New Roman" w:hAnsi="Times New Roman"/>
          <w:color w:val="000000" w:themeColor="text1"/>
        </w:rPr>
        <w:t>80</w:t>
      </w:r>
      <w:r w:rsidR="00050961" w:rsidRPr="000F26A9">
        <w:rPr>
          <w:rFonts w:ascii="Times New Roman" w:hAnsi="Times New Roman"/>
          <w:color w:val="000000" w:themeColor="text1"/>
        </w:rPr>
        <w:t xml:space="preserve">%) of the book value as of </w:t>
      </w:r>
      <w:r w:rsidR="001D4133">
        <w:rPr>
          <w:rFonts w:ascii="Times New Roman" w:hAnsi="Times New Roman"/>
          <w:color w:val="000000" w:themeColor="text1"/>
        </w:rPr>
        <w:t>December 31, 202</w:t>
      </w:r>
      <w:r w:rsidR="007A4976">
        <w:rPr>
          <w:rFonts w:ascii="Times New Roman" w:hAnsi="Times New Roman"/>
          <w:color w:val="000000" w:themeColor="text1"/>
        </w:rPr>
        <w:t>4</w:t>
      </w:r>
      <w:r w:rsidR="00050961" w:rsidRPr="000F26A9">
        <w:rPr>
          <w:rFonts w:ascii="Times New Roman" w:hAnsi="Times New Roman"/>
          <w:color w:val="000000" w:themeColor="text1"/>
        </w:rPr>
        <w:t xml:space="preserve">, </w:t>
      </w:r>
      <w:r w:rsidR="00050961">
        <w:rPr>
          <w:rFonts w:ascii="Times New Roman" w:hAnsi="Times New Roman"/>
          <w:color w:val="000000" w:themeColor="text1"/>
        </w:rPr>
        <w:t>which consisted primarily of cash</w:t>
      </w:r>
      <w:r w:rsidR="001868BB">
        <w:rPr>
          <w:rFonts w:ascii="Times New Roman" w:hAnsi="Times New Roman"/>
          <w:color w:val="000000" w:themeColor="text1"/>
        </w:rPr>
        <w:t xml:space="preserve"> and</w:t>
      </w:r>
      <w:r w:rsidR="00050961">
        <w:rPr>
          <w:rFonts w:ascii="Times New Roman" w:hAnsi="Times New Roman"/>
          <w:color w:val="000000" w:themeColor="text1"/>
        </w:rPr>
        <w:t xml:space="preserve"> cash equivalents of </w:t>
      </w:r>
      <w:r w:rsidR="00050961" w:rsidRPr="000F26A9">
        <w:rPr>
          <w:rFonts w:ascii="Times New Roman" w:hAnsi="Times New Roman"/>
          <w:color w:val="000000" w:themeColor="text1"/>
        </w:rPr>
        <w:t>$</w:t>
      </w:r>
      <w:r w:rsidR="007A4976">
        <w:rPr>
          <w:rFonts w:ascii="Times New Roman" w:hAnsi="Times New Roman"/>
          <w:color w:val="000000" w:themeColor="text1"/>
        </w:rPr>
        <w:t>53,816,570</w:t>
      </w:r>
      <w:r w:rsidR="00050961" w:rsidRPr="000F26A9">
        <w:rPr>
          <w:rFonts w:ascii="Times New Roman" w:hAnsi="Times New Roman"/>
          <w:color w:val="000000" w:themeColor="text1"/>
        </w:rPr>
        <w:t>.</w:t>
      </w:r>
      <w:r w:rsidR="00121FA3">
        <w:rPr>
          <w:rFonts w:ascii="Times New Roman" w:hAnsi="Times New Roman"/>
          <w:color w:val="000000" w:themeColor="text1"/>
        </w:rPr>
        <w:t xml:space="preserve"> The working capital of $</w:t>
      </w:r>
      <w:r w:rsidR="00B871DF">
        <w:rPr>
          <w:rFonts w:ascii="Times New Roman" w:hAnsi="Times New Roman"/>
          <w:color w:val="000000" w:themeColor="text1"/>
        </w:rPr>
        <w:t>52,925,789</w:t>
      </w:r>
      <w:r w:rsidR="007F77D7">
        <w:rPr>
          <w:rFonts w:ascii="Times New Roman" w:eastAsia="Times New Roman" w:hAnsi="Times New Roman"/>
          <w:color w:val="000000"/>
          <w:lang w:val="en-CA" w:eastAsia="en-CA"/>
        </w:rPr>
        <w:t xml:space="preserve"> </w:t>
      </w:r>
      <w:r w:rsidR="00121FA3">
        <w:rPr>
          <w:rFonts w:ascii="Times New Roman" w:hAnsi="Times New Roman"/>
          <w:color w:val="000000" w:themeColor="text1"/>
        </w:rPr>
        <w:t>includes non-cash current liabilities of $</w:t>
      </w:r>
      <w:r w:rsidR="00B871DF">
        <w:rPr>
          <w:rFonts w:ascii="Times New Roman" w:hAnsi="Times New Roman"/>
          <w:color w:val="000000" w:themeColor="text1"/>
        </w:rPr>
        <w:t>30,599,601</w:t>
      </w:r>
      <w:r w:rsidR="00121FA3">
        <w:rPr>
          <w:rFonts w:ascii="Times New Roman" w:hAnsi="Times New Roman"/>
          <w:color w:val="000000" w:themeColor="text1"/>
        </w:rPr>
        <w:t xml:space="preserve"> (202</w:t>
      </w:r>
      <w:r w:rsidR="007A4976">
        <w:rPr>
          <w:rFonts w:ascii="Times New Roman" w:hAnsi="Times New Roman"/>
          <w:color w:val="000000" w:themeColor="text1"/>
        </w:rPr>
        <w:t>4</w:t>
      </w:r>
      <w:r w:rsidR="00121FA3">
        <w:rPr>
          <w:rFonts w:ascii="Times New Roman" w:hAnsi="Times New Roman"/>
          <w:color w:val="000000" w:themeColor="text1"/>
        </w:rPr>
        <w:t xml:space="preserve"> - $</w:t>
      </w:r>
      <w:r w:rsidR="007A4976">
        <w:rPr>
          <w:rFonts w:ascii="Times New Roman" w:hAnsi="Times New Roman"/>
          <w:color w:val="000000" w:themeColor="text1"/>
        </w:rPr>
        <w:t>35,750,607</w:t>
      </w:r>
      <w:r w:rsidR="00121FA3">
        <w:rPr>
          <w:rFonts w:ascii="Times New Roman" w:hAnsi="Times New Roman"/>
          <w:color w:val="000000" w:themeColor="text1"/>
        </w:rPr>
        <w:t>) related to derivative warrant liability</w:t>
      </w:r>
      <w:r w:rsidR="007F77D7">
        <w:rPr>
          <w:rFonts w:ascii="Times New Roman" w:hAnsi="Times New Roman"/>
          <w:color w:val="000000" w:themeColor="text1"/>
        </w:rPr>
        <w:t xml:space="preserve"> and $6,500,000 in convertible debt which will be paid over a period of five years, however, the holder has the right to convert any unpaid amount into shares of the Company at its discretion</w:t>
      </w:r>
      <w:r w:rsidR="0095686A">
        <w:rPr>
          <w:rFonts w:ascii="Times New Roman" w:hAnsi="Times New Roman"/>
          <w:color w:val="000000" w:themeColor="text1"/>
        </w:rPr>
        <w:t xml:space="preserve"> and it is therefore classified as current</w:t>
      </w:r>
      <w:r w:rsidR="00121FA3">
        <w:rPr>
          <w:rFonts w:ascii="Times New Roman" w:hAnsi="Times New Roman"/>
          <w:color w:val="000000" w:themeColor="text1"/>
        </w:rPr>
        <w:t xml:space="preserve">. </w:t>
      </w:r>
    </w:p>
    <w:p w14:paraId="5A44FFD6" w14:textId="206AEB4D" w:rsidR="00713523" w:rsidRDefault="00F9258B" w:rsidP="00713523">
      <w:pPr>
        <w:spacing w:before="120" w:after="120"/>
        <w:jc w:val="both"/>
        <w:rPr>
          <w:rFonts w:ascii="Times New Roman" w:hAnsi="Times New Roman"/>
          <w:color w:val="000000" w:themeColor="text1"/>
          <w:lang w:val="en-CA"/>
        </w:rPr>
      </w:pPr>
      <w:r w:rsidRPr="00F9258B">
        <w:rPr>
          <w:rFonts w:ascii="Times New Roman" w:hAnsi="Times New Roman"/>
          <w:color w:val="000000" w:themeColor="text1"/>
          <w:lang w:val="en-CA"/>
        </w:rPr>
        <w:t xml:space="preserve">During the </w:t>
      </w:r>
      <w:r w:rsidR="000E08E0">
        <w:rPr>
          <w:rFonts w:ascii="Times New Roman" w:hAnsi="Times New Roman"/>
          <w:color w:val="000000" w:themeColor="text1"/>
          <w:lang w:val="en-CA"/>
        </w:rPr>
        <w:t>nine months ended</w:t>
      </w:r>
      <w:r w:rsidRPr="00F9258B">
        <w:rPr>
          <w:rFonts w:ascii="Times New Roman" w:hAnsi="Times New Roman"/>
          <w:color w:val="000000" w:themeColor="text1"/>
          <w:lang w:val="en-CA"/>
        </w:rPr>
        <w:t xml:space="preserve"> </w:t>
      </w:r>
      <w:r w:rsidR="000E08E0">
        <w:rPr>
          <w:rFonts w:ascii="Times New Roman" w:hAnsi="Times New Roman"/>
          <w:color w:val="000000" w:themeColor="text1"/>
          <w:lang w:val="en-CA"/>
        </w:rPr>
        <w:t>September 30, 2025</w:t>
      </w:r>
      <w:r w:rsidRPr="00F9258B">
        <w:rPr>
          <w:rFonts w:ascii="Times New Roman" w:hAnsi="Times New Roman"/>
          <w:color w:val="000000" w:themeColor="text1"/>
          <w:lang w:val="en-CA"/>
        </w:rPr>
        <w:t>, the Company had negative cash flows from operations of $</w:t>
      </w:r>
      <w:r w:rsidR="00FC5D19">
        <w:rPr>
          <w:rFonts w:ascii="Times New Roman" w:hAnsi="Times New Roman"/>
          <w:color w:val="000000" w:themeColor="text1"/>
          <w:lang w:val="en-CA"/>
        </w:rPr>
        <w:t>1</w:t>
      </w:r>
      <w:r w:rsidR="00AB3F3B">
        <w:rPr>
          <w:rFonts w:ascii="Times New Roman" w:hAnsi="Times New Roman"/>
          <w:color w:val="000000" w:themeColor="text1"/>
          <w:lang w:val="en-CA"/>
        </w:rPr>
        <w:t>9,517,338</w:t>
      </w:r>
      <w:r w:rsidRPr="00F9258B">
        <w:rPr>
          <w:rFonts w:ascii="Times New Roman" w:hAnsi="Times New Roman"/>
          <w:color w:val="000000" w:themeColor="text1"/>
          <w:lang w:val="en-CA"/>
        </w:rPr>
        <w:t>.</w:t>
      </w:r>
      <w:r w:rsidR="00713523">
        <w:rPr>
          <w:rFonts w:ascii="Times New Roman" w:hAnsi="Times New Roman"/>
          <w:color w:val="000000" w:themeColor="text1"/>
          <w:lang w:val="en-CA"/>
        </w:rPr>
        <w:t xml:space="preserve"> </w:t>
      </w:r>
      <w:r w:rsidR="00DF0A3F">
        <w:rPr>
          <w:rFonts w:ascii="Times New Roman" w:hAnsi="Times New Roman"/>
          <w:color w:val="000000" w:themeColor="text1"/>
          <w:lang w:val="en-CA"/>
        </w:rPr>
        <w:t>The Company purchased short-term investments of $</w:t>
      </w:r>
      <w:r w:rsidR="00AB3F3B">
        <w:rPr>
          <w:rFonts w:ascii="Times New Roman" w:hAnsi="Times New Roman"/>
          <w:color w:val="000000" w:themeColor="text1"/>
          <w:lang w:val="en-CA"/>
        </w:rPr>
        <w:t>61,708,182</w:t>
      </w:r>
      <w:r w:rsidR="00FC5D19">
        <w:rPr>
          <w:rFonts w:ascii="Times New Roman" w:hAnsi="Times New Roman"/>
          <w:color w:val="000000" w:themeColor="text1"/>
          <w:lang w:val="en-CA"/>
        </w:rPr>
        <w:t xml:space="preserve"> </w:t>
      </w:r>
      <w:r w:rsidR="00DF0A3F">
        <w:rPr>
          <w:rFonts w:ascii="Times New Roman" w:hAnsi="Times New Roman"/>
          <w:color w:val="000000" w:themeColor="text1"/>
          <w:lang w:val="en-CA"/>
        </w:rPr>
        <w:t xml:space="preserve">using its excess cash resources. </w:t>
      </w:r>
      <w:r w:rsidR="00713523">
        <w:rPr>
          <w:rFonts w:ascii="Times New Roman" w:hAnsi="Times New Roman"/>
          <w:color w:val="000000" w:themeColor="text1"/>
          <w:lang w:val="en-CA"/>
        </w:rPr>
        <w:t>Additionally, the Company purchased property and equipment and patents and licenses of $</w:t>
      </w:r>
      <w:r w:rsidR="00AB3F3B">
        <w:rPr>
          <w:rFonts w:ascii="Times New Roman" w:hAnsi="Times New Roman"/>
          <w:color w:val="000000" w:themeColor="text1"/>
          <w:lang w:val="en-CA"/>
        </w:rPr>
        <w:t>3,040,794</w:t>
      </w:r>
      <w:r w:rsidR="00713523">
        <w:rPr>
          <w:rFonts w:ascii="Times New Roman" w:hAnsi="Times New Roman"/>
          <w:color w:val="000000" w:themeColor="text1"/>
          <w:lang w:val="en-CA"/>
        </w:rPr>
        <w:t xml:space="preserve">. To fund its operations and investing activities during the period, the Company raised equity capital, net of issue costs of </w:t>
      </w:r>
      <w:r w:rsidR="007A4976">
        <w:rPr>
          <w:rFonts w:ascii="Times New Roman" w:hAnsi="Times New Roman"/>
          <w:color w:val="000000" w:themeColor="text1"/>
          <w:lang w:val="en-CA"/>
        </w:rPr>
        <w:t xml:space="preserve">from </w:t>
      </w:r>
      <w:r w:rsidR="00C70AD3">
        <w:rPr>
          <w:rFonts w:ascii="Times New Roman" w:hAnsi="Times New Roman"/>
          <w:color w:val="000000" w:themeColor="text1"/>
          <w:lang w:val="en-CA"/>
        </w:rPr>
        <w:t xml:space="preserve">a private placement, </w:t>
      </w:r>
      <w:r w:rsidR="007A4976">
        <w:rPr>
          <w:rFonts w:ascii="Times New Roman" w:hAnsi="Times New Roman"/>
          <w:color w:val="000000" w:themeColor="text1"/>
          <w:lang w:val="en-CA"/>
        </w:rPr>
        <w:t xml:space="preserve">exercise of warrants and stock options of </w:t>
      </w:r>
      <w:r w:rsidR="00713523">
        <w:rPr>
          <w:rFonts w:ascii="Times New Roman" w:hAnsi="Times New Roman"/>
          <w:color w:val="000000" w:themeColor="text1"/>
          <w:lang w:val="en-CA"/>
        </w:rPr>
        <w:t>$</w:t>
      </w:r>
      <w:r w:rsidR="00AB3F3B">
        <w:rPr>
          <w:rFonts w:ascii="Times New Roman" w:hAnsi="Times New Roman"/>
          <w:color w:val="000000" w:themeColor="text1"/>
          <w:lang w:val="en-CA"/>
        </w:rPr>
        <w:t>61,477,149</w:t>
      </w:r>
      <w:r w:rsidR="00713523">
        <w:rPr>
          <w:rFonts w:ascii="Times New Roman" w:hAnsi="Times New Roman"/>
          <w:color w:val="000000" w:themeColor="text1"/>
          <w:lang w:val="en-CA"/>
        </w:rPr>
        <w:t>.</w:t>
      </w:r>
      <w:r w:rsidR="00FD7B39">
        <w:rPr>
          <w:rFonts w:ascii="Times New Roman" w:hAnsi="Times New Roman"/>
          <w:color w:val="000000" w:themeColor="text1"/>
          <w:lang w:val="en-CA"/>
        </w:rPr>
        <w:t xml:space="preserve"> Of the capital raised</w:t>
      </w:r>
      <w:r w:rsidR="00193744">
        <w:rPr>
          <w:rFonts w:ascii="Times New Roman" w:hAnsi="Times New Roman"/>
          <w:color w:val="000000" w:themeColor="text1"/>
          <w:lang w:val="en-CA"/>
        </w:rPr>
        <w:t xml:space="preserve"> since 2024</w:t>
      </w:r>
      <w:r w:rsidR="00FD7B39">
        <w:rPr>
          <w:rFonts w:ascii="Times New Roman" w:hAnsi="Times New Roman"/>
          <w:color w:val="000000" w:themeColor="text1"/>
          <w:lang w:val="en-CA"/>
        </w:rPr>
        <w:t>, the Company has approximately $</w:t>
      </w:r>
      <w:r w:rsidR="00193744">
        <w:rPr>
          <w:rFonts w:ascii="Times New Roman" w:hAnsi="Times New Roman"/>
          <w:color w:val="000000" w:themeColor="text1"/>
          <w:lang w:val="en-CA"/>
        </w:rPr>
        <w:t>93</w:t>
      </w:r>
      <w:r w:rsidR="00C70AD3">
        <w:rPr>
          <w:rFonts w:ascii="Times New Roman" w:hAnsi="Times New Roman"/>
          <w:color w:val="000000" w:themeColor="text1"/>
          <w:lang w:val="en-CA"/>
        </w:rPr>
        <w:t>,000,000</w:t>
      </w:r>
      <w:r w:rsidR="00FD7B39">
        <w:rPr>
          <w:rFonts w:ascii="Times New Roman" w:hAnsi="Times New Roman"/>
          <w:color w:val="000000" w:themeColor="text1"/>
          <w:lang w:val="en-CA"/>
        </w:rPr>
        <w:t xml:space="preserve"> remaining to be spent.</w:t>
      </w:r>
    </w:p>
    <w:p w14:paraId="11E7D918" w14:textId="4D0DF435" w:rsidR="00B57B76" w:rsidRDefault="00713523" w:rsidP="00713523">
      <w:pPr>
        <w:spacing w:before="120" w:after="120"/>
        <w:jc w:val="both"/>
        <w:rPr>
          <w:rFonts w:ascii="Times New Roman" w:hAnsi="Times New Roman"/>
          <w:color w:val="000000" w:themeColor="text1"/>
          <w:lang w:val="en-CA"/>
        </w:rPr>
      </w:pPr>
      <w:r>
        <w:rPr>
          <w:rFonts w:ascii="Times New Roman" w:hAnsi="Times New Roman"/>
          <w:color w:val="000000" w:themeColor="text1"/>
          <w:lang w:val="en-CA"/>
        </w:rPr>
        <w:t>The Company intends to spend approximately $</w:t>
      </w:r>
      <w:r w:rsidR="00DF0A3F">
        <w:rPr>
          <w:rFonts w:ascii="Times New Roman" w:hAnsi="Times New Roman"/>
          <w:color w:val="000000" w:themeColor="text1"/>
          <w:lang w:val="en-CA"/>
        </w:rPr>
        <w:t>18,800</w:t>
      </w:r>
      <w:r>
        <w:rPr>
          <w:rFonts w:ascii="Times New Roman" w:hAnsi="Times New Roman"/>
          <w:color w:val="000000" w:themeColor="text1"/>
          <w:lang w:val="en-CA"/>
        </w:rPr>
        <w:t>,000</w:t>
      </w:r>
      <w:r w:rsidR="00B44C5E">
        <w:rPr>
          <w:rFonts w:ascii="Times New Roman" w:hAnsi="Times New Roman"/>
          <w:color w:val="000000" w:themeColor="text1"/>
          <w:lang w:val="en-CA"/>
        </w:rPr>
        <w:t xml:space="preserve"> </w:t>
      </w:r>
      <w:r w:rsidR="0036165B">
        <w:rPr>
          <w:rFonts w:ascii="Times New Roman" w:hAnsi="Times New Roman"/>
          <w:color w:val="000000" w:themeColor="text1"/>
          <w:lang w:val="en-CA"/>
        </w:rPr>
        <w:t>between 2025 and 2026</w:t>
      </w:r>
      <w:r>
        <w:rPr>
          <w:rFonts w:ascii="Times New Roman" w:hAnsi="Times New Roman"/>
          <w:color w:val="000000" w:themeColor="text1"/>
          <w:lang w:val="en-CA"/>
        </w:rPr>
        <w:t xml:space="preserve"> on activities directed at the development of modules and high</w:t>
      </w:r>
      <w:r w:rsidR="009A2D28">
        <w:rPr>
          <w:rFonts w:ascii="Times New Roman" w:hAnsi="Times New Roman"/>
          <w:color w:val="000000" w:themeColor="text1"/>
          <w:lang w:val="en-CA"/>
        </w:rPr>
        <w:t>-</w:t>
      </w:r>
      <w:r>
        <w:rPr>
          <w:rFonts w:ascii="Times New Roman" w:hAnsi="Times New Roman"/>
          <w:color w:val="000000" w:themeColor="text1"/>
          <w:lang w:val="en-CA"/>
        </w:rPr>
        <w:t>speed optical engines. During the period, the Company spent approximately $</w:t>
      </w:r>
      <w:r w:rsidR="00193744">
        <w:rPr>
          <w:rFonts w:ascii="Times New Roman" w:hAnsi="Times New Roman"/>
          <w:color w:val="000000" w:themeColor="text1"/>
          <w:lang w:val="en-CA"/>
        </w:rPr>
        <w:t>11</w:t>
      </w:r>
      <w:r w:rsidR="00C70AD3">
        <w:rPr>
          <w:rFonts w:ascii="Times New Roman" w:hAnsi="Times New Roman"/>
          <w:color w:val="000000" w:themeColor="text1"/>
          <w:lang w:val="en-CA"/>
        </w:rPr>
        <w:t>,</w:t>
      </w:r>
      <w:r w:rsidR="00193744">
        <w:rPr>
          <w:rFonts w:ascii="Times New Roman" w:hAnsi="Times New Roman"/>
          <w:color w:val="000000" w:themeColor="text1"/>
          <w:lang w:val="en-CA"/>
        </w:rPr>
        <w:t>0</w:t>
      </w:r>
      <w:r w:rsidR="00C70AD3">
        <w:rPr>
          <w:rFonts w:ascii="Times New Roman" w:hAnsi="Times New Roman"/>
          <w:color w:val="000000" w:themeColor="text1"/>
          <w:lang w:val="en-CA"/>
        </w:rPr>
        <w:t>00</w:t>
      </w:r>
      <w:r>
        <w:rPr>
          <w:rFonts w:ascii="Times New Roman" w:hAnsi="Times New Roman"/>
          <w:color w:val="000000" w:themeColor="text1"/>
          <w:lang w:val="en-CA"/>
        </w:rPr>
        <w:t xml:space="preserve">,000 on these efforts. The Company used </w:t>
      </w:r>
      <w:r w:rsidR="00FD7B39">
        <w:rPr>
          <w:rFonts w:ascii="Times New Roman" w:hAnsi="Times New Roman"/>
          <w:color w:val="000000" w:themeColor="text1"/>
          <w:lang w:val="en-CA"/>
        </w:rPr>
        <w:t>capital raised during the period t</w:t>
      </w:r>
      <w:r w:rsidR="00B35943">
        <w:rPr>
          <w:rFonts w:ascii="Times New Roman" w:hAnsi="Times New Roman"/>
          <w:color w:val="000000" w:themeColor="text1"/>
          <w:lang w:val="en-CA"/>
        </w:rPr>
        <w:t>o</w:t>
      </w:r>
      <w:r w:rsidR="00FD7B39">
        <w:rPr>
          <w:rFonts w:ascii="Times New Roman" w:hAnsi="Times New Roman"/>
          <w:color w:val="000000" w:themeColor="text1"/>
          <w:lang w:val="en-CA"/>
        </w:rPr>
        <w:t xml:space="preserve"> fund these efforts.</w:t>
      </w:r>
      <w:r>
        <w:rPr>
          <w:rFonts w:ascii="Times New Roman" w:hAnsi="Times New Roman"/>
          <w:color w:val="000000" w:themeColor="text1"/>
          <w:lang w:val="en-CA"/>
        </w:rPr>
        <w:t xml:space="preserve"> </w:t>
      </w:r>
      <w:r w:rsidR="00F9258B" w:rsidRPr="00F9258B">
        <w:rPr>
          <w:rFonts w:ascii="Times New Roman" w:hAnsi="Times New Roman"/>
          <w:color w:val="000000" w:themeColor="text1"/>
          <w:lang w:val="en-CA"/>
        </w:rPr>
        <w:t xml:space="preserve"> </w:t>
      </w:r>
    </w:p>
    <w:p w14:paraId="7754B90D" w14:textId="7D8D3F42" w:rsidR="004253B0" w:rsidRDefault="00FD7B39" w:rsidP="00384903">
      <w:pPr>
        <w:spacing w:before="120" w:after="120"/>
        <w:jc w:val="both"/>
        <w:rPr>
          <w:rFonts w:ascii="Times New Roman" w:hAnsi="Times New Roman"/>
          <w:color w:val="000000" w:themeColor="text1"/>
          <w:lang w:val="en-CA"/>
        </w:rPr>
      </w:pPr>
      <w:r w:rsidRPr="00384903">
        <w:rPr>
          <w:rFonts w:ascii="Times New Roman" w:hAnsi="Times New Roman"/>
          <w:color w:val="000000" w:themeColor="text1"/>
          <w:lang w:val="en-CA"/>
        </w:rPr>
        <w:t>The Company has an approved</w:t>
      </w:r>
      <w:r w:rsidR="004253B0" w:rsidRPr="00384903">
        <w:rPr>
          <w:rFonts w:ascii="Times New Roman" w:hAnsi="Times New Roman"/>
          <w:color w:val="000000" w:themeColor="text1"/>
          <w:lang w:val="en-CA"/>
        </w:rPr>
        <w:t xml:space="preserve"> capital budget of $</w:t>
      </w:r>
      <w:r w:rsidR="00DF0A3F">
        <w:rPr>
          <w:rFonts w:ascii="Times New Roman" w:hAnsi="Times New Roman"/>
          <w:color w:val="000000" w:themeColor="text1"/>
          <w:lang w:val="en-CA"/>
        </w:rPr>
        <w:t>3</w:t>
      </w:r>
      <w:r w:rsidR="00384903" w:rsidRPr="00384903">
        <w:rPr>
          <w:rFonts w:ascii="Times New Roman" w:hAnsi="Times New Roman"/>
          <w:color w:val="000000" w:themeColor="text1"/>
          <w:lang w:val="en-CA"/>
        </w:rPr>
        <w:t>,</w:t>
      </w:r>
      <w:r w:rsidR="00D94161">
        <w:rPr>
          <w:rFonts w:ascii="Times New Roman" w:hAnsi="Times New Roman"/>
          <w:color w:val="000000" w:themeColor="text1"/>
          <w:lang w:val="en-CA"/>
        </w:rPr>
        <w:t>1</w:t>
      </w:r>
      <w:r w:rsidR="00384903" w:rsidRPr="00384903">
        <w:rPr>
          <w:rFonts w:ascii="Times New Roman" w:hAnsi="Times New Roman"/>
          <w:color w:val="000000" w:themeColor="text1"/>
          <w:lang w:val="en-CA"/>
        </w:rPr>
        <w:t>00</w:t>
      </w:r>
      <w:r w:rsidR="00512A69" w:rsidRPr="00384903">
        <w:rPr>
          <w:rFonts w:ascii="Times New Roman" w:hAnsi="Times New Roman"/>
          <w:color w:val="000000" w:themeColor="text1"/>
          <w:lang w:val="en-CA"/>
        </w:rPr>
        <w:t>,000</w:t>
      </w:r>
      <w:r w:rsidR="004253B0" w:rsidRPr="00384903">
        <w:rPr>
          <w:rFonts w:ascii="Times New Roman" w:hAnsi="Times New Roman"/>
          <w:color w:val="000000" w:themeColor="text1"/>
          <w:lang w:val="en-CA"/>
        </w:rPr>
        <w:t xml:space="preserve"> for 202</w:t>
      </w:r>
      <w:r w:rsidR="00DF0A3F">
        <w:rPr>
          <w:rFonts w:ascii="Times New Roman" w:hAnsi="Times New Roman"/>
          <w:color w:val="000000" w:themeColor="text1"/>
          <w:lang w:val="en-CA"/>
        </w:rPr>
        <w:t>5</w:t>
      </w:r>
      <w:r w:rsidR="004253B0" w:rsidRPr="00384903">
        <w:rPr>
          <w:rFonts w:ascii="Times New Roman" w:hAnsi="Times New Roman"/>
          <w:color w:val="000000" w:themeColor="text1"/>
          <w:lang w:val="en-CA"/>
        </w:rPr>
        <w:t xml:space="preserve"> related to research and development, equipment, manufacturing equipment and patent registration.</w:t>
      </w:r>
      <w:r w:rsidR="00983CF1" w:rsidRPr="00384903">
        <w:rPr>
          <w:rFonts w:ascii="Times New Roman" w:hAnsi="Times New Roman"/>
          <w:color w:val="000000" w:themeColor="text1"/>
          <w:lang w:val="en-CA"/>
        </w:rPr>
        <w:t xml:space="preserve"> As of</w:t>
      </w:r>
      <w:r w:rsidR="0036165B">
        <w:rPr>
          <w:rFonts w:ascii="Times New Roman" w:hAnsi="Times New Roman"/>
          <w:color w:val="000000" w:themeColor="text1"/>
          <w:lang w:val="en-CA"/>
        </w:rPr>
        <w:t xml:space="preserve"> </w:t>
      </w:r>
      <w:r w:rsidR="000E08E0">
        <w:rPr>
          <w:rFonts w:ascii="Times New Roman" w:hAnsi="Times New Roman"/>
          <w:color w:val="000000" w:themeColor="text1"/>
          <w:lang w:val="en-CA"/>
        </w:rPr>
        <w:t>September 30, 2025</w:t>
      </w:r>
      <w:r w:rsidR="00983CF1" w:rsidRPr="00384903">
        <w:rPr>
          <w:rFonts w:ascii="Times New Roman" w:hAnsi="Times New Roman"/>
          <w:color w:val="000000" w:themeColor="text1"/>
          <w:lang w:val="en-CA"/>
        </w:rPr>
        <w:t>, $</w:t>
      </w:r>
      <w:r w:rsidR="00193744">
        <w:rPr>
          <w:rFonts w:ascii="Times New Roman" w:hAnsi="Times New Roman"/>
          <w:color w:val="000000" w:themeColor="text1"/>
          <w:lang w:val="en-CA"/>
        </w:rPr>
        <w:t>3,040,794</w:t>
      </w:r>
      <w:r w:rsidR="00983CF1" w:rsidRPr="00384903">
        <w:rPr>
          <w:rFonts w:ascii="Times New Roman" w:hAnsi="Times New Roman"/>
          <w:color w:val="000000" w:themeColor="text1"/>
          <w:lang w:val="en-CA"/>
        </w:rPr>
        <w:t xml:space="preserve"> was spent on capital </w:t>
      </w:r>
      <w:r w:rsidR="00DF0A3F">
        <w:rPr>
          <w:rFonts w:ascii="Times New Roman" w:hAnsi="Times New Roman"/>
          <w:color w:val="000000" w:themeColor="text1"/>
          <w:lang w:val="en-CA"/>
        </w:rPr>
        <w:t>expenses</w:t>
      </w:r>
      <w:r w:rsidR="00983CF1" w:rsidRPr="00384903">
        <w:rPr>
          <w:rFonts w:ascii="Times New Roman" w:hAnsi="Times New Roman"/>
          <w:color w:val="000000" w:themeColor="text1"/>
          <w:lang w:val="en-CA"/>
        </w:rPr>
        <w:t>.</w:t>
      </w:r>
    </w:p>
    <w:p w14:paraId="2B85FF7D" w14:textId="185D7ADB" w:rsidR="00900209" w:rsidRDefault="00900209" w:rsidP="00900209">
      <w:pPr>
        <w:spacing w:before="120" w:after="120"/>
        <w:jc w:val="both"/>
        <w:rPr>
          <w:rFonts w:ascii="Times New Roman" w:hAnsi="Times New Roman"/>
          <w:color w:val="000000" w:themeColor="text1"/>
          <w:lang w:val="en-CA"/>
        </w:rPr>
      </w:pPr>
      <w:r w:rsidRPr="00900209">
        <w:rPr>
          <w:rFonts w:ascii="Times New Roman" w:hAnsi="Times New Roman"/>
          <w:color w:val="000000" w:themeColor="text1"/>
          <w:lang w:val="en-CA"/>
        </w:rPr>
        <w:t xml:space="preserve">On December 31, 2024, the Company acquired Sanan IC's 24.8% interest in SPX </w:t>
      </w:r>
      <w:r w:rsidR="00346028">
        <w:rPr>
          <w:rFonts w:ascii="Times New Roman" w:hAnsi="Times New Roman"/>
          <w:color w:val="000000" w:themeColor="text1"/>
          <w:lang w:val="en-CA"/>
        </w:rPr>
        <w:t>in exchange for a convertible debt</w:t>
      </w:r>
      <w:r w:rsidRPr="00900209">
        <w:rPr>
          <w:rFonts w:ascii="Times New Roman" w:hAnsi="Times New Roman"/>
          <w:color w:val="000000" w:themeColor="text1"/>
          <w:lang w:val="en-CA"/>
        </w:rPr>
        <w:t xml:space="preserve"> of $6,500,000 to be paid, interest-free, over a period of five (5) years as follows:</w:t>
      </w:r>
    </w:p>
    <w:p w14:paraId="7DA79DA1" w14:textId="7D3035E1" w:rsidR="00900209" w:rsidRPr="00900209" w:rsidRDefault="00900209" w:rsidP="00900209">
      <w:pPr>
        <w:spacing w:after="0"/>
        <w:jc w:val="both"/>
        <w:rPr>
          <w:rFonts w:ascii="Times New Roman" w:hAnsi="Times New Roman"/>
          <w:color w:val="000000" w:themeColor="text1"/>
          <w:lang w:val="en-CA"/>
        </w:rPr>
      </w:pPr>
      <w:r w:rsidRPr="00900209">
        <w:rPr>
          <w:rFonts w:ascii="Times New Roman" w:hAnsi="Times New Roman"/>
          <w:color w:val="000000" w:themeColor="text1"/>
          <w:lang w:val="en-CA"/>
        </w:rPr>
        <w:t xml:space="preserve">October 31, </w:t>
      </w:r>
      <w:proofErr w:type="gramStart"/>
      <w:r w:rsidRPr="00900209">
        <w:rPr>
          <w:rFonts w:ascii="Times New Roman" w:hAnsi="Times New Roman"/>
          <w:color w:val="000000" w:themeColor="text1"/>
          <w:lang w:val="en-CA"/>
        </w:rPr>
        <w:t>2025</w:t>
      </w:r>
      <w:proofErr w:type="gramEnd"/>
      <w:r w:rsidRPr="00900209">
        <w:rPr>
          <w:rFonts w:ascii="Times New Roman" w:hAnsi="Times New Roman"/>
          <w:color w:val="000000" w:themeColor="text1"/>
          <w:lang w:val="en-CA"/>
        </w:rPr>
        <w:tab/>
        <w:t>$</w:t>
      </w:r>
      <w:r w:rsidRPr="00900209">
        <w:rPr>
          <w:rFonts w:ascii="Times New Roman" w:hAnsi="Times New Roman"/>
          <w:color w:val="000000" w:themeColor="text1"/>
          <w:lang w:val="en-CA"/>
        </w:rPr>
        <w:tab/>
      </w:r>
      <w:r w:rsidR="00035912">
        <w:rPr>
          <w:rFonts w:ascii="Times New Roman" w:hAnsi="Times New Roman"/>
          <w:color w:val="000000" w:themeColor="text1"/>
          <w:lang w:val="en-CA"/>
        </w:rPr>
        <w:t xml:space="preserve">   </w:t>
      </w:r>
      <w:r w:rsidRPr="00900209">
        <w:rPr>
          <w:rFonts w:ascii="Times New Roman" w:hAnsi="Times New Roman"/>
          <w:color w:val="000000" w:themeColor="text1"/>
          <w:lang w:val="en-CA"/>
        </w:rPr>
        <w:t>700,000</w:t>
      </w:r>
      <w:r w:rsidRPr="00900209">
        <w:rPr>
          <w:rFonts w:ascii="Times New Roman" w:hAnsi="Times New Roman"/>
          <w:color w:val="000000" w:themeColor="text1"/>
          <w:lang w:val="en-CA"/>
        </w:rPr>
        <w:tab/>
      </w:r>
    </w:p>
    <w:p w14:paraId="22572366" w14:textId="77777777" w:rsidR="00900209" w:rsidRPr="00900209" w:rsidRDefault="00900209" w:rsidP="00900209">
      <w:pPr>
        <w:spacing w:after="0"/>
        <w:jc w:val="both"/>
        <w:rPr>
          <w:rFonts w:ascii="Times New Roman" w:hAnsi="Times New Roman"/>
          <w:color w:val="000000" w:themeColor="text1"/>
          <w:lang w:val="en-CA"/>
        </w:rPr>
      </w:pPr>
      <w:r w:rsidRPr="00900209">
        <w:rPr>
          <w:rFonts w:ascii="Times New Roman" w:hAnsi="Times New Roman"/>
          <w:color w:val="000000" w:themeColor="text1"/>
          <w:lang w:val="en-CA"/>
        </w:rPr>
        <w:t xml:space="preserve">October 31, </w:t>
      </w:r>
      <w:proofErr w:type="gramStart"/>
      <w:r w:rsidRPr="00900209">
        <w:rPr>
          <w:rFonts w:ascii="Times New Roman" w:hAnsi="Times New Roman"/>
          <w:color w:val="000000" w:themeColor="text1"/>
          <w:lang w:val="en-CA"/>
        </w:rPr>
        <w:t>2026</w:t>
      </w:r>
      <w:proofErr w:type="gramEnd"/>
      <w:r w:rsidRPr="00900209">
        <w:rPr>
          <w:rFonts w:ascii="Times New Roman" w:hAnsi="Times New Roman"/>
          <w:color w:val="000000" w:themeColor="text1"/>
          <w:lang w:val="en-CA"/>
        </w:rPr>
        <w:tab/>
        <w:t>$</w:t>
      </w:r>
      <w:r w:rsidRPr="00900209">
        <w:rPr>
          <w:rFonts w:ascii="Times New Roman" w:hAnsi="Times New Roman"/>
          <w:color w:val="000000" w:themeColor="text1"/>
          <w:lang w:val="en-CA"/>
        </w:rPr>
        <w:tab/>
        <w:t>1,000,000</w:t>
      </w:r>
      <w:r w:rsidRPr="00900209">
        <w:rPr>
          <w:rFonts w:ascii="Times New Roman" w:hAnsi="Times New Roman"/>
          <w:color w:val="000000" w:themeColor="text1"/>
          <w:lang w:val="en-CA"/>
        </w:rPr>
        <w:tab/>
      </w:r>
    </w:p>
    <w:p w14:paraId="03F5C7EA" w14:textId="77777777" w:rsidR="00900209" w:rsidRPr="00900209" w:rsidRDefault="00900209" w:rsidP="00900209">
      <w:pPr>
        <w:spacing w:after="0"/>
        <w:jc w:val="both"/>
        <w:rPr>
          <w:rFonts w:ascii="Times New Roman" w:hAnsi="Times New Roman"/>
          <w:color w:val="000000" w:themeColor="text1"/>
          <w:lang w:val="en-CA"/>
        </w:rPr>
      </w:pPr>
      <w:r w:rsidRPr="00900209">
        <w:rPr>
          <w:rFonts w:ascii="Times New Roman" w:hAnsi="Times New Roman"/>
          <w:color w:val="000000" w:themeColor="text1"/>
          <w:lang w:val="en-CA"/>
        </w:rPr>
        <w:t xml:space="preserve">October 31, </w:t>
      </w:r>
      <w:proofErr w:type="gramStart"/>
      <w:r w:rsidRPr="00900209">
        <w:rPr>
          <w:rFonts w:ascii="Times New Roman" w:hAnsi="Times New Roman"/>
          <w:color w:val="000000" w:themeColor="text1"/>
          <w:lang w:val="en-CA"/>
        </w:rPr>
        <w:t>2027</w:t>
      </w:r>
      <w:proofErr w:type="gramEnd"/>
      <w:r w:rsidRPr="00900209">
        <w:rPr>
          <w:rFonts w:ascii="Times New Roman" w:hAnsi="Times New Roman"/>
          <w:color w:val="000000" w:themeColor="text1"/>
          <w:lang w:val="en-CA"/>
        </w:rPr>
        <w:tab/>
        <w:t>$</w:t>
      </w:r>
      <w:r w:rsidRPr="00900209">
        <w:rPr>
          <w:rFonts w:ascii="Times New Roman" w:hAnsi="Times New Roman"/>
          <w:color w:val="000000" w:themeColor="text1"/>
          <w:lang w:val="en-CA"/>
        </w:rPr>
        <w:tab/>
        <w:t>1,300,000</w:t>
      </w:r>
      <w:r w:rsidRPr="00900209">
        <w:rPr>
          <w:rFonts w:ascii="Times New Roman" w:hAnsi="Times New Roman"/>
          <w:color w:val="000000" w:themeColor="text1"/>
          <w:lang w:val="en-CA"/>
        </w:rPr>
        <w:tab/>
      </w:r>
    </w:p>
    <w:p w14:paraId="070316E8" w14:textId="77777777" w:rsidR="00900209" w:rsidRPr="00900209" w:rsidRDefault="00900209" w:rsidP="00900209">
      <w:pPr>
        <w:spacing w:after="0"/>
        <w:jc w:val="both"/>
        <w:rPr>
          <w:rFonts w:ascii="Times New Roman" w:hAnsi="Times New Roman"/>
          <w:color w:val="000000" w:themeColor="text1"/>
          <w:lang w:val="en-CA"/>
        </w:rPr>
      </w:pPr>
      <w:r w:rsidRPr="00900209">
        <w:rPr>
          <w:rFonts w:ascii="Times New Roman" w:hAnsi="Times New Roman"/>
          <w:color w:val="000000" w:themeColor="text1"/>
          <w:lang w:val="en-CA"/>
        </w:rPr>
        <w:t xml:space="preserve">October 31, </w:t>
      </w:r>
      <w:proofErr w:type="gramStart"/>
      <w:r w:rsidRPr="00900209">
        <w:rPr>
          <w:rFonts w:ascii="Times New Roman" w:hAnsi="Times New Roman"/>
          <w:color w:val="000000" w:themeColor="text1"/>
          <w:lang w:val="en-CA"/>
        </w:rPr>
        <w:t>2028</w:t>
      </w:r>
      <w:proofErr w:type="gramEnd"/>
      <w:r w:rsidRPr="00900209">
        <w:rPr>
          <w:rFonts w:ascii="Times New Roman" w:hAnsi="Times New Roman"/>
          <w:color w:val="000000" w:themeColor="text1"/>
          <w:lang w:val="en-CA"/>
        </w:rPr>
        <w:tab/>
        <w:t>$</w:t>
      </w:r>
      <w:r w:rsidRPr="00900209">
        <w:rPr>
          <w:rFonts w:ascii="Times New Roman" w:hAnsi="Times New Roman"/>
          <w:color w:val="000000" w:themeColor="text1"/>
          <w:lang w:val="en-CA"/>
        </w:rPr>
        <w:tab/>
        <w:t>1,600,000</w:t>
      </w:r>
      <w:r w:rsidRPr="00900209">
        <w:rPr>
          <w:rFonts w:ascii="Times New Roman" w:hAnsi="Times New Roman"/>
          <w:color w:val="000000" w:themeColor="text1"/>
          <w:lang w:val="en-CA"/>
        </w:rPr>
        <w:tab/>
      </w:r>
    </w:p>
    <w:p w14:paraId="1C926CEB" w14:textId="77777777" w:rsidR="00900209" w:rsidRPr="00900209" w:rsidRDefault="00900209" w:rsidP="00900209">
      <w:pPr>
        <w:spacing w:after="0"/>
        <w:jc w:val="both"/>
        <w:rPr>
          <w:rFonts w:ascii="Times New Roman" w:hAnsi="Times New Roman"/>
          <w:color w:val="000000" w:themeColor="text1"/>
          <w:lang w:val="en-CA"/>
        </w:rPr>
      </w:pPr>
      <w:r w:rsidRPr="00900209">
        <w:rPr>
          <w:rFonts w:ascii="Times New Roman" w:hAnsi="Times New Roman"/>
          <w:color w:val="000000" w:themeColor="text1"/>
          <w:lang w:val="en-CA"/>
        </w:rPr>
        <w:t xml:space="preserve">October 31, </w:t>
      </w:r>
      <w:proofErr w:type="gramStart"/>
      <w:r w:rsidRPr="00900209">
        <w:rPr>
          <w:rFonts w:ascii="Times New Roman" w:hAnsi="Times New Roman"/>
          <w:color w:val="000000" w:themeColor="text1"/>
          <w:lang w:val="en-CA"/>
        </w:rPr>
        <w:t>2029</w:t>
      </w:r>
      <w:proofErr w:type="gramEnd"/>
      <w:r w:rsidRPr="00900209">
        <w:rPr>
          <w:rFonts w:ascii="Times New Roman" w:hAnsi="Times New Roman"/>
          <w:color w:val="000000" w:themeColor="text1"/>
          <w:lang w:val="en-CA"/>
        </w:rPr>
        <w:tab/>
        <w:t>$</w:t>
      </w:r>
      <w:r w:rsidRPr="00900209">
        <w:rPr>
          <w:rFonts w:ascii="Times New Roman" w:hAnsi="Times New Roman"/>
          <w:color w:val="000000" w:themeColor="text1"/>
          <w:lang w:val="en-CA"/>
        </w:rPr>
        <w:tab/>
        <w:t>1,900,000</w:t>
      </w:r>
      <w:r w:rsidRPr="00900209">
        <w:rPr>
          <w:rFonts w:ascii="Times New Roman" w:hAnsi="Times New Roman"/>
          <w:color w:val="000000" w:themeColor="text1"/>
          <w:lang w:val="en-CA"/>
        </w:rPr>
        <w:tab/>
      </w:r>
    </w:p>
    <w:p w14:paraId="370C6D19" w14:textId="66A6E79F" w:rsidR="00900209" w:rsidRDefault="00900209" w:rsidP="00900209">
      <w:pPr>
        <w:spacing w:before="120" w:after="120"/>
        <w:jc w:val="both"/>
        <w:rPr>
          <w:rFonts w:ascii="Times New Roman" w:hAnsi="Times New Roman"/>
          <w:color w:val="000000" w:themeColor="text1"/>
          <w:lang w:val="en-CA"/>
        </w:rPr>
      </w:pPr>
      <w:r w:rsidRPr="00900209">
        <w:rPr>
          <w:rFonts w:ascii="Times New Roman" w:hAnsi="Times New Roman"/>
          <w:color w:val="000000" w:themeColor="text1"/>
          <w:lang w:val="en-CA"/>
        </w:rPr>
        <w:t xml:space="preserve">At any time before the </w:t>
      </w:r>
      <w:r w:rsidR="00346028">
        <w:rPr>
          <w:rFonts w:ascii="Times New Roman" w:hAnsi="Times New Roman"/>
          <w:color w:val="000000" w:themeColor="text1"/>
          <w:lang w:val="en-CA"/>
        </w:rPr>
        <w:t>convertible debt is fully settled</w:t>
      </w:r>
      <w:r w:rsidRPr="00900209">
        <w:rPr>
          <w:rFonts w:ascii="Times New Roman" w:hAnsi="Times New Roman"/>
          <w:color w:val="000000" w:themeColor="text1"/>
          <w:lang w:val="en-CA"/>
        </w:rPr>
        <w:t>, Sanan IC has the right to convert any remaining balance owing into shares of common stock of the Company at a conversion price equal to the greater of:</w:t>
      </w:r>
    </w:p>
    <w:p w14:paraId="72C22076" w14:textId="22E4E3F2" w:rsidR="00900209" w:rsidRPr="00900209" w:rsidRDefault="00900209" w:rsidP="00900209">
      <w:pPr>
        <w:spacing w:before="120" w:after="120"/>
        <w:ind w:left="720" w:hanging="720"/>
        <w:jc w:val="both"/>
        <w:rPr>
          <w:rFonts w:ascii="Times New Roman" w:hAnsi="Times New Roman"/>
          <w:color w:val="000000" w:themeColor="text1"/>
          <w:lang w:val="en-CA"/>
        </w:rPr>
      </w:pPr>
      <w:r w:rsidRPr="00900209">
        <w:rPr>
          <w:rFonts w:ascii="Times New Roman" w:hAnsi="Times New Roman"/>
          <w:color w:val="000000" w:themeColor="text1"/>
          <w:lang w:val="en-CA"/>
        </w:rPr>
        <w:t>(a)</w:t>
      </w:r>
      <w:r w:rsidRPr="00900209">
        <w:rPr>
          <w:rFonts w:ascii="Times New Roman" w:hAnsi="Times New Roman"/>
          <w:color w:val="000000" w:themeColor="text1"/>
          <w:lang w:val="en-CA"/>
        </w:rPr>
        <w:tab/>
        <w:t>the volume weighted average closing price</w:t>
      </w:r>
      <w:r w:rsidR="00F54E6F">
        <w:rPr>
          <w:rFonts w:ascii="Times New Roman" w:hAnsi="Times New Roman"/>
          <w:color w:val="000000" w:themeColor="text1"/>
          <w:lang w:val="en-CA"/>
        </w:rPr>
        <w:t xml:space="preserve"> (“VWAP”)</w:t>
      </w:r>
      <w:r w:rsidRPr="00900209">
        <w:rPr>
          <w:rFonts w:ascii="Times New Roman" w:hAnsi="Times New Roman"/>
          <w:color w:val="000000" w:themeColor="text1"/>
          <w:lang w:val="en-CA"/>
        </w:rPr>
        <w:t xml:space="preserve"> of the common stock of the Company as reported by the NASDAQ Capital Market for thirty (30) days prior to the conversion date; or </w:t>
      </w:r>
    </w:p>
    <w:p w14:paraId="1C643A8B" w14:textId="77777777" w:rsidR="00900209" w:rsidRPr="00900209" w:rsidRDefault="00900209" w:rsidP="00900209">
      <w:pPr>
        <w:spacing w:before="120" w:after="120"/>
        <w:ind w:left="720" w:hanging="720"/>
        <w:jc w:val="both"/>
        <w:rPr>
          <w:rFonts w:ascii="Times New Roman" w:hAnsi="Times New Roman"/>
          <w:color w:val="000000" w:themeColor="text1"/>
          <w:lang w:val="en-CA"/>
        </w:rPr>
      </w:pPr>
      <w:r w:rsidRPr="00900209">
        <w:rPr>
          <w:rFonts w:ascii="Times New Roman" w:hAnsi="Times New Roman"/>
          <w:color w:val="000000" w:themeColor="text1"/>
          <w:lang w:val="en-CA"/>
        </w:rPr>
        <w:t>(b)</w:t>
      </w:r>
      <w:r w:rsidRPr="00900209">
        <w:rPr>
          <w:rFonts w:ascii="Times New Roman" w:hAnsi="Times New Roman"/>
          <w:color w:val="000000" w:themeColor="text1"/>
          <w:lang w:val="en-CA"/>
        </w:rPr>
        <w:tab/>
        <w:t xml:space="preserve">the closing price of the common stock of the Company as reported by the NASDAQ Capital Market the day prior to the conversion date. </w:t>
      </w:r>
    </w:p>
    <w:p w14:paraId="2C576949" w14:textId="15F16425" w:rsidR="00900209" w:rsidRPr="00900209" w:rsidRDefault="00900209" w:rsidP="00900209">
      <w:pPr>
        <w:spacing w:before="120" w:after="120"/>
        <w:jc w:val="both"/>
        <w:rPr>
          <w:rFonts w:ascii="Times New Roman" w:hAnsi="Times New Roman"/>
          <w:color w:val="000000" w:themeColor="text1"/>
          <w:lang w:val="en-CA"/>
        </w:rPr>
      </w:pPr>
      <w:r w:rsidRPr="00900209">
        <w:rPr>
          <w:rFonts w:ascii="Times New Roman" w:hAnsi="Times New Roman"/>
          <w:color w:val="000000" w:themeColor="text1"/>
          <w:lang w:val="en-CA"/>
        </w:rPr>
        <w:t xml:space="preserve">The acquisition of Sanan IC's 24.8% interest in SPX, under which the Company obtains full control over SPX, was determined to be an asset acquisition because SPX did not meet the threshold of a business as defined by IFRS 3. </w:t>
      </w:r>
    </w:p>
    <w:p w14:paraId="4B183E30" w14:textId="29970F22" w:rsidR="00346028" w:rsidRDefault="00346028" w:rsidP="00E21721">
      <w:pPr>
        <w:spacing w:before="120" w:after="120"/>
        <w:jc w:val="both"/>
        <w:rPr>
          <w:rFonts w:ascii="Times New Roman" w:hAnsi="Times New Roman"/>
          <w:color w:val="000000" w:themeColor="text1"/>
          <w:lang w:val="en-CA"/>
        </w:rPr>
      </w:pPr>
      <w:r w:rsidRPr="00346028">
        <w:rPr>
          <w:rFonts w:ascii="Times New Roman" w:hAnsi="Times New Roman"/>
          <w:color w:val="000000" w:themeColor="text1"/>
          <w:lang w:val="en-CA"/>
        </w:rPr>
        <w:t xml:space="preserve">The Company determined that the convertible debt represents a hybrid financial instrument that contains 1) a host debt principal component, 2) a market price conversion feature that is a non-derivative with a value of nil that is not separable from the host debt and, 3) the </w:t>
      </w:r>
      <w:r w:rsidR="00F54E6F">
        <w:rPr>
          <w:rFonts w:ascii="Times New Roman" w:hAnsi="Times New Roman"/>
          <w:color w:val="000000" w:themeColor="text1"/>
          <w:lang w:val="en-CA"/>
        </w:rPr>
        <w:t>VWAP</w:t>
      </w:r>
      <w:r w:rsidRPr="00346028">
        <w:rPr>
          <w:rFonts w:ascii="Times New Roman" w:hAnsi="Times New Roman"/>
          <w:color w:val="000000" w:themeColor="text1"/>
          <w:lang w:val="en-CA"/>
        </w:rPr>
        <w:t xml:space="preserve"> conversion option that is a derivative with a nil value. As Sanan IC can exercise the conversion option at any time, the convertible debt is classified as current liability</w:t>
      </w:r>
      <w:r>
        <w:rPr>
          <w:rFonts w:ascii="Times New Roman" w:hAnsi="Times New Roman"/>
          <w:color w:val="000000" w:themeColor="text1"/>
          <w:lang w:val="en-CA"/>
        </w:rPr>
        <w:t>.</w:t>
      </w:r>
    </w:p>
    <w:p w14:paraId="79FBA2A6" w14:textId="4E4C8A85" w:rsidR="006C1072" w:rsidRDefault="006C1072" w:rsidP="00E21721">
      <w:pPr>
        <w:spacing w:before="120" w:after="120"/>
        <w:jc w:val="both"/>
        <w:rPr>
          <w:rFonts w:ascii="Times New Roman" w:hAnsi="Times New Roman"/>
          <w:color w:val="000000" w:themeColor="text1"/>
          <w:lang w:val="en-CA"/>
        </w:rPr>
      </w:pPr>
      <w:r w:rsidRPr="006C1072">
        <w:rPr>
          <w:rFonts w:ascii="Times New Roman" w:hAnsi="Times New Roman"/>
          <w:color w:val="000000" w:themeColor="text1"/>
          <w:lang w:val="en-CA"/>
        </w:rPr>
        <w:t xml:space="preserve">The Company has operating leases on three facilities; head office located in Toronto, Canada, and operating </w:t>
      </w:r>
      <w:r w:rsidRPr="006C1072">
        <w:rPr>
          <w:rFonts w:ascii="Times New Roman" w:hAnsi="Times New Roman"/>
          <w:color w:val="000000" w:themeColor="text1"/>
          <w:lang w:val="en-CA"/>
        </w:rPr>
        <w:lastRenderedPageBreak/>
        <w:t xml:space="preserve">facilities located in Singapore and China. The lease on the Company's operating facilities in Singapore terminated on </w:t>
      </w:r>
      <w:r w:rsidR="00C70AD3">
        <w:rPr>
          <w:rFonts w:ascii="Times New Roman" w:hAnsi="Times New Roman"/>
          <w:color w:val="000000" w:themeColor="text1"/>
          <w:lang w:val="en-CA"/>
        </w:rPr>
        <w:t>March 31</w:t>
      </w:r>
      <w:r w:rsidR="00FC5D19">
        <w:rPr>
          <w:rFonts w:ascii="Times New Roman" w:hAnsi="Times New Roman"/>
          <w:color w:val="000000" w:themeColor="text1"/>
          <w:lang w:val="en-CA"/>
        </w:rPr>
        <w:t>, 2025</w:t>
      </w:r>
      <w:r w:rsidRPr="006C1072">
        <w:rPr>
          <w:rFonts w:ascii="Times New Roman" w:hAnsi="Times New Roman"/>
          <w:color w:val="000000" w:themeColor="text1"/>
          <w:lang w:val="en-CA"/>
        </w:rPr>
        <w:t xml:space="preserve">. The Company has expanded its operating facilities in Singapore, as a result it </w:t>
      </w:r>
      <w:proofErr w:type="gramStart"/>
      <w:r w:rsidRPr="006C1072">
        <w:rPr>
          <w:rFonts w:ascii="Times New Roman" w:hAnsi="Times New Roman"/>
          <w:color w:val="000000" w:themeColor="text1"/>
          <w:lang w:val="en-CA"/>
        </w:rPr>
        <w:t>entered into</w:t>
      </w:r>
      <w:proofErr w:type="gramEnd"/>
      <w:r w:rsidRPr="006C1072">
        <w:rPr>
          <w:rFonts w:ascii="Times New Roman" w:hAnsi="Times New Roman"/>
          <w:color w:val="000000" w:themeColor="text1"/>
          <w:lang w:val="en-CA"/>
        </w:rPr>
        <w:t xml:space="preserve"> a lease arrangement on October 1, 2024, expiring </w:t>
      </w:r>
      <w:r w:rsidR="0008120C">
        <w:rPr>
          <w:rFonts w:ascii="Times New Roman" w:hAnsi="Times New Roman"/>
          <w:color w:val="000000" w:themeColor="text1"/>
          <w:lang w:val="en-CA"/>
        </w:rPr>
        <w:t>March 1</w:t>
      </w:r>
      <w:r w:rsidRPr="006C1072">
        <w:rPr>
          <w:rFonts w:ascii="Times New Roman" w:hAnsi="Times New Roman"/>
          <w:color w:val="000000" w:themeColor="text1"/>
          <w:lang w:val="en-CA"/>
        </w:rPr>
        <w:t>, 2030. A security deposit in the amount of $</w:t>
      </w:r>
      <w:r w:rsidR="0008120C">
        <w:rPr>
          <w:rFonts w:ascii="Times New Roman" w:hAnsi="Times New Roman"/>
          <w:color w:val="000000" w:themeColor="text1"/>
          <w:lang w:val="en-CA"/>
        </w:rPr>
        <w:t>207,509</w:t>
      </w:r>
      <w:r w:rsidRPr="006C1072">
        <w:rPr>
          <w:rFonts w:ascii="Times New Roman" w:hAnsi="Times New Roman"/>
          <w:color w:val="000000" w:themeColor="text1"/>
          <w:lang w:val="en-CA"/>
        </w:rPr>
        <w:t xml:space="preserve"> was placed with the landlord. The lease on the Company's operating facilities in China terminated in January 2025. The company </w:t>
      </w:r>
      <w:proofErr w:type="gramStart"/>
      <w:r w:rsidRPr="006C1072">
        <w:rPr>
          <w:rFonts w:ascii="Times New Roman" w:hAnsi="Times New Roman"/>
          <w:color w:val="000000" w:themeColor="text1"/>
          <w:lang w:val="en-CA"/>
        </w:rPr>
        <w:t>entered into</w:t>
      </w:r>
      <w:proofErr w:type="gramEnd"/>
      <w:r w:rsidRPr="006C1072">
        <w:rPr>
          <w:rFonts w:ascii="Times New Roman" w:hAnsi="Times New Roman"/>
          <w:color w:val="000000" w:themeColor="text1"/>
          <w:lang w:val="en-CA"/>
        </w:rPr>
        <w:t xml:space="preserve"> a new lease on December 20, 2024, which expires on December 19, 2027. As of </w:t>
      </w:r>
      <w:r w:rsidR="000E08E0">
        <w:rPr>
          <w:rFonts w:ascii="Times New Roman" w:hAnsi="Times New Roman"/>
          <w:color w:val="000000" w:themeColor="text1"/>
          <w:lang w:val="en-CA"/>
        </w:rPr>
        <w:t>September 30, 2025</w:t>
      </w:r>
      <w:r w:rsidRPr="006C1072">
        <w:rPr>
          <w:rFonts w:ascii="Times New Roman" w:hAnsi="Times New Roman"/>
          <w:color w:val="000000" w:themeColor="text1"/>
          <w:lang w:val="en-CA"/>
        </w:rPr>
        <w:t>, the Company's head office was on a month</w:t>
      </w:r>
      <w:r w:rsidRPr="006C1072">
        <w:rPr>
          <w:rFonts w:ascii="Times New Roman" w:hAnsi="Times New Roman"/>
          <w:color w:val="000000" w:themeColor="text1"/>
          <w:lang w:val="en-CA"/>
        </w:rPr>
        <w:noBreakHyphen/>
        <w:t>to</w:t>
      </w:r>
      <w:r w:rsidRPr="006C1072">
        <w:rPr>
          <w:rFonts w:ascii="Times New Roman" w:hAnsi="Times New Roman"/>
          <w:color w:val="000000" w:themeColor="text1"/>
          <w:lang w:val="en-CA"/>
        </w:rPr>
        <w:noBreakHyphen/>
        <w:t>month lease term</w:t>
      </w:r>
    </w:p>
    <w:p w14:paraId="2A995F19" w14:textId="77777777" w:rsidR="00384903" w:rsidRPr="00384903" w:rsidRDefault="00384903" w:rsidP="00384903">
      <w:pPr>
        <w:spacing w:before="120" w:after="120"/>
        <w:jc w:val="both"/>
        <w:rPr>
          <w:rFonts w:ascii="Times New Roman" w:hAnsi="Times New Roman"/>
          <w:color w:val="000000" w:themeColor="text1"/>
          <w:lang w:val="en-CA"/>
        </w:rPr>
      </w:pPr>
      <w:r w:rsidRPr="00384903">
        <w:rPr>
          <w:rFonts w:ascii="Times New Roman" w:hAnsi="Times New Roman"/>
          <w:color w:val="000000" w:themeColor="text1"/>
          <w:lang w:val="en-CA"/>
        </w:rPr>
        <w:t>Remaining minimum annual rental payments to the lease expiration dates are as follows:</w:t>
      </w:r>
    </w:p>
    <w:p w14:paraId="78554C88" w14:textId="300190AB" w:rsidR="00384903" w:rsidRDefault="00384903" w:rsidP="00757061">
      <w:pPr>
        <w:spacing w:after="0" w:line="240" w:lineRule="auto"/>
        <w:jc w:val="both"/>
        <w:rPr>
          <w:rFonts w:ascii="Times New Roman" w:hAnsi="Times New Roman"/>
          <w:lang w:val="en-CA"/>
        </w:rPr>
      </w:pPr>
      <w:r w:rsidRPr="00384903">
        <w:rPr>
          <w:rFonts w:ascii="Times New Roman" w:hAnsi="Times New Roman"/>
          <w:lang w:val="en-CA"/>
        </w:rPr>
        <w:tab/>
      </w:r>
      <w:r w:rsidR="0008120C">
        <w:rPr>
          <w:rFonts w:ascii="Times New Roman" w:hAnsi="Times New Roman"/>
          <w:lang w:val="en-CA"/>
        </w:rPr>
        <w:t>October</w:t>
      </w:r>
      <w:r w:rsidR="006C1072">
        <w:rPr>
          <w:rFonts w:ascii="Times New Roman" w:hAnsi="Times New Roman"/>
          <w:lang w:val="en-CA"/>
        </w:rPr>
        <w:t xml:space="preserve"> 1, </w:t>
      </w:r>
      <w:proofErr w:type="gramStart"/>
      <w:r w:rsidR="00A9351F">
        <w:rPr>
          <w:rFonts w:ascii="Times New Roman" w:hAnsi="Times New Roman"/>
          <w:lang w:val="en-CA"/>
        </w:rPr>
        <w:t>2025</w:t>
      </w:r>
      <w:proofErr w:type="gramEnd"/>
      <w:r w:rsidR="006C1072">
        <w:rPr>
          <w:rFonts w:ascii="Times New Roman" w:hAnsi="Times New Roman"/>
          <w:lang w:val="en-CA"/>
        </w:rPr>
        <w:t xml:space="preserve"> to December 31, </w:t>
      </w:r>
      <w:proofErr w:type="gramStart"/>
      <w:r w:rsidR="006C1072">
        <w:rPr>
          <w:rFonts w:ascii="Times New Roman" w:hAnsi="Times New Roman"/>
          <w:lang w:val="en-CA"/>
        </w:rPr>
        <w:t>2025</w:t>
      </w:r>
      <w:proofErr w:type="gramEnd"/>
      <w:r w:rsidR="00A9351F">
        <w:rPr>
          <w:rFonts w:ascii="Times New Roman" w:hAnsi="Times New Roman"/>
          <w:lang w:val="en-CA"/>
        </w:rPr>
        <w:tab/>
      </w:r>
      <w:r w:rsidRPr="00384903">
        <w:rPr>
          <w:rFonts w:ascii="Times New Roman" w:hAnsi="Times New Roman"/>
          <w:lang w:val="en-CA"/>
        </w:rPr>
        <w:tab/>
      </w:r>
      <w:r w:rsidRPr="00384903">
        <w:rPr>
          <w:rFonts w:ascii="Times New Roman" w:hAnsi="Times New Roman"/>
          <w:lang w:val="en-CA"/>
        </w:rPr>
        <w:tab/>
        <w:t>$</w:t>
      </w:r>
      <w:proofErr w:type="gramStart"/>
      <w:r w:rsidRPr="00384903">
        <w:rPr>
          <w:rFonts w:ascii="Times New Roman" w:hAnsi="Times New Roman"/>
          <w:lang w:val="en-CA"/>
        </w:rPr>
        <w:tab/>
      </w:r>
      <w:r w:rsidR="0008120C">
        <w:rPr>
          <w:rFonts w:ascii="Times New Roman" w:hAnsi="Times New Roman"/>
          <w:lang w:val="en-CA"/>
        </w:rPr>
        <w:t xml:space="preserve">  75,322</w:t>
      </w:r>
      <w:proofErr w:type="gramEnd"/>
    </w:p>
    <w:p w14:paraId="290F5955" w14:textId="435C0C53" w:rsidR="00384903" w:rsidRPr="00384903" w:rsidRDefault="00384903" w:rsidP="00757061">
      <w:pPr>
        <w:spacing w:after="0" w:line="240" w:lineRule="auto"/>
        <w:jc w:val="both"/>
        <w:rPr>
          <w:rFonts w:ascii="Times New Roman" w:hAnsi="Times New Roman"/>
          <w:lang w:val="en-CA"/>
        </w:rPr>
      </w:pPr>
      <w:r w:rsidRPr="00384903">
        <w:rPr>
          <w:rFonts w:ascii="Times New Roman" w:hAnsi="Times New Roman"/>
          <w:lang w:val="en-CA"/>
        </w:rPr>
        <w:tab/>
        <w:t>202</w:t>
      </w:r>
      <w:r w:rsidR="00A9351F">
        <w:rPr>
          <w:rFonts w:ascii="Times New Roman" w:hAnsi="Times New Roman"/>
          <w:lang w:val="en-CA"/>
        </w:rPr>
        <w:t>6</w:t>
      </w:r>
      <w:r w:rsidRPr="00384903">
        <w:rPr>
          <w:rFonts w:ascii="Times New Roman" w:hAnsi="Times New Roman"/>
          <w:lang w:val="en-CA"/>
        </w:rPr>
        <w:t xml:space="preserve"> and beyond</w:t>
      </w:r>
      <w:r w:rsidRPr="00384903">
        <w:rPr>
          <w:rFonts w:ascii="Times New Roman" w:hAnsi="Times New Roman"/>
          <w:lang w:val="en-CA"/>
        </w:rPr>
        <w:tab/>
      </w:r>
      <w:r>
        <w:rPr>
          <w:rFonts w:ascii="Times New Roman" w:hAnsi="Times New Roman"/>
          <w:lang w:val="en-CA"/>
        </w:rPr>
        <w:tab/>
      </w:r>
      <w:r>
        <w:rPr>
          <w:rFonts w:ascii="Times New Roman" w:hAnsi="Times New Roman"/>
          <w:lang w:val="en-CA"/>
        </w:rPr>
        <w:tab/>
      </w:r>
      <w:r w:rsidRPr="00384903">
        <w:rPr>
          <w:rFonts w:ascii="Times New Roman" w:hAnsi="Times New Roman"/>
          <w:lang w:val="en-CA"/>
        </w:rPr>
        <w:tab/>
      </w:r>
      <w:r w:rsidRPr="00384903">
        <w:rPr>
          <w:rFonts w:ascii="Times New Roman" w:hAnsi="Times New Roman"/>
          <w:lang w:val="en-CA"/>
        </w:rPr>
        <w:tab/>
      </w:r>
      <w:r w:rsidRPr="00384903">
        <w:rPr>
          <w:rFonts w:ascii="Times New Roman" w:hAnsi="Times New Roman"/>
          <w:lang w:val="en-CA"/>
        </w:rPr>
        <w:tab/>
      </w:r>
      <w:r w:rsidR="00C70AD3">
        <w:rPr>
          <w:rFonts w:ascii="Times New Roman" w:hAnsi="Times New Roman"/>
          <w:lang w:val="en-CA"/>
        </w:rPr>
        <w:t>964,300</w:t>
      </w:r>
    </w:p>
    <w:p w14:paraId="34637297" w14:textId="6C9A4A33" w:rsidR="00384903" w:rsidRPr="00384903" w:rsidRDefault="00384903" w:rsidP="00757061">
      <w:pPr>
        <w:spacing w:after="0" w:line="240" w:lineRule="auto"/>
        <w:jc w:val="both"/>
        <w:rPr>
          <w:rFonts w:ascii="Times New Roman" w:hAnsi="Times New Roman"/>
          <w:lang w:val="en-CA"/>
        </w:rPr>
      </w:pPr>
      <w:r w:rsidRPr="00384903">
        <w:rPr>
          <w:rFonts w:ascii="Times New Roman" w:hAnsi="Times New Roman"/>
          <w:noProof/>
          <w:lang w:val="en-CA"/>
        </w:rPr>
        <mc:AlternateContent>
          <mc:Choice Requires="wps">
            <w:drawing>
              <wp:anchor distT="0" distB="0" distL="114300" distR="114300" simplePos="0" relativeHeight="251715584" behindDoc="0" locked="0" layoutInCell="0" allowOverlap="1" wp14:anchorId="66475984" wp14:editId="451C4172">
                <wp:simplePos x="0" y="0"/>
                <wp:positionH relativeFrom="character">
                  <wp:posOffset>0</wp:posOffset>
                </wp:positionH>
                <wp:positionV relativeFrom="paragraph">
                  <wp:posOffset>12700</wp:posOffset>
                </wp:positionV>
                <wp:extent cx="5949315" cy="0"/>
                <wp:effectExtent l="0" t="0" r="0" b="0"/>
                <wp:wrapNone/>
                <wp:docPr id="380807161"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315"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8FCA35" id="Straight Connector 69" o:spid="_x0000_s1026" style="position:absolute;z-index:251715584;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 from="0,1pt" to="468.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" o:allowincell="f" strokeweight="1pt"/>
            </w:pict>
          </mc:Fallback>
        </mc:AlternateContent>
      </w:r>
      <w:r w:rsidRPr="00384903">
        <w:rPr>
          <w:rFonts w:ascii="Times New Roman" w:hAnsi="Times New Roman"/>
          <w:lang w:val="en-CA"/>
        </w:rPr>
        <w:tab/>
      </w:r>
      <w:r w:rsidRPr="00384903">
        <w:rPr>
          <w:rFonts w:ascii="Times New Roman" w:hAnsi="Times New Roman"/>
          <w:lang w:val="en-CA"/>
        </w:rPr>
        <w:tab/>
      </w:r>
      <w:r>
        <w:rPr>
          <w:rFonts w:ascii="Times New Roman" w:hAnsi="Times New Roman"/>
          <w:lang w:val="en-CA"/>
        </w:rPr>
        <w:tab/>
      </w:r>
      <w:r>
        <w:rPr>
          <w:rFonts w:ascii="Times New Roman" w:hAnsi="Times New Roman"/>
          <w:lang w:val="en-CA"/>
        </w:rPr>
        <w:tab/>
      </w:r>
      <w:r>
        <w:rPr>
          <w:rFonts w:ascii="Times New Roman" w:hAnsi="Times New Roman"/>
          <w:lang w:val="en-CA"/>
        </w:rPr>
        <w:tab/>
      </w:r>
      <w:r>
        <w:rPr>
          <w:rFonts w:ascii="Times New Roman" w:hAnsi="Times New Roman"/>
          <w:lang w:val="en-CA"/>
        </w:rPr>
        <w:tab/>
      </w:r>
      <w:r>
        <w:rPr>
          <w:rFonts w:ascii="Times New Roman" w:hAnsi="Times New Roman"/>
          <w:lang w:val="en-CA"/>
        </w:rPr>
        <w:tab/>
      </w:r>
      <w:r w:rsidRPr="00384903">
        <w:rPr>
          <w:rFonts w:ascii="Times New Roman" w:hAnsi="Times New Roman"/>
          <w:lang w:val="en-CA"/>
        </w:rPr>
        <w:tab/>
        <w:t>$</w:t>
      </w:r>
      <w:r w:rsidR="00A9351F">
        <w:rPr>
          <w:rFonts w:ascii="Times New Roman" w:hAnsi="Times New Roman"/>
          <w:lang w:val="en-CA"/>
        </w:rPr>
        <w:t xml:space="preserve">        1,</w:t>
      </w:r>
      <w:r w:rsidR="0008120C">
        <w:rPr>
          <w:rFonts w:ascii="Times New Roman" w:hAnsi="Times New Roman"/>
          <w:lang w:val="en-CA"/>
        </w:rPr>
        <w:t>039,622</w:t>
      </w:r>
    </w:p>
    <w:p w14:paraId="662FE824" w14:textId="061C144F" w:rsidR="00384903" w:rsidRPr="00384903" w:rsidRDefault="00384903" w:rsidP="00384903">
      <w:pPr>
        <w:spacing w:before="240" w:after="0" w:line="240" w:lineRule="auto"/>
        <w:jc w:val="both"/>
        <w:rPr>
          <w:rFonts w:ascii="Times New Roman" w:hAnsi="Times New Roman"/>
          <w:lang w:val="en-CA"/>
        </w:rPr>
      </w:pPr>
      <w:r w:rsidRPr="00384903">
        <w:rPr>
          <w:rFonts w:ascii="Times New Roman" w:hAnsi="Times New Roman"/>
          <w:noProof/>
          <w:lang w:val="en-CA"/>
        </w:rPr>
        <mc:AlternateContent>
          <mc:Choice Requires="wps">
            <w:drawing>
              <wp:anchor distT="0" distB="0" distL="114300" distR="114300" simplePos="0" relativeHeight="251716608" behindDoc="0" locked="0" layoutInCell="0" allowOverlap="1" wp14:anchorId="5A41FA50" wp14:editId="5A3A3550">
                <wp:simplePos x="0" y="0"/>
                <wp:positionH relativeFrom="character">
                  <wp:posOffset>0</wp:posOffset>
                </wp:positionH>
                <wp:positionV relativeFrom="paragraph">
                  <wp:posOffset>0</wp:posOffset>
                </wp:positionV>
                <wp:extent cx="5949315" cy="0"/>
                <wp:effectExtent l="0" t="0" r="0" b="0"/>
                <wp:wrapNone/>
                <wp:docPr id="691721300"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315"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D9A9DC" id="Straight Connector 68" o:spid="_x0000_s1026" style="position:absolute;z-index:25171660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 from="0,0" to="468.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" o:allowincell="f" strokeweight="1pt"/>
            </w:pict>
          </mc:Fallback>
        </mc:AlternateContent>
      </w:r>
    </w:p>
    <w:p w14:paraId="335876DB" w14:textId="59F4F527" w:rsidR="00AB5733" w:rsidRDefault="005C4941" w:rsidP="000926C9">
      <w:pPr>
        <w:spacing w:before="120" w:after="120"/>
        <w:jc w:val="both"/>
        <w:rPr>
          <w:rFonts w:ascii="Times New Roman" w:eastAsia="Times New Roman" w:hAnsi="Times New Roman"/>
          <w:b/>
          <w:i/>
        </w:rPr>
      </w:pPr>
      <w:r>
        <w:rPr>
          <w:rFonts w:ascii="Times New Roman" w:eastAsia="Times New Roman" w:hAnsi="Times New Roman"/>
          <w:b/>
          <w:i/>
        </w:rPr>
        <w:t>Subsequent Events</w:t>
      </w:r>
    </w:p>
    <w:p w14:paraId="1250D94B" w14:textId="55A289D0" w:rsidR="0008120C" w:rsidRPr="0008120C" w:rsidRDefault="0008120C" w:rsidP="0008120C">
      <w:pPr>
        <w:jc w:val="both"/>
        <w:rPr>
          <w:rFonts w:ascii="Times New Roman" w:hAnsi="Times New Roman"/>
          <w:color w:val="000000" w:themeColor="text1"/>
          <w:lang w:val="en-CA"/>
        </w:rPr>
      </w:pPr>
      <w:r w:rsidRPr="0008120C">
        <w:rPr>
          <w:rFonts w:ascii="Times New Roman" w:hAnsi="Times New Roman"/>
          <w:color w:val="000000" w:themeColor="text1"/>
          <w:lang w:val="en-CA"/>
        </w:rPr>
        <w:t xml:space="preserve">On October 7, 2025, the Company raised gross proceeds of $75,000,002 from the issuance of 13,636,364 units through a non brokered private placement offering at a price $5.50. Each unit consisted of one common share of the Company and one common share purchase warrant to purchase up to 13,636,364 common shares for a period of five (5) years from the date of closing at a price of CA$9.78 per share. </w:t>
      </w:r>
    </w:p>
    <w:p w14:paraId="42ACC413" w14:textId="77777777" w:rsidR="0008120C" w:rsidRPr="0008120C" w:rsidRDefault="0008120C" w:rsidP="0008120C">
      <w:pPr>
        <w:jc w:val="both"/>
        <w:rPr>
          <w:rFonts w:ascii="Times New Roman" w:hAnsi="Times New Roman"/>
          <w:color w:val="000000" w:themeColor="text1"/>
          <w:lang w:val="en-CA"/>
        </w:rPr>
      </w:pPr>
      <w:r w:rsidRPr="0008120C">
        <w:rPr>
          <w:rFonts w:ascii="Times New Roman" w:hAnsi="Times New Roman"/>
          <w:color w:val="000000" w:themeColor="text1"/>
          <w:lang w:val="en-CA"/>
        </w:rPr>
        <w:t xml:space="preserve">On October 28, 2025, the Company raised gross proceeds of $150,000,000 from the issuance of 20,689,655 common shares through a brokered registered direct offering at a price $7.25. </w:t>
      </w:r>
    </w:p>
    <w:p w14:paraId="68D0E84B" w14:textId="5DF83337" w:rsidR="000F0A0B" w:rsidRPr="00733BA2" w:rsidRDefault="004928E7" w:rsidP="00E052B7">
      <w:pPr>
        <w:autoSpaceDE w:val="0"/>
        <w:autoSpaceDN w:val="0"/>
        <w:adjustRightInd w:val="0"/>
        <w:spacing w:after="0"/>
        <w:jc w:val="both"/>
        <w:rPr>
          <w:rFonts w:ascii="Times New Roman" w:eastAsia="Times New Roman" w:hAnsi="Times New Roman"/>
          <w:color w:val="000000"/>
          <w:lang w:val="en-CA" w:eastAsia="en-CA"/>
        </w:rPr>
      </w:pPr>
      <w:r w:rsidRPr="00733BA2">
        <w:rPr>
          <w:rFonts w:ascii="Times New Roman" w:eastAsia="Times New Roman" w:hAnsi="Times New Roman"/>
          <w:b/>
          <w:i/>
        </w:rPr>
        <w:t>Related Party Transactions</w:t>
      </w:r>
    </w:p>
    <w:p w14:paraId="1424FF70" w14:textId="626C0180" w:rsidR="0045750F" w:rsidRDefault="004928E7" w:rsidP="00F9092C">
      <w:pPr>
        <w:autoSpaceDE w:val="0"/>
        <w:autoSpaceDN w:val="0"/>
        <w:adjustRightInd w:val="0"/>
        <w:spacing w:after="0"/>
        <w:jc w:val="both"/>
        <w:rPr>
          <w:rFonts w:ascii="Times New Roman" w:eastAsia="Times New Roman" w:hAnsi="Times New Roman"/>
          <w:color w:val="000000"/>
          <w:lang w:val="en-CA" w:eastAsia="en-CA"/>
        </w:rPr>
      </w:pPr>
      <w:r w:rsidRPr="00145985">
        <w:rPr>
          <w:rFonts w:ascii="Times New Roman" w:eastAsia="Times New Roman" w:hAnsi="Times New Roman"/>
          <w:color w:val="000000"/>
          <w:lang w:val="en-CA" w:eastAsia="en-CA"/>
        </w:rPr>
        <w:t>Compensation to key management personnel</w:t>
      </w:r>
      <w:r w:rsidR="007C1589" w:rsidRPr="00145985">
        <w:rPr>
          <w:rFonts w:ascii="Times New Roman" w:eastAsia="Times New Roman" w:hAnsi="Times New Roman"/>
          <w:color w:val="000000"/>
          <w:lang w:val="en-CA" w:eastAsia="en-CA"/>
        </w:rPr>
        <w:t xml:space="preserve"> </w:t>
      </w:r>
      <w:r w:rsidR="00FD14A6">
        <w:rPr>
          <w:rFonts w:ascii="Times New Roman" w:eastAsia="Times New Roman" w:hAnsi="Times New Roman"/>
          <w:color w:val="000000"/>
          <w:lang w:val="en-CA" w:eastAsia="en-CA"/>
        </w:rPr>
        <w:t>including directors</w:t>
      </w:r>
      <w:r w:rsidR="00D14537">
        <w:rPr>
          <w:rFonts w:ascii="Times New Roman" w:eastAsia="Times New Roman" w:hAnsi="Times New Roman"/>
          <w:color w:val="000000"/>
          <w:lang w:val="en-CA" w:eastAsia="en-CA"/>
        </w:rPr>
        <w:t xml:space="preserve"> for the </w:t>
      </w:r>
      <w:r w:rsidR="0008120C">
        <w:rPr>
          <w:rFonts w:ascii="Times New Roman" w:eastAsia="Times New Roman" w:hAnsi="Times New Roman"/>
          <w:color w:val="000000"/>
          <w:lang w:val="en-CA" w:eastAsia="en-CA"/>
        </w:rPr>
        <w:t>nine</w:t>
      </w:r>
      <w:r w:rsidR="00F9092C">
        <w:rPr>
          <w:rFonts w:ascii="Times New Roman" w:eastAsia="Times New Roman" w:hAnsi="Times New Roman"/>
          <w:color w:val="000000"/>
          <w:lang w:val="en-CA" w:eastAsia="en-CA"/>
        </w:rPr>
        <w:t xml:space="preserve"> </w:t>
      </w:r>
      <w:r w:rsidR="001D4133">
        <w:rPr>
          <w:rFonts w:ascii="Times New Roman" w:eastAsia="Times New Roman" w:hAnsi="Times New Roman"/>
          <w:color w:val="000000"/>
          <w:lang w:val="en-CA" w:eastAsia="en-CA"/>
        </w:rPr>
        <w:t>months ended</w:t>
      </w:r>
      <w:r w:rsidR="006437D0">
        <w:rPr>
          <w:rFonts w:ascii="Times New Roman" w:eastAsia="Times New Roman" w:hAnsi="Times New Roman"/>
          <w:color w:val="000000"/>
          <w:lang w:val="en-CA" w:eastAsia="en-CA"/>
        </w:rPr>
        <w:t xml:space="preserve"> </w:t>
      </w:r>
      <w:r w:rsidR="0008120C">
        <w:rPr>
          <w:rFonts w:ascii="Times New Roman" w:eastAsia="Times New Roman" w:hAnsi="Times New Roman"/>
          <w:color w:val="000000"/>
          <w:lang w:val="en-CA" w:eastAsia="en-CA"/>
        </w:rPr>
        <w:t>September 30</w:t>
      </w:r>
      <w:r w:rsidR="00F9092C">
        <w:rPr>
          <w:rFonts w:ascii="Times New Roman" w:eastAsia="Times New Roman" w:hAnsi="Times New Roman"/>
          <w:color w:val="000000"/>
          <w:lang w:val="en-CA" w:eastAsia="en-CA"/>
        </w:rPr>
        <w:t>, 2025</w:t>
      </w:r>
      <w:r w:rsidR="00194C5A">
        <w:rPr>
          <w:rFonts w:ascii="Times New Roman" w:eastAsia="Times New Roman" w:hAnsi="Times New Roman"/>
          <w:color w:val="000000"/>
          <w:lang w:val="en-CA" w:eastAsia="en-CA"/>
        </w:rPr>
        <w:t>,</w:t>
      </w:r>
      <w:r w:rsidR="00293483">
        <w:rPr>
          <w:rFonts w:ascii="Times New Roman" w:eastAsia="Times New Roman" w:hAnsi="Times New Roman"/>
          <w:color w:val="000000"/>
          <w:lang w:val="en-CA" w:eastAsia="en-CA"/>
        </w:rPr>
        <w:t xml:space="preserve"> </w:t>
      </w:r>
      <w:r w:rsidR="00D14537">
        <w:rPr>
          <w:rFonts w:ascii="Times New Roman" w:eastAsia="Times New Roman" w:hAnsi="Times New Roman"/>
          <w:color w:val="000000"/>
          <w:lang w:val="en-CA" w:eastAsia="en-CA"/>
        </w:rPr>
        <w:t xml:space="preserve">was </w:t>
      </w:r>
      <w:r w:rsidRPr="00145985">
        <w:rPr>
          <w:rFonts w:ascii="Times New Roman" w:eastAsia="Times New Roman" w:hAnsi="Times New Roman"/>
          <w:color w:val="000000"/>
          <w:lang w:val="en-CA" w:eastAsia="en-CA"/>
        </w:rPr>
        <w:t>as follows:</w:t>
      </w:r>
    </w:p>
    <w:p w14:paraId="2AB01C4F" w14:textId="77777777" w:rsidR="0009252B" w:rsidRDefault="0009252B" w:rsidP="00145985">
      <w:pPr>
        <w:autoSpaceDE w:val="0"/>
        <w:autoSpaceDN w:val="0"/>
        <w:adjustRightInd w:val="0"/>
        <w:spacing w:after="0" w:line="240" w:lineRule="auto"/>
        <w:jc w:val="both"/>
        <w:rPr>
          <w:rFonts w:ascii="Times New Roman" w:eastAsia="Times New Roman" w:hAnsi="Times New Roman"/>
          <w:color w:val="000000"/>
          <w:lang w:val="en-CA" w:eastAsia="en-CA"/>
        </w:rPr>
      </w:pPr>
    </w:p>
    <w:p w14:paraId="413AC742" w14:textId="1872AF6F" w:rsidR="0035008F" w:rsidRPr="00E052B7" w:rsidRDefault="004928E7" w:rsidP="0035008F">
      <w:pPr>
        <w:tabs>
          <w:tab w:val="center" w:pos="5159"/>
          <w:tab w:val="center" w:pos="6576"/>
          <w:tab w:val="center" w:pos="8064"/>
          <w:tab w:val="center" w:pos="9432"/>
        </w:tabs>
        <w:autoSpaceDE w:val="0"/>
        <w:autoSpaceDN w:val="0"/>
        <w:adjustRightInd w:val="0"/>
        <w:spacing w:after="0" w:line="240" w:lineRule="auto"/>
        <w:rPr>
          <w:rFonts w:ascii="Times New Roman" w:eastAsia="Times New Roman" w:hAnsi="Times New Roman"/>
          <w:color w:val="000000"/>
          <w:lang w:val="en-CA" w:eastAsia="en-CA"/>
        </w:rPr>
      </w:pPr>
      <w:r w:rsidRPr="00E052B7">
        <w:rPr>
          <w:rFonts w:ascii="Times New Roman" w:eastAsia="Times New Roman" w:hAnsi="Times New Roman"/>
          <w:b/>
          <w:bCs/>
          <w:color w:val="000000"/>
          <w:lang w:val="en-CA" w:eastAsia="en-CA"/>
        </w:rPr>
        <w:tab/>
      </w:r>
      <w:r w:rsidRPr="00E052B7">
        <w:rPr>
          <w:rFonts w:ascii="Times New Roman" w:eastAsia="Times New Roman" w:hAnsi="Times New Roman"/>
          <w:color w:val="000000"/>
          <w:lang w:val="en-CA" w:eastAsia="en-CA"/>
        </w:rPr>
        <w:tab/>
      </w:r>
      <w:r w:rsidRPr="00E052B7">
        <w:rPr>
          <w:rFonts w:ascii="Times New Roman" w:eastAsia="Times New Roman" w:hAnsi="Times New Roman"/>
          <w:b/>
          <w:bCs/>
          <w:color w:val="000000"/>
          <w:lang w:val="en-CA" w:eastAsia="en-CA"/>
        </w:rPr>
        <w:t>20</w:t>
      </w:r>
      <w:r w:rsidR="00160D03">
        <w:rPr>
          <w:rFonts w:ascii="Times New Roman" w:eastAsia="Times New Roman" w:hAnsi="Times New Roman"/>
          <w:b/>
          <w:bCs/>
          <w:color w:val="000000"/>
          <w:lang w:val="en-CA" w:eastAsia="en-CA"/>
        </w:rPr>
        <w:t>2</w:t>
      </w:r>
      <w:r w:rsidR="00F9092C">
        <w:rPr>
          <w:rFonts w:ascii="Times New Roman" w:eastAsia="Times New Roman" w:hAnsi="Times New Roman"/>
          <w:b/>
          <w:bCs/>
          <w:color w:val="000000"/>
          <w:lang w:val="en-CA" w:eastAsia="en-CA"/>
        </w:rPr>
        <w:t>5</w:t>
      </w:r>
      <w:r w:rsidRPr="00E052B7">
        <w:rPr>
          <w:rFonts w:ascii="Times New Roman" w:eastAsia="Times New Roman" w:hAnsi="Times New Roman"/>
          <w:color w:val="000000"/>
          <w:lang w:val="en-CA" w:eastAsia="en-CA"/>
        </w:rPr>
        <w:tab/>
        <w:t>20</w:t>
      </w:r>
      <w:r w:rsidR="005564DB">
        <w:rPr>
          <w:rFonts w:ascii="Times New Roman" w:eastAsia="Times New Roman" w:hAnsi="Times New Roman"/>
          <w:color w:val="000000"/>
          <w:lang w:val="en-CA" w:eastAsia="en-CA"/>
        </w:rPr>
        <w:t>2</w:t>
      </w:r>
      <w:r w:rsidR="00F9092C">
        <w:rPr>
          <w:rFonts w:ascii="Times New Roman" w:eastAsia="Times New Roman" w:hAnsi="Times New Roman"/>
          <w:color w:val="000000"/>
          <w:lang w:val="en-CA" w:eastAsia="en-CA"/>
        </w:rPr>
        <w:t>4</w:t>
      </w:r>
      <w:r w:rsidRPr="00E052B7">
        <w:rPr>
          <w:rFonts w:ascii="Times New Roman" w:eastAsia="Times New Roman" w:hAnsi="Times New Roman"/>
          <w:color w:val="000000"/>
          <w:lang w:val="en-CA" w:eastAsia="en-CA"/>
        </w:rPr>
        <w:tab/>
      </w:r>
    </w:p>
    <w:p w14:paraId="06FB1089" w14:textId="77777777" w:rsidR="0035008F" w:rsidRPr="00E052B7" w:rsidRDefault="004928E7" w:rsidP="0035008F">
      <w:pPr>
        <w:autoSpaceDE w:val="0"/>
        <w:autoSpaceDN w:val="0"/>
        <w:adjustRightInd w:val="0"/>
        <w:spacing w:after="0" w:line="240" w:lineRule="auto"/>
        <w:ind w:left="720"/>
        <w:rPr>
          <w:rFonts w:ascii="Times New Roman" w:eastAsia="Times New Roman" w:hAnsi="Times New Roman"/>
          <w:color w:val="000000"/>
          <w:lang w:val="en-CA" w:eastAsia="en-CA"/>
        </w:rPr>
      </w:pPr>
      <w:r>
        <w:rPr>
          <w:noProof/>
        </w:rPr>
        <mc:AlternateContent>
          <mc:Choice Requires="wps">
            <w:drawing>
              <wp:anchor distT="0" distB="0" distL="114300" distR="114300" simplePos="0" relativeHeight="251660288" behindDoc="0" locked="0" layoutInCell="0" allowOverlap="1" wp14:anchorId="5C46BF46" wp14:editId="2124D53F">
                <wp:simplePos x="0" y="0"/>
                <wp:positionH relativeFrom="character">
                  <wp:posOffset>0</wp:posOffset>
                </wp:positionH>
                <wp:positionV relativeFrom="paragraph">
                  <wp:posOffset>57149</wp:posOffset>
                </wp:positionV>
                <wp:extent cx="5949315" cy="0"/>
                <wp:effectExtent l="0" t="0" r="0" b="0"/>
                <wp:wrapNone/>
                <wp:docPr id="6" name="Straight Connector 6"/>
                <wp:cNvGraphicFramePr/>
                <a:graphic xmlns:a="http://schemas.openxmlformats.org/drawingml/2006/main">
                  <a:graphicData uri="http://schemas.microsoft.com/office/word/2010/wordprocessingShape">
                    <wps:wsp>
                      <wps:cNvCnPr/>
                      <wps:spPr bwMode="auto">
                        <a:xfrm>
                          <a:off x="0" y="0"/>
                          <a:ext cx="5949315" cy="0"/>
                        </a:xfrm>
                        <a:prstGeom prst="line">
                          <a:avLst/>
                        </a:prstGeom>
                        <a:noFill/>
                        <a:ln w="1270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555E905A"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 from="0,4.5pt" to="468.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" o:allowincell="f" strokeweight="1pt"/>
            </w:pict>
          </mc:Fallback>
        </mc:AlternateContent>
      </w:r>
    </w:p>
    <w:p w14:paraId="68B61E46" w14:textId="77777777" w:rsidR="0035008F" w:rsidRPr="00E052B7" w:rsidRDefault="0035008F" w:rsidP="0035008F">
      <w:pPr>
        <w:autoSpaceDE w:val="0"/>
        <w:autoSpaceDN w:val="0"/>
        <w:adjustRightInd w:val="0"/>
        <w:spacing w:after="0" w:line="240" w:lineRule="auto"/>
        <w:ind w:left="1020"/>
        <w:rPr>
          <w:rFonts w:ascii="Times New Roman" w:eastAsia="Times New Roman" w:hAnsi="Times New Roman"/>
          <w:color w:val="000000"/>
          <w:lang w:val="en-CA" w:eastAsia="en-CA"/>
        </w:rPr>
      </w:pPr>
    </w:p>
    <w:p w14:paraId="2DB460B6" w14:textId="34CC4117" w:rsidR="0035008F" w:rsidRPr="00E052B7" w:rsidRDefault="004928E7" w:rsidP="0035008F">
      <w:pPr>
        <w:tabs>
          <w:tab w:val="left" w:pos="4308"/>
          <w:tab w:val="left" w:pos="5668"/>
          <w:tab w:val="right" w:pos="6938"/>
          <w:tab w:val="left" w:pos="6964"/>
          <w:tab w:val="left" w:pos="7197"/>
          <w:tab w:val="right" w:pos="8467"/>
          <w:tab w:val="left" w:pos="8493"/>
          <w:tab w:val="left" w:pos="8616"/>
          <w:tab w:val="right" w:pos="9886"/>
          <w:tab w:val="left" w:pos="9912"/>
        </w:tabs>
        <w:autoSpaceDE w:val="0"/>
        <w:autoSpaceDN w:val="0"/>
        <w:adjustRightInd w:val="0"/>
        <w:spacing w:after="0" w:line="240" w:lineRule="auto"/>
        <w:ind w:left="1020"/>
        <w:rPr>
          <w:rFonts w:ascii="Times New Roman" w:eastAsia="Times New Roman" w:hAnsi="Times New Roman"/>
          <w:color w:val="000000"/>
          <w:lang w:val="en-CA" w:eastAsia="en-CA"/>
        </w:rPr>
      </w:pPr>
      <w:r w:rsidRPr="00E052B7">
        <w:rPr>
          <w:rFonts w:ascii="Times New Roman" w:eastAsia="Times New Roman" w:hAnsi="Times New Roman"/>
          <w:color w:val="000000"/>
          <w:lang w:val="en-CA" w:eastAsia="en-CA"/>
        </w:rPr>
        <w:t>Salaries</w:t>
      </w:r>
      <w:r w:rsidRPr="00E052B7">
        <w:rPr>
          <w:rFonts w:ascii="Times New Roman" w:eastAsia="Times New Roman" w:hAnsi="Times New Roman"/>
          <w:color w:val="000000"/>
          <w:lang w:val="en-CA" w:eastAsia="en-CA"/>
        </w:rPr>
        <w:tab/>
      </w:r>
      <w:r w:rsidRPr="00E052B7">
        <w:rPr>
          <w:rFonts w:ascii="Times New Roman" w:eastAsia="Times New Roman" w:hAnsi="Times New Roman"/>
          <w:color w:val="000000"/>
          <w:lang w:val="en-CA" w:eastAsia="en-CA"/>
        </w:rPr>
        <w:tab/>
      </w:r>
      <w:r w:rsidRPr="00E052B7">
        <w:rPr>
          <w:rFonts w:ascii="Times New Roman" w:eastAsia="Times New Roman" w:hAnsi="Times New Roman"/>
          <w:b/>
          <w:bCs/>
          <w:color w:val="000000"/>
          <w:lang w:val="en-CA" w:eastAsia="en-CA"/>
        </w:rPr>
        <w:t>$</w:t>
      </w:r>
      <w:r w:rsidRPr="00E052B7">
        <w:rPr>
          <w:rFonts w:ascii="Times New Roman" w:eastAsia="Times New Roman" w:hAnsi="Times New Roman"/>
          <w:b/>
          <w:bCs/>
          <w:color w:val="000000"/>
          <w:lang w:val="en-CA" w:eastAsia="en-CA"/>
        </w:rPr>
        <w:tab/>
      </w:r>
      <w:r w:rsidR="0008120C">
        <w:rPr>
          <w:rFonts w:ascii="Times New Roman" w:eastAsia="Times New Roman" w:hAnsi="Times New Roman"/>
          <w:b/>
          <w:bCs/>
          <w:color w:val="000000"/>
          <w:lang w:val="en-CA" w:eastAsia="en-CA"/>
        </w:rPr>
        <w:t>3,096,573</w:t>
      </w:r>
      <w:r w:rsidRPr="00E052B7">
        <w:rPr>
          <w:rFonts w:ascii="Times New Roman" w:eastAsia="Times New Roman" w:hAnsi="Times New Roman"/>
          <w:b/>
          <w:bCs/>
          <w:color w:val="000000"/>
          <w:lang w:val="en-CA" w:eastAsia="en-CA"/>
        </w:rPr>
        <w:tab/>
      </w:r>
      <w:r w:rsidRPr="00E052B7">
        <w:rPr>
          <w:rFonts w:ascii="Times New Roman" w:eastAsia="Times New Roman" w:hAnsi="Times New Roman"/>
          <w:color w:val="000000"/>
          <w:lang w:val="en-CA" w:eastAsia="en-CA"/>
        </w:rPr>
        <w:tab/>
        <w:t>$</w:t>
      </w:r>
      <w:r w:rsidRPr="00E052B7">
        <w:rPr>
          <w:rFonts w:ascii="Times New Roman" w:eastAsia="Times New Roman" w:hAnsi="Times New Roman"/>
          <w:color w:val="000000"/>
          <w:lang w:val="en-CA" w:eastAsia="en-CA"/>
        </w:rPr>
        <w:tab/>
      </w:r>
      <w:r w:rsidR="00C70AD3">
        <w:rPr>
          <w:rFonts w:ascii="Times New Roman" w:eastAsia="Times New Roman" w:hAnsi="Times New Roman"/>
          <w:color w:val="000000"/>
          <w:lang w:val="en-CA" w:eastAsia="en-CA"/>
        </w:rPr>
        <w:t>1,</w:t>
      </w:r>
      <w:r w:rsidR="0008120C">
        <w:rPr>
          <w:rFonts w:ascii="Times New Roman" w:eastAsia="Times New Roman" w:hAnsi="Times New Roman"/>
          <w:color w:val="000000"/>
          <w:lang w:val="en-CA" w:eastAsia="en-CA"/>
        </w:rPr>
        <w:t>862,903</w:t>
      </w:r>
      <w:r w:rsidRPr="00E052B7">
        <w:rPr>
          <w:rFonts w:ascii="Times New Roman" w:eastAsia="Times New Roman" w:hAnsi="Times New Roman"/>
          <w:color w:val="000000"/>
          <w:lang w:val="en-CA" w:eastAsia="en-CA"/>
        </w:rPr>
        <w:tab/>
      </w:r>
      <w:r w:rsidRPr="00E052B7">
        <w:rPr>
          <w:rFonts w:ascii="Times New Roman" w:eastAsia="Times New Roman" w:hAnsi="Times New Roman"/>
          <w:color w:val="000000"/>
          <w:lang w:val="en-CA" w:eastAsia="en-CA"/>
        </w:rPr>
        <w:tab/>
      </w:r>
      <w:r w:rsidRPr="00E052B7">
        <w:rPr>
          <w:rFonts w:ascii="Times New Roman" w:eastAsia="Times New Roman" w:hAnsi="Times New Roman"/>
          <w:color w:val="000000"/>
          <w:lang w:val="en-CA" w:eastAsia="en-CA"/>
        </w:rPr>
        <w:tab/>
      </w:r>
    </w:p>
    <w:p w14:paraId="7BEEF490" w14:textId="6D9B71B9" w:rsidR="0035008F" w:rsidRPr="00E052B7" w:rsidRDefault="004928E7" w:rsidP="0035008F">
      <w:pPr>
        <w:tabs>
          <w:tab w:val="left" w:pos="4308"/>
          <w:tab w:val="left" w:pos="5668"/>
          <w:tab w:val="right" w:pos="6938"/>
          <w:tab w:val="left" w:pos="6964"/>
          <w:tab w:val="left" w:pos="7200"/>
          <w:tab w:val="right" w:pos="8470"/>
          <w:tab w:val="left" w:pos="8496"/>
          <w:tab w:val="left" w:pos="8640"/>
          <w:tab w:val="right" w:pos="9910"/>
          <w:tab w:val="left" w:pos="9936"/>
        </w:tabs>
        <w:autoSpaceDE w:val="0"/>
        <w:autoSpaceDN w:val="0"/>
        <w:adjustRightInd w:val="0"/>
        <w:spacing w:after="0" w:line="240" w:lineRule="auto"/>
        <w:ind w:left="1020"/>
        <w:rPr>
          <w:rFonts w:ascii="Times New Roman" w:eastAsia="Times New Roman" w:hAnsi="Times New Roman"/>
          <w:color w:val="000000"/>
          <w:lang w:val="en-CA" w:eastAsia="en-CA"/>
        </w:rPr>
      </w:pPr>
      <w:r w:rsidRPr="00E052B7">
        <w:rPr>
          <w:rFonts w:ascii="Times New Roman" w:eastAsia="Times New Roman" w:hAnsi="Times New Roman"/>
          <w:color w:val="000000"/>
          <w:lang w:val="en-CA" w:eastAsia="en-CA"/>
        </w:rPr>
        <w:t>Share</w:t>
      </w:r>
      <w:r w:rsidRPr="00E052B7">
        <w:rPr>
          <w:rFonts w:ascii="Times New Roman" w:eastAsia="Times New Roman" w:hAnsi="Times New Roman"/>
          <w:color w:val="000000"/>
          <w:lang w:val="en-CA" w:eastAsia="en-CA"/>
        </w:rPr>
        <w:noBreakHyphen/>
        <w:t>based payments (1)</w:t>
      </w:r>
      <w:r w:rsidRPr="00E052B7">
        <w:rPr>
          <w:rFonts w:ascii="Times New Roman" w:eastAsia="Times New Roman" w:hAnsi="Times New Roman"/>
          <w:color w:val="000000"/>
          <w:lang w:val="en-CA" w:eastAsia="en-CA"/>
        </w:rPr>
        <w:tab/>
      </w:r>
      <w:r w:rsidRPr="00E052B7">
        <w:rPr>
          <w:rFonts w:ascii="Times New Roman" w:eastAsia="Times New Roman" w:hAnsi="Times New Roman"/>
          <w:color w:val="000000"/>
          <w:lang w:val="en-CA" w:eastAsia="en-CA"/>
        </w:rPr>
        <w:tab/>
      </w:r>
      <w:r w:rsidRPr="00E052B7">
        <w:rPr>
          <w:rFonts w:ascii="Times New Roman" w:eastAsia="Times New Roman" w:hAnsi="Times New Roman"/>
          <w:b/>
          <w:bCs/>
          <w:color w:val="000000"/>
          <w:lang w:val="en-CA" w:eastAsia="en-CA"/>
        </w:rPr>
        <w:tab/>
      </w:r>
      <w:r w:rsidR="0008120C">
        <w:rPr>
          <w:rFonts w:ascii="Times New Roman" w:eastAsia="Times New Roman" w:hAnsi="Times New Roman"/>
          <w:b/>
          <w:bCs/>
          <w:color w:val="000000"/>
          <w:lang w:val="en-CA" w:eastAsia="en-CA"/>
        </w:rPr>
        <w:t>2,267,727</w:t>
      </w:r>
      <w:r w:rsidR="00293483">
        <w:rPr>
          <w:rFonts w:ascii="Times New Roman" w:eastAsia="Times New Roman" w:hAnsi="Times New Roman"/>
          <w:color w:val="000000"/>
          <w:lang w:val="en-CA" w:eastAsia="en-CA"/>
        </w:rPr>
        <w:tab/>
      </w:r>
      <w:r w:rsidRPr="00E052B7">
        <w:rPr>
          <w:rFonts w:ascii="Times New Roman" w:eastAsia="Times New Roman" w:hAnsi="Times New Roman"/>
          <w:color w:val="000000"/>
          <w:lang w:val="en-CA" w:eastAsia="en-CA"/>
        </w:rPr>
        <w:tab/>
      </w:r>
      <w:r w:rsidR="00572636">
        <w:rPr>
          <w:rFonts w:ascii="Times New Roman" w:eastAsia="Times New Roman" w:hAnsi="Times New Roman"/>
          <w:color w:val="000000"/>
          <w:lang w:val="en-CA" w:eastAsia="en-CA"/>
        </w:rPr>
        <w:tab/>
      </w:r>
      <w:r w:rsidR="0008120C">
        <w:rPr>
          <w:rFonts w:ascii="Times New Roman" w:eastAsia="Times New Roman" w:hAnsi="Times New Roman"/>
          <w:color w:val="000000"/>
          <w:lang w:val="en-CA" w:eastAsia="en-CA"/>
        </w:rPr>
        <w:t>2,466,258</w:t>
      </w:r>
      <w:r w:rsidRPr="00E052B7">
        <w:rPr>
          <w:rFonts w:ascii="Times New Roman" w:eastAsia="Times New Roman" w:hAnsi="Times New Roman"/>
          <w:color w:val="000000"/>
          <w:lang w:val="en-CA" w:eastAsia="en-CA"/>
        </w:rPr>
        <w:tab/>
      </w:r>
      <w:r w:rsidRPr="00E052B7">
        <w:rPr>
          <w:rFonts w:ascii="Times New Roman" w:eastAsia="Times New Roman" w:hAnsi="Times New Roman"/>
          <w:color w:val="000000"/>
          <w:lang w:val="en-CA" w:eastAsia="en-CA"/>
        </w:rPr>
        <w:tab/>
      </w:r>
    </w:p>
    <w:p w14:paraId="19293F56" w14:textId="77777777" w:rsidR="0035008F" w:rsidRPr="00E052B7" w:rsidRDefault="004928E7" w:rsidP="0035008F">
      <w:pPr>
        <w:autoSpaceDE w:val="0"/>
        <w:autoSpaceDN w:val="0"/>
        <w:adjustRightInd w:val="0"/>
        <w:spacing w:after="0" w:line="240" w:lineRule="auto"/>
        <w:ind w:left="720"/>
        <w:rPr>
          <w:rFonts w:ascii="Times New Roman" w:eastAsia="Times New Roman" w:hAnsi="Times New Roman"/>
          <w:color w:val="000000"/>
          <w:lang w:val="en-CA" w:eastAsia="en-CA"/>
        </w:rPr>
      </w:pPr>
      <w:r>
        <w:rPr>
          <w:noProof/>
        </w:rPr>
        <mc:AlternateContent>
          <mc:Choice Requires="wps">
            <w:drawing>
              <wp:anchor distT="0" distB="0" distL="114300" distR="114300" simplePos="0" relativeHeight="251662336" behindDoc="0" locked="0" layoutInCell="0" allowOverlap="1" wp14:anchorId="1D158C2F" wp14:editId="5EAFA6B0">
                <wp:simplePos x="0" y="0"/>
                <wp:positionH relativeFrom="character">
                  <wp:posOffset>0</wp:posOffset>
                </wp:positionH>
                <wp:positionV relativeFrom="paragraph">
                  <wp:posOffset>57149</wp:posOffset>
                </wp:positionV>
                <wp:extent cx="5949315" cy="0"/>
                <wp:effectExtent l="0" t="0" r="0" b="0"/>
                <wp:wrapNone/>
                <wp:docPr id="5" name="Straight Connector 5"/>
                <wp:cNvGraphicFramePr/>
                <a:graphic xmlns:a="http://schemas.openxmlformats.org/drawingml/2006/main">
                  <a:graphicData uri="http://schemas.microsoft.com/office/word/2010/wordprocessingShape">
                    <wps:wsp>
                      <wps:cNvCnPr/>
                      <wps:spPr bwMode="auto">
                        <a:xfrm>
                          <a:off x="0" y="0"/>
                          <a:ext cx="5949315" cy="0"/>
                        </a:xfrm>
                        <a:prstGeom prst="line">
                          <a:avLst/>
                        </a:prstGeom>
                        <a:noFill/>
                        <a:ln w="1270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50602907"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 from="0,4.5pt" to="468.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" o:allowincell="f" strokeweight="1pt"/>
            </w:pict>
          </mc:Fallback>
        </mc:AlternateContent>
      </w:r>
    </w:p>
    <w:p w14:paraId="5E6F8601" w14:textId="11CACB4F" w:rsidR="0035008F" w:rsidRPr="00E052B7" w:rsidRDefault="004928E7" w:rsidP="0035008F">
      <w:pPr>
        <w:tabs>
          <w:tab w:val="left" w:pos="4308"/>
          <w:tab w:val="left" w:pos="5668"/>
          <w:tab w:val="right" w:pos="6938"/>
          <w:tab w:val="left" w:pos="6964"/>
          <w:tab w:val="left" w:pos="7200"/>
          <w:tab w:val="right" w:pos="8470"/>
          <w:tab w:val="left" w:pos="8496"/>
          <w:tab w:val="left" w:pos="8640"/>
          <w:tab w:val="right" w:pos="9910"/>
          <w:tab w:val="left" w:pos="9936"/>
        </w:tabs>
        <w:autoSpaceDE w:val="0"/>
        <w:autoSpaceDN w:val="0"/>
        <w:adjustRightInd w:val="0"/>
        <w:spacing w:after="0" w:line="240" w:lineRule="auto"/>
        <w:ind w:left="1020"/>
        <w:rPr>
          <w:rFonts w:ascii="Times New Roman" w:eastAsia="Times New Roman" w:hAnsi="Times New Roman"/>
          <w:color w:val="000000"/>
          <w:lang w:val="en-CA" w:eastAsia="en-CA"/>
        </w:rPr>
      </w:pPr>
      <w:r w:rsidRPr="00E052B7">
        <w:rPr>
          <w:rFonts w:ascii="Times New Roman" w:eastAsia="Times New Roman" w:hAnsi="Times New Roman"/>
          <w:color w:val="000000"/>
          <w:lang w:val="en-CA" w:eastAsia="en-CA"/>
        </w:rPr>
        <w:t>Total</w:t>
      </w:r>
      <w:r w:rsidRPr="00E052B7">
        <w:rPr>
          <w:rFonts w:ascii="Times New Roman" w:eastAsia="Times New Roman" w:hAnsi="Times New Roman"/>
          <w:color w:val="000000"/>
          <w:lang w:val="en-CA" w:eastAsia="en-CA"/>
        </w:rPr>
        <w:tab/>
      </w:r>
      <w:r w:rsidRPr="00E052B7">
        <w:rPr>
          <w:rFonts w:ascii="Times New Roman" w:eastAsia="Times New Roman" w:hAnsi="Times New Roman"/>
          <w:color w:val="000000"/>
          <w:lang w:val="en-CA" w:eastAsia="en-CA"/>
        </w:rPr>
        <w:tab/>
      </w:r>
      <w:r w:rsidRPr="00E052B7">
        <w:rPr>
          <w:rFonts w:ascii="Times New Roman" w:eastAsia="Times New Roman" w:hAnsi="Times New Roman"/>
          <w:b/>
          <w:bCs/>
          <w:color w:val="000000"/>
          <w:lang w:val="en-CA" w:eastAsia="en-CA"/>
        </w:rPr>
        <w:t>$</w:t>
      </w:r>
      <w:r w:rsidRPr="00E052B7">
        <w:rPr>
          <w:rFonts w:ascii="Times New Roman" w:eastAsia="Times New Roman" w:hAnsi="Times New Roman"/>
          <w:b/>
          <w:bCs/>
          <w:color w:val="000000"/>
          <w:lang w:val="en-CA" w:eastAsia="en-CA"/>
        </w:rPr>
        <w:tab/>
      </w:r>
      <w:r w:rsidR="0008120C">
        <w:rPr>
          <w:rFonts w:ascii="Times New Roman" w:eastAsia="Times New Roman" w:hAnsi="Times New Roman"/>
          <w:b/>
          <w:bCs/>
          <w:color w:val="000000"/>
          <w:lang w:val="en-CA" w:eastAsia="en-CA"/>
        </w:rPr>
        <w:t>5,364,300</w:t>
      </w:r>
      <w:r w:rsidR="007F35D2">
        <w:rPr>
          <w:rFonts w:ascii="Times New Roman" w:eastAsia="Times New Roman" w:hAnsi="Times New Roman"/>
          <w:b/>
          <w:bCs/>
          <w:color w:val="000000"/>
          <w:lang w:val="en-CA" w:eastAsia="en-CA"/>
        </w:rPr>
        <w:tab/>
      </w:r>
      <w:r w:rsidR="00FF6943">
        <w:rPr>
          <w:rFonts w:ascii="Times New Roman" w:eastAsia="Times New Roman" w:hAnsi="Times New Roman"/>
          <w:color w:val="000000"/>
          <w:lang w:val="en-CA" w:eastAsia="en-CA"/>
        </w:rPr>
        <w:t xml:space="preserve">   </w:t>
      </w:r>
      <w:r w:rsidRPr="00E052B7">
        <w:rPr>
          <w:rFonts w:ascii="Times New Roman" w:eastAsia="Times New Roman" w:hAnsi="Times New Roman"/>
          <w:color w:val="000000"/>
          <w:lang w:val="en-CA" w:eastAsia="en-CA"/>
        </w:rPr>
        <w:t>$</w:t>
      </w:r>
      <w:r w:rsidRPr="00E052B7">
        <w:rPr>
          <w:rFonts w:ascii="Times New Roman" w:eastAsia="Times New Roman" w:hAnsi="Times New Roman"/>
          <w:color w:val="000000"/>
          <w:lang w:val="en-CA" w:eastAsia="en-CA"/>
        </w:rPr>
        <w:tab/>
      </w:r>
      <w:r w:rsidR="0008120C">
        <w:rPr>
          <w:rFonts w:ascii="Times New Roman" w:eastAsia="Times New Roman" w:hAnsi="Times New Roman"/>
          <w:color w:val="000000"/>
          <w:lang w:val="en-CA" w:eastAsia="en-CA"/>
        </w:rPr>
        <w:t>4,329,161</w:t>
      </w:r>
      <w:r w:rsidRPr="00E052B7">
        <w:rPr>
          <w:rFonts w:ascii="Times New Roman" w:eastAsia="Times New Roman" w:hAnsi="Times New Roman"/>
          <w:color w:val="000000"/>
          <w:lang w:val="en-CA" w:eastAsia="en-CA"/>
        </w:rPr>
        <w:tab/>
      </w:r>
    </w:p>
    <w:p w14:paraId="7774C44E" w14:textId="77777777" w:rsidR="0035008F" w:rsidRPr="00E052B7" w:rsidRDefault="004928E7" w:rsidP="0035008F">
      <w:pPr>
        <w:autoSpaceDE w:val="0"/>
        <w:autoSpaceDN w:val="0"/>
        <w:adjustRightInd w:val="0"/>
        <w:spacing w:after="0" w:line="240" w:lineRule="auto"/>
        <w:ind w:left="720"/>
        <w:rPr>
          <w:rFonts w:ascii="Times New Roman" w:eastAsia="Times New Roman" w:hAnsi="Times New Roman"/>
          <w:color w:val="000000"/>
          <w:lang w:val="en-CA" w:eastAsia="en-CA"/>
        </w:rPr>
      </w:pPr>
      <w:r>
        <w:rPr>
          <w:noProof/>
        </w:rPr>
        <mc:AlternateContent>
          <mc:Choice Requires="wps">
            <w:drawing>
              <wp:anchor distT="0" distB="0" distL="114300" distR="114300" simplePos="0" relativeHeight="251664384" behindDoc="0" locked="0" layoutInCell="0" allowOverlap="1" wp14:anchorId="139A8FF2" wp14:editId="2B9100DF">
                <wp:simplePos x="0" y="0"/>
                <wp:positionH relativeFrom="character">
                  <wp:posOffset>0</wp:posOffset>
                </wp:positionH>
                <wp:positionV relativeFrom="paragraph">
                  <wp:posOffset>57149</wp:posOffset>
                </wp:positionV>
                <wp:extent cx="5949315" cy="0"/>
                <wp:effectExtent l="0" t="0" r="0" b="0"/>
                <wp:wrapNone/>
                <wp:docPr id="3" name="Straight Connector 3"/>
                <wp:cNvGraphicFramePr/>
                <a:graphic xmlns:a="http://schemas.openxmlformats.org/drawingml/2006/main">
                  <a:graphicData uri="http://schemas.microsoft.com/office/word/2010/wordprocessingShape">
                    <wps:wsp>
                      <wps:cNvCnPr/>
                      <wps:spPr bwMode="auto">
                        <a:xfrm>
                          <a:off x="0" y="0"/>
                          <a:ext cx="5949315" cy="0"/>
                        </a:xfrm>
                        <a:prstGeom prst="line">
                          <a:avLst/>
                        </a:prstGeom>
                        <a:noFill/>
                        <a:ln w="1270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0E19E6D5"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 from="0,4.5pt" to="468.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" o:allowincell="f" strokeweight="1pt"/>
            </w:pict>
          </mc:Fallback>
        </mc:AlternateContent>
      </w:r>
    </w:p>
    <w:p w14:paraId="559BCC69" w14:textId="77777777" w:rsidR="0035008F" w:rsidRPr="00E052B7" w:rsidRDefault="004928E7" w:rsidP="00145985">
      <w:pPr>
        <w:autoSpaceDE w:val="0"/>
        <w:autoSpaceDN w:val="0"/>
        <w:adjustRightInd w:val="0"/>
        <w:spacing w:after="0" w:line="240" w:lineRule="auto"/>
        <w:ind w:left="851"/>
        <w:jc w:val="both"/>
        <w:rPr>
          <w:rFonts w:ascii="Times New Roman" w:eastAsia="Times New Roman" w:hAnsi="Times New Roman"/>
          <w:color w:val="000000"/>
          <w:lang w:val="en-CA" w:eastAsia="en-CA"/>
        </w:rPr>
      </w:pPr>
      <w:r w:rsidRPr="00E052B7">
        <w:rPr>
          <w:rFonts w:ascii="Times New Roman" w:eastAsia="Times New Roman" w:hAnsi="Times New Roman"/>
          <w:color w:val="000000"/>
          <w:lang w:val="en-CA" w:eastAsia="en-CA"/>
        </w:rPr>
        <w:t>(1) Share</w:t>
      </w:r>
      <w:r w:rsidRPr="00E052B7">
        <w:rPr>
          <w:rFonts w:ascii="Times New Roman" w:eastAsia="Times New Roman" w:hAnsi="Times New Roman"/>
          <w:color w:val="000000"/>
          <w:lang w:val="en-CA" w:eastAsia="en-CA"/>
        </w:rPr>
        <w:noBreakHyphen/>
        <w:t>based payments are the fair value of options granted to key management personnel and expensed during the various years as calculated using the Black</w:t>
      </w:r>
      <w:r w:rsidRPr="00E052B7">
        <w:rPr>
          <w:rFonts w:ascii="Times New Roman" w:eastAsia="Times New Roman" w:hAnsi="Times New Roman"/>
          <w:color w:val="000000"/>
          <w:lang w:val="en-CA" w:eastAsia="en-CA"/>
        </w:rPr>
        <w:noBreakHyphen/>
        <w:t>Scholes model.</w:t>
      </w:r>
    </w:p>
    <w:p w14:paraId="54FDBD86" w14:textId="77777777" w:rsidR="0035008F" w:rsidRPr="00E052B7" w:rsidRDefault="0035008F" w:rsidP="00145985">
      <w:pPr>
        <w:autoSpaceDE w:val="0"/>
        <w:autoSpaceDN w:val="0"/>
        <w:adjustRightInd w:val="0"/>
        <w:spacing w:after="0" w:line="240" w:lineRule="auto"/>
        <w:ind w:left="851"/>
        <w:jc w:val="both"/>
        <w:rPr>
          <w:rFonts w:ascii="Times New Roman" w:eastAsia="Times New Roman" w:hAnsi="Times New Roman"/>
          <w:color w:val="000000"/>
          <w:lang w:val="en-CA" w:eastAsia="en-CA"/>
        </w:rPr>
      </w:pPr>
    </w:p>
    <w:p w14:paraId="255C8E4E" w14:textId="77777777" w:rsidR="0035008F" w:rsidRDefault="004928E7" w:rsidP="0023210C">
      <w:pPr>
        <w:autoSpaceDE w:val="0"/>
        <w:autoSpaceDN w:val="0"/>
        <w:adjustRightInd w:val="0"/>
        <w:spacing w:after="0"/>
        <w:ind w:left="851"/>
        <w:jc w:val="both"/>
        <w:rPr>
          <w:rFonts w:ascii="Times New Roman" w:eastAsia="Times New Roman" w:hAnsi="Times New Roman"/>
          <w:color w:val="000000"/>
          <w:lang w:val="en-CA" w:eastAsia="en-CA"/>
        </w:rPr>
      </w:pPr>
      <w:r w:rsidRPr="00E052B7">
        <w:rPr>
          <w:rFonts w:ascii="Times New Roman" w:eastAsia="Times New Roman" w:hAnsi="Times New Roman"/>
          <w:color w:val="000000"/>
          <w:lang w:val="en-CA" w:eastAsia="en-CA"/>
        </w:rPr>
        <w:t>All transactions with related parties have occurred in the normal course of operations and are measured at the exchange amounts, which are the amounts of consideration established and agreed to by the related parties.</w:t>
      </w:r>
    </w:p>
    <w:p w14:paraId="6ACC0AE5" w14:textId="77777777" w:rsidR="000B0A7F" w:rsidRDefault="000B0A7F" w:rsidP="0023210C">
      <w:pPr>
        <w:autoSpaceDE w:val="0"/>
        <w:autoSpaceDN w:val="0"/>
        <w:adjustRightInd w:val="0"/>
        <w:spacing w:after="0"/>
        <w:ind w:left="851"/>
        <w:jc w:val="both"/>
        <w:rPr>
          <w:rFonts w:ascii="Times New Roman" w:eastAsia="Times New Roman" w:hAnsi="Times New Roman"/>
          <w:color w:val="000000"/>
          <w:lang w:val="en-CA" w:eastAsia="en-CA"/>
        </w:rPr>
      </w:pPr>
    </w:p>
    <w:p w14:paraId="30CAD4C0" w14:textId="30675B3B" w:rsidR="00D41583" w:rsidRPr="00233B8E" w:rsidRDefault="004928E7" w:rsidP="00233B8E">
      <w:pPr>
        <w:widowControl/>
        <w:spacing w:after="50"/>
        <w:jc w:val="both"/>
        <w:outlineLvl w:val="0"/>
        <w:rPr>
          <w:rFonts w:ascii="Times New Roman" w:eastAsia="Times New Roman" w:hAnsi="Times New Roman"/>
          <w:b/>
          <w:i/>
        </w:rPr>
      </w:pPr>
      <w:r w:rsidRPr="00233B8E">
        <w:rPr>
          <w:rFonts w:ascii="Times New Roman" w:eastAsia="Times New Roman" w:hAnsi="Times New Roman"/>
          <w:b/>
          <w:i/>
        </w:rPr>
        <w:t>Critical Accounting Estimates</w:t>
      </w:r>
    </w:p>
    <w:p w14:paraId="50A4A4D1" w14:textId="77777777" w:rsidR="00CF74DD" w:rsidRPr="00145985" w:rsidRDefault="00CF74DD" w:rsidP="00CF74DD">
      <w:pPr>
        <w:autoSpaceDE w:val="0"/>
        <w:autoSpaceDN w:val="0"/>
        <w:adjustRightInd w:val="0"/>
        <w:spacing w:after="0" w:line="240" w:lineRule="auto"/>
        <w:jc w:val="both"/>
        <w:rPr>
          <w:rFonts w:ascii="Times New Roman" w:eastAsia="Times New Roman" w:hAnsi="Times New Roman"/>
          <w:color w:val="000000"/>
          <w:lang w:val="en-CA" w:eastAsia="en-CA"/>
        </w:rPr>
      </w:pPr>
    </w:p>
    <w:p w14:paraId="5F41FAAF" w14:textId="77777777" w:rsidR="00EB1C27" w:rsidRPr="00EB1C27" w:rsidRDefault="00EB1C27" w:rsidP="008821B3">
      <w:pPr>
        <w:widowControl/>
        <w:tabs>
          <w:tab w:val="left" w:pos="368"/>
        </w:tabs>
        <w:spacing w:after="40"/>
        <w:jc w:val="both"/>
        <w:outlineLvl w:val="0"/>
        <w:rPr>
          <w:rFonts w:ascii="Times New Roman" w:eastAsia="Times New Roman" w:hAnsi="Times New Roman"/>
          <w:b/>
          <w:bCs/>
          <w:i/>
          <w:iCs/>
          <w:lang w:val="en-CA"/>
        </w:rPr>
      </w:pPr>
      <w:r w:rsidRPr="00EB1C27">
        <w:rPr>
          <w:rFonts w:ascii="Times New Roman" w:eastAsia="Times New Roman" w:hAnsi="Times New Roman"/>
          <w:b/>
          <w:bCs/>
          <w:i/>
          <w:iCs/>
          <w:lang w:val="en-CA"/>
        </w:rPr>
        <w:t>Business combinations</w:t>
      </w:r>
    </w:p>
    <w:p w14:paraId="013AFDFE" w14:textId="77777777" w:rsidR="00EB1C27" w:rsidRDefault="00EB1C27" w:rsidP="008821B3">
      <w:pPr>
        <w:widowControl/>
        <w:tabs>
          <w:tab w:val="left" w:pos="368"/>
        </w:tabs>
        <w:spacing w:after="40"/>
        <w:jc w:val="both"/>
        <w:outlineLvl w:val="0"/>
        <w:rPr>
          <w:rFonts w:ascii="Times New Roman" w:eastAsia="Times New Roman" w:hAnsi="Times New Roman"/>
          <w:iCs/>
          <w:lang w:val="en-CA"/>
        </w:rPr>
      </w:pPr>
      <w:r w:rsidRPr="00EB1C27">
        <w:rPr>
          <w:rFonts w:ascii="Times New Roman" w:eastAsia="Times New Roman" w:hAnsi="Times New Roman"/>
          <w:iCs/>
          <w:lang w:val="en-CA"/>
        </w:rPr>
        <w:t>Acquisitions of businesses are accounted for using the acquisition method. The acquisition cost is measured at the acquisition date at the fair value of the consideration transferred, including all contingent consideration.</w:t>
      </w:r>
    </w:p>
    <w:p w14:paraId="0082B672" w14:textId="77777777" w:rsidR="00CF74DD" w:rsidRPr="00EB1C27" w:rsidRDefault="00CF74DD" w:rsidP="00EB1C27">
      <w:pPr>
        <w:widowControl/>
        <w:tabs>
          <w:tab w:val="left" w:pos="368"/>
        </w:tabs>
        <w:spacing w:after="40"/>
        <w:ind w:firstLine="374"/>
        <w:jc w:val="both"/>
        <w:outlineLvl w:val="0"/>
        <w:rPr>
          <w:rFonts w:ascii="Times New Roman" w:eastAsia="Times New Roman" w:hAnsi="Times New Roman"/>
          <w:iCs/>
          <w:lang w:val="en-CA"/>
        </w:rPr>
      </w:pPr>
    </w:p>
    <w:p w14:paraId="4F2EBAC3" w14:textId="77777777" w:rsidR="00EB1C27" w:rsidRPr="00EB1C27" w:rsidRDefault="00EB1C27" w:rsidP="008821B3">
      <w:pPr>
        <w:widowControl/>
        <w:tabs>
          <w:tab w:val="left" w:pos="368"/>
        </w:tabs>
        <w:spacing w:after="40"/>
        <w:jc w:val="both"/>
        <w:outlineLvl w:val="0"/>
        <w:rPr>
          <w:rFonts w:ascii="Times New Roman" w:eastAsia="Times New Roman" w:hAnsi="Times New Roman"/>
          <w:iCs/>
          <w:lang w:val="en-CA"/>
        </w:rPr>
      </w:pPr>
      <w:r w:rsidRPr="00EB1C27">
        <w:rPr>
          <w:rFonts w:ascii="Times New Roman" w:eastAsia="Times New Roman" w:hAnsi="Times New Roman"/>
          <w:iCs/>
          <w:lang w:val="en-CA"/>
        </w:rPr>
        <w:lastRenderedPageBreak/>
        <w:t>The determination of whether a corporate entity or set of assets acquired, and liabilities assumed, constitute a business may require the Company to make certain judgements, considering all facts and circumstances. A business is presumed to be an integrated set of activities and assets capable of being conducted and managed for the purpose of providing a return in the form of dividends, lower costs, or economic benefits. SPX was determined to constitute an acquisition of assets.</w:t>
      </w:r>
    </w:p>
    <w:p w14:paraId="4EBF9B3D" w14:textId="77777777" w:rsidR="00EB1C27" w:rsidRPr="00EB1C27" w:rsidRDefault="00EB1C27" w:rsidP="00EB1C27">
      <w:pPr>
        <w:widowControl/>
        <w:tabs>
          <w:tab w:val="left" w:pos="368"/>
        </w:tabs>
        <w:spacing w:after="40"/>
        <w:ind w:firstLine="374"/>
        <w:jc w:val="both"/>
        <w:outlineLvl w:val="0"/>
        <w:rPr>
          <w:rFonts w:ascii="Times New Roman" w:eastAsia="Times New Roman" w:hAnsi="Times New Roman"/>
          <w:iCs/>
          <w:lang w:val="en-CA"/>
        </w:rPr>
      </w:pPr>
    </w:p>
    <w:p w14:paraId="27B354A5" w14:textId="77777777" w:rsidR="00EB1C27" w:rsidRPr="00EB1C27" w:rsidRDefault="00EB1C27" w:rsidP="008821B3">
      <w:pPr>
        <w:widowControl/>
        <w:tabs>
          <w:tab w:val="left" w:pos="368"/>
        </w:tabs>
        <w:spacing w:after="40"/>
        <w:jc w:val="both"/>
        <w:outlineLvl w:val="0"/>
        <w:rPr>
          <w:rFonts w:ascii="Times New Roman" w:eastAsia="Times New Roman" w:hAnsi="Times New Roman"/>
          <w:b/>
          <w:bCs/>
          <w:i/>
          <w:iCs/>
          <w:lang w:val="en-CA"/>
        </w:rPr>
      </w:pPr>
      <w:r w:rsidRPr="00EB1C27">
        <w:rPr>
          <w:rFonts w:ascii="Times New Roman" w:eastAsia="Times New Roman" w:hAnsi="Times New Roman"/>
          <w:b/>
          <w:bCs/>
          <w:i/>
          <w:iCs/>
          <w:lang w:val="en-CA"/>
        </w:rPr>
        <w:t xml:space="preserve">Determination of functional currency </w:t>
      </w:r>
    </w:p>
    <w:p w14:paraId="25C2FD7C" w14:textId="77777777" w:rsidR="00EB1C27" w:rsidRDefault="00EB1C27" w:rsidP="008821B3">
      <w:pPr>
        <w:widowControl/>
        <w:tabs>
          <w:tab w:val="left" w:pos="368"/>
        </w:tabs>
        <w:spacing w:after="40"/>
        <w:jc w:val="both"/>
        <w:outlineLvl w:val="0"/>
        <w:rPr>
          <w:rFonts w:ascii="Times New Roman" w:eastAsia="Times New Roman" w:hAnsi="Times New Roman"/>
          <w:iCs/>
          <w:lang w:val="en-CA"/>
        </w:rPr>
      </w:pPr>
      <w:r w:rsidRPr="00EB1C27">
        <w:rPr>
          <w:rFonts w:ascii="Times New Roman" w:eastAsia="Times New Roman" w:hAnsi="Times New Roman"/>
          <w:iCs/>
          <w:lang w:val="en-CA"/>
        </w:rPr>
        <w:t>The Company determines the functional currency through an analysis of several indicators such as expenses and cash flow, financing activities, retention of operating cash flows, and frequency of transactions within the reporting entity.</w:t>
      </w:r>
    </w:p>
    <w:p w14:paraId="1BC575AC" w14:textId="77777777" w:rsidR="00CF74DD" w:rsidRPr="00EB1C27" w:rsidRDefault="00CF74DD" w:rsidP="00EB1C27">
      <w:pPr>
        <w:widowControl/>
        <w:tabs>
          <w:tab w:val="left" w:pos="368"/>
        </w:tabs>
        <w:spacing w:after="40"/>
        <w:ind w:firstLine="374"/>
        <w:jc w:val="both"/>
        <w:outlineLvl w:val="0"/>
        <w:rPr>
          <w:rFonts w:ascii="Times New Roman" w:eastAsia="Times New Roman" w:hAnsi="Times New Roman"/>
          <w:iCs/>
          <w:lang w:val="en-CA"/>
        </w:rPr>
      </w:pPr>
    </w:p>
    <w:p w14:paraId="448332B9" w14:textId="77777777" w:rsidR="00EB1C27" w:rsidRPr="00EB1C27" w:rsidRDefault="00EB1C27" w:rsidP="008821B3">
      <w:pPr>
        <w:widowControl/>
        <w:tabs>
          <w:tab w:val="left" w:pos="368"/>
        </w:tabs>
        <w:spacing w:after="40"/>
        <w:jc w:val="both"/>
        <w:outlineLvl w:val="0"/>
        <w:rPr>
          <w:rFonts w:ascii="Times New Roman" w:eastAsia="Times New Roman" w:hAnsi="Times New Roman"/>
          <w:b/>
          <w:bCs/>
          <w:i/>
          <w:iCs/>
          <w:lang w:val="en-CA"/>
        </w:rPr>
      </w:pPr>
      <w:r w:rsidRPr="00EB1C27">
        <w:rPr>
          <w:rFonts w:ascii="Times New Roman" w:eastAsia="Times New Roman" w:hAnsi="Times New Roman"/>
          <w:b/>
          <w:bCs/>
          <w:i/>
          <w:iCs/>
          <w:lang w:val="en-CA"/>
        </w:rPr>
        <w:t>Valuation of share</w:t>
      </w:r>
      <w:r w:rsidRPr="00EB1C27">
        <w:rPr>
          <w:rFonts w:ascii="Times New Roman" w:eastAsia="Times New Roman" w:hAnsi="Times New Roman"/>
          <w:b/>
          <w:bCs/>
          <w:i/>
          <w:iCs/>
          <w:lang w:val="en-CA"/>
        </w:rPr>
        <w:noBreakHyphen/>
        <w:t xml:space="preserve">based compensation </w:t>
      </w:r>
    </w:p>
    <w:p w14:paraId="783DB147" w14:textId="77777777" w:rsidR="00EB1C27" w:rsidRDefault="00EB1C27" w:rsidP="00CF74DD">
      <w:pPr>
        <w:widowControl/>
        <w:tabs>
          <w:tab w:val="left" w:pos="368"/>
        </w:tabs>
        <w:spacing w:after="40"/>
        <w:jc w:val="both"/>
        <w:outlineLvl w:val="0"/>
        <w:rPr>
          <w:rFonts w:ascii="Times New Roman" w:eastAsia="Times New Roman" w:hAnsi="Times New Roman"/>
          <w:iCs/>
          <w:lang w:val="en-CA"/>
        </w:rPr>
      </w:pPr>
      <w:r w:rsidRPr="00EB1C27">
        <w:rPr>
          <w:rFonts w:ascii="Times New Roman" w:eastAsia="Times New Roman" w:hAnsi="Times New Roman"/>
          <w:iCs/>
          <w:lang w:val="en-CA"/>
        </w:rPr>
        <w:t>The Company uses the Black</w:t>
      </w:r>
      <w:r w:rsidRPr="00EB1C27">
        <w:rPr>
          <w:rFonts w:ascii="Times New Roman" w:eastAsia="Times New Roman" w:hAnsi="Times New Roman"/>
          <w:iCs/>
          <w:lang w:val="en-CA"/>
        </w:rPr>
        <w:noBreakHyphen/>
        <w:t>Scholes Option Pricing Model for valuation of share</w:t>
      </w:r>
      <w:r w:rsidRPr="00EB1C27">
        <w:rPr>
          <w:rFonts w:ascii="Times New Roman" w:eastAsia="Times New Roman" w:hAnsi="Times New Roman"/>
          <w:iCs/>
          <w:lang w:val="en-CA"/>
        </w:rPr>
        <w:noBreakHyphen/>
        <w:t>based compensation and derivative warrant liability. Option pricing models require the input of subjective assumptions including expected price volatility, risk</w:t>
      </w:r>
      <w:r w:rsidRPr="00EB1C27">
        <w:rPr>
          <w:rFonts w:ascii="Times New Roman" w:eastAsia="Times New Roman" w:hAnsi="Times New Roman"/>
          <w:iCs/>
          <w:lang w:val="en-CA"/>
        </w:rPr>
        <w:noBreakHyphen/>
        <w:t xml:space="preserve">free interest rate, and forfeiture rate. Changes in the input assumptions can materially affect the fair value estimate and the Company’s earnings and equity reserves. </w:t>
      </w:r>
    </w:p>
    <w:p w14:paraId="46F0A57E" w14:textId="77777777" w:rsidR="00CF74DD" w:rsidRPr="00EB1C27" w:rsidRDefault="00CF74DD" w:rsidP="008821B3">
      <w:pPr>
        <w:widowControl/>
        <w:tabs>
          <w:tab w:val="left" w:pos="368"/>
        </w:tabs>
        <w:spacing w:after="40"/>
        <w:jc w:val="both"/>
        <w:outlineLvl w:val="0"/>
        <w:rPr>
          <w:rFonts w:ascii="Times New Roman" w:eastAsia="Times New Roman" w:hAnsi="Times New Roman"/>
          <w:iCs/>
          <w:lang w:val="en-CA"/>
        </w:rPr>
      </w:pPr>
    </w:p>
    <w:p w14:paraId="5DC0CAA2" w14:textId="2DFAA79B" w:rsidR="00D878B4" w:rsidRPr="008821B3" w:rsidRDefault="004928E7" w:rsidP="008821B3">
      <w:pPr>
        <w:widowControl/>
        <w:tabs>
          <w:tab w:val="left" w:pos="368"/>
        </w:tabs>
        <w:spacing w:after="40"/>
        <w:jc w:val="both"/>
        <w:outlineLvl w:val="0"/>
        <w:rPr>
          <w:rFonts w:ascii="Times New Roman" w:eastAsia="Times New Roman" w:hAnsi="Times New Roman"/>
          <w:b/>
          <w:bCs/>
          <w:i/>
        </w:rPr>
      </w:pPr>
      <w:r w:rsidRPr="008821B3">
        <w:rPr>
          <w:rFonts w:ascii="Times New Roman" w:eastAsia="Times New Roman" w:hAnsi="Times New Roman"/>
          <w:b/>
          <w:bCs/>
          <w:i/>
        </w:rPr>
        <w:t>Property and equipment</w:t>
      </w:r>
    </w:p>
    <w:p w14:paraId="482A9593" w14:textId="77777777" w:rsidR="00D878B4" w:rsidRDefault="004928E7" w:rsidP="00145985">
      <w:pPr>
        <w:autoSpaceDE w:val="0"/>
        <w:autoSpaceDN w:val="0"/>
        <w:adjustRightInd w:val="0"/>
        <w:spacing w:after="0" w:line="240" w:lineRule="auto"/>
        <w:jc w:val="both"/>
        <w:rPr>
          <w:rFonts w:ascii="Times New Roman" w:eastAsia="Times New Roman" w:hAnsi="Times New Roman"/>
          <w:color w:val="000000"/>
          <w:lang w:val="en-CA" w:eastAsia="en-CA"/>
        </w:rPr>
      </w:pPr>
      <w:r w:rsidRPr="00145985">
        <w:rPr>
          <w:rFonts w:ascii="Times New Roman" w:eastAsia="Times New Roman" w:hAnsi="Times New Roman"/>
          <w:color w:val="000000"/>
          <w:lang w:val="en-CA" w:eastAsia="en-CA"/>
        </w:rPr>
        <w:t>Property and equipment are recorded at cost. Depreciation is calculated based on the estimated useful life of the asset using the following method and useful lives:</w:t>
      </w:r>
    </w:p>
    <w:p w14:paraId="24B8F162" w14:textId="77777777" w:rsidR="0014605A" w:rsidRPr="00145985" w:rsidRDefault="0014605A" w:rsidP="00145985">
      <w:pPr>
        <w:autoSpaceDE w:val="0"/>
        <w:autoSpaceDN w:val="0"/>
        <w:adjustRightInd w:val="0"/>
        <w:spacing w:after="0" w:line="240" w:lineRule="auto"/>
        <w:jc w:val="both"/>
        <w:rPr>
          <w:rFonts w:ascii="Times New Roman" w:eastAsia="Times New Roman" w:hAnsi="Times New Roman"/>
          <w:color w:val="000000"/>
          <w:lang w:val="en-CA" w:eastAsia="en-CA"/>
        </w:rPr>
      </w:pPr>
    </w:p>
    <w:p w14:paraId="6611134B" w14:textId="77777777" w:rsidR="00D878B4" w:rsidRPr="00145985" w:rsidRDefault="00D878B4" w:rsidP="00145985">
      <w:pPr>
        <w:autoSpaceDE w:val="0"/>
        <w:autoSpaceDN w:val="0"/>
        <w:adjustRightInd w:val="0"/>
        <w:spacing w:after="0" w:line="240" w:lineRule="auto"/>
        <w:ind w:left="851"/>
        <w:jc w:val="both"/>
        <w:rPr>
          <w:rFonts w:ascii="Times New Roman" w:eastAsia="Times New Roman" w:hAnsi="Times New Roman"/>
          <w:color w:val="000000"/>
          <w:lang w:val="en-CA" w:eastAsia="en-CA"/>
        </w:rPr>
      </w:pPr>
    </w:p>
    <w:p w14:paraId="381E0428" w14:textId="77777777" w:rsidR="00D878B4" w:rsidRPr="00145985" w:rsidRDefault="004928E7" w:rsidP="00145985">
      <w:pPr>
        <w:autoSpaceDE w:val="0"/>
        <w:autoSpaceDN w:val="0"/>
        <w:adjustRightInd w:val="0"/>
        <w:spacing w:after="0" w:line="240" w:lineRule="auto"/>
        <w:ind w:left="851"/>
        <w:jc w:val="both"/>
        <w:rPr>
          <w:rFonts w:ascii="Times New Roman" w:eastAsia="Times New Roman" w:hAnsi="Times New Roman"/>
          <w:color w:val="000000"/>
          <w:lang w:val="en-CA" w:eastAsia="en-CA"/>
        </w:rPr>
      </w:pPr>
      <w:r w:rsidRPr="00145985">
        <w:rPr>
          <w:rFonts w:ascii="Times New Roman" w:eastAsia="Times New Roman" w:hAnsi="Times New Roman"/>
          <w:color w:val="000000"/>
          <w:lang w:val="en-CA" w:eastAsia="en-CA"/>
        </w:rPr>
        <w:tab/>
        <w:t xml:space="preserve">Machinery and equipment </w:t>
      </w:r>
      <w:r w:rsidRPr="00145985">
        <w:rPr>
          <w:rFonts w:ascii="Times New Roman" w:eastAsia="Times New Roman" w:hAnsi="Times New Roman"/>
          <w:color w:val="000000"/>
          <w:lang w:val="en-CA" w:eastAsia="en-CA"/>
        </w:rPr>
        <w:tab/>
        <w:t>Straight Line, 5 years</w:t>
      </w:r>
    </w:p>
    <w:p w14:paraId="72923930" w14:textId="0921EDE1" w:rsidR="00D878B4" w:rsidRPr="00145985" w:rsidRDefault="004928E7" w:rsidP="00145985">
      <w:pPr>
        <w:autoSpaceDE w:val="0"/>
        <w:autoSpaceDN w:val="0"/>
        <w:adjustRightInd w:val="0"/>
        <w:spacing w:after="0" w:line="240" w:lineRule="auto"/>
        <w:ind w:left="851"/>
        <w:jc w:val="both"/>
        <w:rPr>
          <w:rFonts w:ascii="Times New Roman" w:eastAsia="Times New Roman" w:hAnsi="Times New Roman"/>
          <w:color w:val="000000"/>
          <w:lang w:val="en-CA" w:eastAsia="en-CA"/>
        </w:rPr>
      </w:pPr>
      <w:r w:rsidRPr="00145985">
        <w:rPr>
          <w:rFonts w:ascii="Times New Roman" w:eastAsia="Times New Roman" w:hAnsi="Times New Roman"/>
          <w:color w:val="000000"/>
          <w:lang w:val="en-CA" w:eastAsia="en-CA"/>
        </w:rPr>
        <w:tab/>
        <w:t>Leasehold improvements</w:t>
      </w:r>
      <w:r w:rsidRPr="00145985">
        <w:rPr>
          <w:rFonts w:ascii="Times New Roman" w:eastAsia="Times New Roman" w:hAnsi="Times New Roman"/>
          <w:color w:val="000000"/>
          <w:lang w:val="en-CA" w:eastAsia="en-CA"/>
        </w:rPr>
        <w:tab/>
        <w:t xml:space="preserve">Straight Line, </w:t>
      </w:r>
      <w:r w:rsidR="00A263CD">
        <w:rPr>
          <w:rFonts w:ascii="Times New Roman" w:eastAsia="Times New Roman" w:hAnsi="Times New Roman"/>
          <w:color w:val="000000"/>
          <w:lang w:val="en-CA" w:eastAsia="en-CA"/>
        </w:rPr>
        <w:t>term of the lease</w:t>
      </w:r>
    </w:p>
    <w:p w14:paraId="6EA8CB4A" w14:textId="77777777" w:rsidR="00D878B4" w:rsidRDefault="004928E7" w:rsidP="00145985">
      <w:pPr>
        <w:autoSpaceDE w:val="0"/>
        <w:autoSpaceDN w:val="0"/>
        <w:adjustRightInd w:val="0"/>
        <w:spacing w:after="0" w:line="240" w:lineRule="auto"/>
        <w:ind w:left="851"/>
        <w:jc w:val="both"/>
        <w:rPr>
          <w:rFonts w:ascii="Times New Roman" w:eastAsia="Times New Roman" w:hAnsi="Times New Roman"/>
          <w:color w:val="000000"/>
          <w:lang w:val="en-CA" w:eastAsia="en-CA"/>
        </w:rPr>
      </w:pPr>
      <w:r w:rsidRPr="00145985">
        <w:rPr>
          <w:rFonts w:ascii="Times New Roman" w:eastAsia="Times New Roman" w:hAnsi="Times New Roman"/>
          <w:color w:val="000000"/>
          <w:lang w:val="en-CA" w:eastAsia="en-CA"/>
        </w:rPr>
        <w:tab/>
        <w:t xml:space="preserve">Office equipment </w:t>
      </w:r>
      <w:r w:rsidRPr="00145985">
        <w:rPr>
          <w:rFonts w:ascii="Times New Roman" w:eastAsia="Times New Roman" w:hAnsi="Times New Roman"/>
          <w:color w:val="000000"/>
          <w:lang w:val="en-CA" w:eastAsia="en-CA"/>
        </w:rPr>
        <w:tab/>
      </w:r>
      <w:r w:rsidRPr="00145985">
        <w:rPr>
          <w:rFonts w:ascii="Times New Roman" w:eastAsia="Times New Roman" w:hAnsi="Times New Roman"/>
          <w:color w:val="000000"/>
          <w:lang w:val="en-CA" w:eastAsia="en-CA"/>
        </w:rPr>
        <w:tab/>
        <w:t xml:space="preserve">Straight Line, </w:t>
      </w:r>
      <w:r w:rsidR="00255441" w:rsidRPr="00145985">
        <w:rPr>
          <w:rFonts w:ascii="Times New Roman" w:eastAsia="Times New Roman" w:hAnsi="Times New Roman"/>
          <w:color w:val="000000"/>
          <w:lang w:val="en-CA" w:eastAsia="en-CA"/>
        </w:rPr>
        <w:t xml:space="preserve">3 </w:t>
      </w:r>
      <w:r w:rsidR="000B0A7F">
        <w:rPr>
          <w:rFonts w:ascii="Times New Roman" w:eastAsia="Times New Roman" w:hAnsi="Times New Roman"/>
          <w:color w:val="000000"/>
          <w:lang w:val="en-CA" w:eastAsia="en-CA"/>
        </w:rPr>
        <w:t>–</w:t>
      </w:r>
      <w:r w:rsidR="00255441" w:rsidRPr="00145985">
        <w:rPr>
          <w:rFonts w:ascii="Times New Roman" w:eastAsia="Times New Roman" w:hAnsi="Times New Roman"/>
          <w:color w:val="000000"/>
          <w:lang w:val="en-CA" w:eastAsia="en-CA"/>
        </w:rPr>
        <w:t xml:space="preserve"> </w:t>
      </w:r>
      <w:r w:rsidRPr="00145985">
        <w:rPr>
          <w:rFonts w:ascii="Times New Roman" w:eastAsia="Times New Roman" w:hAnsi="Times New Roman"/>
          <w:color w:val="000000"/>
          <w:lang w:val="en-CA" w:eastAsia="en-CA"/>
        </w:rPr>
        <w:t>5 years</w:t>
      </w:r>
    </w:p>
    <w:p w14:paraId="5C8BC29A" w14:textId="77777777" w:rsidR="002400ED" w:rsidRPr="00145985" w:rsidRDefault="002400ED" w:rsidP="00145985">
      <w:pPr>
        <w:autoSpaceDE w:val="0"/>
        <w:autoSpaceDN w:val="0"/>
        <w:adjustRightInd w:val="0"/>
        <w:spacing w:after="0" w:line="240" w:lineRule="auto"/>
        <w:ind w:left="851"/>
        <w:jc w:val="both"/>
        <w:rPr>
          <w:rFonts w:ascii="Times New Roman" w:eastAsia="Times New Roman" w:hAnsi="Times New Roman"/>
          <w:color w:val="000000"/>
          <w:lang w:val="en-CA" w:eastAsia="en-CA"/>
        </w:rPr>
      </w:pPr>
    </w:p>
    <w:p w14:paraId="78B57D5C" w14:textId="77777777" w:rsidR="00CA4702" w:rsidRPr="008821B3" w:rsidRDefault="004928E7" w:rsidP="008821B3">
      <w:pPr>
        <w:widowControl/>
        <w:tabs>
          <w:tab w:val="left" w:pos="368"/>
        </w:tabs>
        <w:spacing w:after="120"/>
        <w:rPr>
          <w:rFonts w:ascii="Times New Roman" w:eastAsia="Times New Roman" w:hAnsi="Times New Roman"/>
          <w:b/>
          <w:bCs/>
          <w:i/>
        </w:rPr>
      </w:pPr>
      <w:r w:rsidRPr="008821B3">
        <w:rPr>
          <w:rFonts w:ascii="Times New Roman" w:eastAsia="Times New Roman" w:hAnsi="Times New Roman"/>
          <w:b/>
          <w:bCs/>
          <w:i/>
        </w:rPr>
        <w:t>Patents and licenses</w:t>
      </w:r>
    </w:p>
    <w:p w14:paraId="65973672" w14:textId="5E43CC0C" w:rsidR="00CA4702" w:rsidRDefault="004928E7" w:rsidP="0023210C">
      <w:pPr>
        <w:autoSpaceDE w:val="0"/>
        <w:autoSpaceDN w:val="0"/>
        <w:adjustRightInd w:val="0"/>
        <w:spacing w:after="0"/>
        <w:jc w:val="both"/>
        <w:rPr>
          <w:rFonts w:ascii="Times New Roman" w:eastAsia="Times New Roman" w:hAnsi="Times New Roman"/>
          <w:color w:val="000000"/>
          <w:lang w:val="en-CA" w:eastAsia="en-CA"/>
        </w:rPr>
      </w:pPr>
      <w:r w:rsidRPr="00145985">
        <w:rPr>
          <w:rFonts w:ascii="Times New Roman" w:eastAsia="Times New Roman" w:hAnsi="Times New Roman"/>
          <w:color w:val="000000"/>
          <w:lang w:val="en-CA" w:eastAsia="en-CA"/>
        </w:rPr>
        <w:t>Patents and licenses are recorded at cost and amortized on a straight-line basis over 12 years. Ongoing maintenance costs are expensed as incurred.</w:t>
      </w:r>
    </w:p>
    <w:p w14:paraId="75108F59" w14:textId="77777777" w:rsidR="00160D03" w:rsidRDefault="00160D03" w:rsidP="0023210C">
      <w:pPr>
        <w:keepNext/>
        <w:keepLines/>
        <w:widowControl/>
        <w:tabs>
          <w:tab w:val="left" w:pos="368"/>
        </w:tabs>
        <w:spacing w:after="40"/>
        <w:ind w:firstLine="374"/>
        <w:jc w:val="both"/>
        <w:outlineLvl w:val="0"/>
        <w:rPr>
          <w:rFonts w:ascii="Times New Roman" w:eastAsia="Times New Roman" w:hAnsi="Times New Roman"/>
          <w:i/>
        </w:rPr>
      </w:pPr>
    </w:p>
    <w:p w14:paraId="61AEE30E" w14:textId="192586E2" w:rsidR="005833FA" w:rsidRPr="005833FA" w:rsidRDefault="005833FA" w:rsidP="005833FA">
      <w:pPr>
        <w:widowControl/>
        <w:spacing w:after="50"/>
        <w:jc w:val="both"/>
        <w:outlineLvl w:val="0"/>
        <w:rPr>
          <w:rFonts w:ascii="Times New Roman" w:eastAsia="Times New Roman" w:hAnsi="Times New Roman"/>
          <w:bCs/>
          <w:iCs/>
        </w:rPr>
      </w:pPr>
      <w:r w:rsidRPr="005833FA">
        <w:rPr>
          <w:rFonts w:ascii="Times New Roman" w:eastAsia="Times New Roman" w:hAnsi="Times New Roman"/>
          <w:bCs/>
          <w:iCs/>
        </w:rPr>
        <w:t xml:space="preserve">For more details see Note </w:t>
      </w:r>
      <w:r w:rsidR="00C94E02">
        <w:rPr>
          <w:rFonts w:ascii="Times New Roman" w:eastAsia="Times New Roman" w:hAnsi="Times New Roman"/>
          <w:bCs/>
          <w:iCs/>
        </w:rPr>
        <w:t>2</w:t>
      </w:r>
      <w:r w:rsidRPr="005833FA">
        <w:rPr>
          <w:rFonts w:ascii="Times New Roman" w:eastAsia="Times New Roman" w:hAnsi="Times New Roman"/>
          <w:bCs/>
          <w:iCs/>
        </w:rPr>
        <w:t xml:space="preserve"> of the </w:t>
      </w:r>
      <w:r>
        <w:rPr>
          <w:rFonts w:ascii="Times New Roman" w:eastAsia="Times New Roman" w:hAnsi="Times New Roman"/>
          <w:bCs/>
          <w:iCs/>
        </w:rPr>
        <w:t xml:space="preserve">audited consolidated annual financial statements for the </w:t>
      </w:r>
      <w:r w:rsidR="00FD14A6">
        <w:rPr>
          <w:rFonts w:ascii="Times New Roman" w:eastAsia="Times New Roman" w:hAnsi="Times New Roman"/>
          <w:bCs/>
          <w:iCs/>
        </w:rPr>
        <w:t>year</w:t>
      </w:r>
      <w:r w:rsidR="007E27C5">
        <w:rPr>
          <w:rFonts w:ascii="Times New Roman" w:eastAsia="Times New Roman" w:hAnsi="Times New Roman"/>
          <w:bCs/>
          <w:iCs/>
        </w:rPr>
        <w:t xml:space="preserve"> ended</w:t>
      </w:r>
      <w:r>
        <w:rPr>
          <w:rFonts w:ascii="Times New Roman" w:eastAsia="Times New Roman" w:hAnsi="Times New Roman"/>
          <w:bCs/>
          <w:iCs/>
        </w:rPr>
        <w:t xml:space="preserve"> </w:t>
      </w:r>
      <w:r w:rsidR="00FD14A6">
        <w:rPr>
          <w:rFonts w:ascii="Times New Roman" w:eastAsia="Times New Roman" w:hAnsi="Times New Roman"/>
          <w:bCs/>
          <w:iCs/>
        </w:rPr>
        <w:t>December 31,</w:t>
      </w:r>
      <w:r w:rsidR="007E27C5">
        <w:rPr>
          <w:rFonts w:ascii="Times New Roman" w:eastAsia="Times New Roman" w:hAnsi="Times New Roman"/>
          <w:bCs/>
          <w:iCs/>
        </w:rPr>
        <w:t xml:space="preserve"> 2024</w:t>
      </w:r>
      <w:r>
        <w:rPr>
          <w:rFonts w:ascii="Times New Roman" w:eastAsia="Times New Roman" w:hAnsi="Times New Roman"/>
          <w:bCs/>
          <w:iCs/>
        </w:rPr>
        <w:t>.</w:t>
      </w:r>
      <w:r w:rsidRPr="005833FA">
        <w:rPr>
          <w:rFonts w:ascii="Times New Roman" w:eastAsia="Times New Roman" w:hAnsi="Times New Roman"/>
          <w:bCs/>
          <w:iCs/>
        </w:rPr>
        <w:t xml:space="preserve"> </w:t>
      </w:r>
    </w:p>
    <w:p w14:paraId="28C69C93" w14:textId="77777777" w:rsidR="00145985" w:rsidRPr="00145985" w:rsidRDefault="00145985" w:rsidP="0023210C">
      <w:pPr>
        <w:autoSpaceDE w:val="0"/>
        <w:autoSpaceDN w:val="0"/>
        <w:adjustRightInd w:val="0"/>
        <w:spacing w:after="0"/>
        <w:jc w:val="both"/>
        <w:rPr>
          <w:rFonts w:ascii="Times New Roman" w:eastAsia="Times New Roman" w:hAnsi="Times New Roman"/>
          <w:color w:val="000000"/>
          <w:lang w:val="en-CA" w:eastAsia="en-CA"/>
        </w:rPr>
      </w:pPr>
    </w:p>
    <w:p w14:paraId="66717543" w14:textId="77777777" w:rsidR="000F0A0B" w:rsidRPr="00233B8E" w:rsidRDefault="004928E7" w:rsidP="005833FA">
      <w:pPr>
        <w:keepNext/>
        <w:widowControl/>
        <w:spacing w:after="50"/>
        <w:jc w:val="both"/>
        <w:outlineLvl w:val="0"/>
        <w:rPr>
          <w:rFonts w:ascii="Times New Roman" w:eastAsia="Times New Roman" w:hAnsi="Times New Roman"/>
          <w:b/>
          <w:i/>
        </w:rPr>
      </w:pPr>
      <w:r w:rsidRPr="00233B8E">
        <w:rPr>
          <w:rFonts w:ascii="Times New Roman" w:eastAsia="Times New Roman" w:hAnsi="Times New Roman"/>
          <w:b/>
          <w:i/>
        </w:rPr>
        <w:t>Financial Instruments and Risk Management</w:t>
      </w:r>
    </w:p>
    <w:p w14:paraId="2850DC7B" w14:textId="5B8449F4" w:rsidR="009F1A18" w:rsidRPr="009F1A18" w:rsidRDefault="009F1A18" w:rsidP="009F1A18">
      <w:pPr>
        <w:widowControl/>
        <w:tabs>
          <w:tab w:val="left" w:pos="368"/>
        </w:tabs>
        <w:spacing w:after="0" w:line="240" w:lineRule="auto"/>
        <w:jc w:val="both"/>
        <w:rPr>
          <w:rFonts w:ascii="Times New Roman" w:eastAsia="Times New Roman" w:hAnsi="Times New Roman"/>
          <w:lang w:val="en-CA"/>
        </w:rPr>
      </w:pPr>
      <w:r w:rsidRPr="009F1A18">
        <w:rPr>
          <w:rFonts w:ascii="Times New Roman" w:eastAsia="Times New Roman" w:hAnsi="Times New Roman"/>
          <w:lang w:val="en-CA"/>
        </w:rPr>
        <w:t>The Company's financial instruments consist of cash and cash equivalents, short</w:t>
      </w:r>
      <w:r w:rsidRPr="009F1A18">
        <w:rPr>
          <w:rFonts w:ascii="Times New Roman" w:eastAsia="Times New Roman" w:hAnsi="Times New Roman"/>
          <w:lang w:val="en-CA"/>
        </w:rPr>
        <w:noBreakHyphen/>
        <w:t xml:space="preserve">term </w:t>
      </w:r>
      <w:r w:rsidR="005E778E" w:rsidRPr="009F1A18">
        <w:rPr>
          <w:rFonts w:ascii="Times New Roman" w:eastAsia="Times New Roman" w:hAnsi="Times New Roman"/>
          <w:lang w:val="en-CA"/>
        </w:rPr>
        <w:t>investments,</w:t>
      </w:r>
      <w:r w:rsidR="00FD780A">
        <w:rPr>
          <w:rFonts w:ascii="Times New Roman" w:eastAsia="Times New Roman" w:hAnsi="Times New Roman"/>
          <w:lang w:val="en-CA"/>
        </w:rPr>
        <w:t xml:space="preserve"> accounts receivable, </w:t>
      </w:r>
      <w:r w:rsidRPr="009F1A18">
        <w:rPr>
          <w:rFonts w:ascii="Times New Roman" w:eastAsia="Times New Roman" w:hAnsi="Times New Roman"/>
          <w:lang w:val="en-CA"/>
        </w:rPr>
        <w:t>convertible debt, derivative warrant liability</w:t>
      </w:r>
      <w:r w:rsidR="008133D8">
        <w:rPr>
          <w:rFonts w:ascii="Times New Roman" w:eastAsia="Times New Roman" w:hAnsi="Times New Roman"/>
          <w:lang w:val="en-CA"/>
        </w:rPr>
        <w:t xml:space="preserve">, </w:t>
      </w:r>
      <w:r w:rsidRPr="009F1A18">
        <w:rPr>
          <w:rFonts w:ascii="Times New Roman" w:eastAsia="Times New Roman" w:hAnsi="Times New Roman"/>
          <w:lang w:val="en-CA"/>
        </w:rPr>
        <w:t xml:space="preserve">and accounts payable and accrued liabilities.  Unless otherwise noted, it is management's opinion that the Company is not exposed to significant interest risk arising from these financial instruments.  The Company estimates that carrying value of these instruments approximates fair value due to their </w:t>
      </w:r>
      <w:proofErr w:type="gramStart"/>
      <w:r w:rsidRPr="009F1A18">
        <w:rPr>
          <w:rFonts w:ascii="Times New Roman" w:eastAsia="Times New Roman" w:hAnsi="Times New Roman"/>
          <w:lang w:val="en-CA"/>
        </w:rPr>
        <w:t>short term</w:t>
      </w:r>
      <w:proofErr w:type="gramEnd"/>
      <w:r w:rsidRPr="009F1A18">
        <w:rPr>
          <w:rFonts w:ascii="Times New Roman" w:eastAsia="Times New Roman" w:hAnsi="Times New Roman"/>
          <w:lang w:val="en-CA"/>
        </w:rPr>
        <w:t xml:space="preserve"> nature. </w:t>
      </w:r>
    </w:p>
    <w:p w14:paraId="55753532" w14:textId="77777777" w:rsidR="00AB1D93" w:rsidRDefault="00AB1D93" w:rsidP="00F23ABA">
      <w:pPr>
        <w:widowControl/>
        <w:tabs>
          <w:tab w:val="left" w:pos="368"/>
        </w:tabs>
        <w:spacing w:after="0" w:line="240" w:lineRule="auto"/>
        <w:jc w:val="both"/>
        <w:rPr>
          <w:rFonts w:ascii="Times New Roman" w:eastAsia="Times New Roman" w:hAnsi="Times New Roman"/>
        </w:rPr>
      </w:pPr>
    </w:p>
    <w:p w14:paraId="3F732CED" w14:textId="77777777" w:rsidR="002C1456" w:rsidRDefault="004928E7" w:rsidP="002C1456">
      <w:pPr>
        <w:widowControl/>
        <w:tabs>
          <w:tab w:val="left" w:pos="368"/>
        </w:tabs>
        <w:spacing w:after="0" w:line="240" w:lineRule="auto"/>
        <w:jc w:val="both"/>
        <w:rPr>
          <w:rFonts w:ascii="Times New Roman" w:eastAsia="Times New Roman" w:hAnsi="Times New Roman"/>
          <w:lang w:val="en-CA"/>
        </w:rPr>
      </w:pPr>
      <w:r w:rsidRPr="002C1456">
        <w:rPr>
          <w:rFonts w:ascii="Times New Roman" w:eastAsia="Times New Roman" w:hAnsi="Times New Roman"/>
          <w:lang w:val="en-CA"/>
        </w:rPr>
        <w:t>The Company has classified financial assets and (liabilities) as follows:</w:t>
      </w:r>
    </w:p>
    <w:p w14:paraId="408F5A3D" w14:textId="77777777" w:rsidR="002C1456" w:rsidRDefault="002C1456" w:rsidP="002C1456">
      <w:pPr>
        <w:widowControl/>
        <w:tabs>
          <w:tab w:val="left" w:pos="368"/>
        </w:tabs>
        <w:spacing w:after="0" w:line="240" w:lineRule="auto"/>
        <w:jc w:val="both"/>
        <w:rPr>
          <w:rFonts w:ascii="Times New Roman" w:eastAsia="Times New Roman" w:hAnsi="Times New Roman"/>
          <w:lang w:val="en-CA"/>
        </w:rPr>
      </w:pPr>
    </w:p>
    <w:tbl>
      <w:tblPr>
        <w:tblStyle w:val="TableGrid"/>
        <w:tblW w:w="8784" w:type="dxa"/>
        <w:tblLook w:val="04A0" w:firstRow="1" w:lastRow="0" w:firstColumn="1" w:lastColumn="0" w:noHBand="0" w:noVBand="1"/>
      </w:tblPr>
      <w:tblGrid>
        <w:gridCol w:w="4622"/>
        <w:gridCol w:w="2036"/>
        <w:gridCol w:w="2126"/>
      </w:tblGrid>
      <w:tr w:rsidR="007F35D2" w14:paraId="530FA91C" w14:textId="77777777" w:rsidTr="007F35D2">
        <w:tc>
          <w:tcPr>
            <w:tcW w:w="4622" w:type="dxa"/>
          </w:tcPr>
          <w:p w14:paraId="56859D57" w14:textId="77777777" w:rsidR="007F35D2" w:rsidRDefault="007F35D2" w:rsidP="007F35D2">
            <w:pPr>
              <w:widowControl/>
              <w:tabs>
                <w:tab w:val="left" w:pos="368"/>
              </w:tabs>
              <w:spacing w:after="0" w:line="240" w:lineRule="auto"/>
              <w:jc w:val="both"/>
              <w:rPr>
                <w:rFonts w:ascii="Times New Roman" w:eastAsia="Times New Roman" w:hAnsi="Times New Roman"/>
                <w:lang w:val="en-CA"/>
              </w:rPr>
            </w:pPr>
          </w:p>
        </w:tc>
        <w:tc>
          <w:tcPr>
            <w:tcW w:w="2036" w:type="dxa"/>
          </w:tcPr>
          <w:p w14:paraId="5EF201DF" w14:textId="76B8C917" w:rsidR="007F35D2" w:rsidRDefault="000E08E0" w:rsidP="007F35D2">
            <w:pPr>
              <w:widowControl/>
              <w:tabs>
                <w:tab w:val="left" w:pos="368"/>
              </w:tabs>
              <w:spacing w:after="0" w:line="240" w:lineRule="auto"/>
              <w:jc w:val="right"/>
              <w:rPr>
                <w:rFonts w:ascii="Times New Roman" w:eastAsia="Times New Roman" w:hAnsi="Times New Roman"/>
                <w:lang w:val="en-CA"/>
              </w:rPr>
            </w:pPr>
            <w:r>
              <w:rPr>
                <w:rFonts w:ascii="Times New Roman" w:eastAsia="Times New Roman" w:hAnsi="Times New Roman"/>
                <w:lang w:val="en-CA"/>
              </w:rPr>
              <w:t>September 30, 2025</w:t>
            </w:r>
          </w:p>
        </w:tc>
        <w:tc>
          <w:tcPr>
            <w:tcW w:w="2126" w:type="dxa"/>
          </w:tcPr>
          <w:p w14:paraId="4B3EB2CA" w14:textId="77E70352" w:rsidR="007F35D2" w:rsidRDefault="001D4133" w:rsidP="007F35D2">
            <w:pPr>
              <w:widowControl/>
              <w:tabs>
                <w:tab w:val="left" w:pos="368"/>
              </w:tabs>
              <w:spacing w:after="0" w:line="240" w:lineRule="auto"/>
              <w:jc w:val="right"/>
              <w:rPr>
                <w:rFonts w:ascii="Times New Roman" w:eastAsia="Times New Roman" w:hAnsi="Times New Roman"/>
                <w:lang w:val="en-CA"/>
              </w:rPr>
            </w:pPr>
            <w:r>
              <w:rPr>
                <w:rFonts w:ascii="Times New Roman" w:eastAsia="Times New Roman" w:hAnsi="Times New Roman"/>
                <w:lang w:val="en-CA"/>
              </w:rPr>
              <w:t>December 31, 202</w:t>
            </w:r>
            <w:r w:rsidR="0038719B">
              <w:rPr>
                <w:rFonts w:ascii="Times New Roman" w:eastAsia="Times New Roman" w:hAnsi="Times New Roman"/>
                <w:lang w:val="en-CA"/>
              </w:rPr>
              <w:t>4</w:t>
            </w:r>
          </w:p>
        </w:tc>
      </w:tr>
      <w:tr w:rsidR="00C94E02" w14:paraId="0BF530B7" w14:textId="77777777" w:rsidTr="007F35D2">
        <w:tc>
          <w:tcPr>
            <w:tcW w:w="4622" w:type="dxa"/>
          </w:tcPr>
          <w:p w14:paraId="1AD783D2" w14:textId="14218C59" w:rsidR="00C94E02" w:rsidRPr="005733F1" w:rsidRDefault="00C94E02" w:rsidP="00C94E02">
            <w:pPr>
              <w:widowControl/>
              <w:tabs>
                <w:tab w:val="left" w:pos="368"/>
              </w:tabs>
              <w:spacing w:after="0" w:line="240" w:lineRule="auto"/>
              <w:jc w:val="both"/>
              <w:rPr>
                <w:rFonts w:ascii="Times New Roman" w:eastAsia="Times New Roman" w:hAnsi="Times New Roman"/>
                <w:lang w:val="en-CA"/>
              </w:rPr>
            </w:pPr>
            <w:r w:rsidRPr="005733F1">
              <w:rPr>
                <w:rFonts w:ascii="Times New Roman" w:eastAsia="Times New Roman" w:hAnsi="Times New Roman"/>
                <w:lang w:val="en-CA"/>
              </w:rPr>
              <w:t>Cash</w:t>
            </w:r>
            <w:r w:rsidR="009F1A18">
              <w:rPr>
                <w:rFonts w:ascii="Times New Roman" w:eastAsia="Times New Roman" w:hAnsi="Times New Roman"/>
                <w:lang w:val="en-CA"/>
              </w:rPr>
              <w:t>,</w:t>
            </w:r>
            <w:r w:rsidRPr="005733F1">
              <w:rPr>
                <w:rFonts w:ascii="Times New Roman" w:eastAsia="Times New Roman" w:hAnsi="Times New Roman"/>
                <w:lang w:val="en-CA"/>
              </w:rPr>
              <w:t xml:space="preserve"> cash equivalents</w:t>
            </w:r>
            <w:r w:rsidR="009F1A18">
              <w:rPr>
                <w:rFonts w:ascii="Times New Roman" w:eastAsia="Times New Roman" w:hAnsi="Times New Roman"/>
                <w:lang w:val="en-CA"/>
              </w:rPr>
              <w:t xml:space="preserve"> and short-term investments</w:t>
            </w:r>
            <w:r w:rsidRPr="005733F1">
              <w:rPr>
                <w:rFonts w:ascii="Times New Roman" w:eastAsia="Times New Roman" w:hAnsi="Times New Roman"/>
                <w:lang w:val="en-CA"/>
              </w:rPr>
              <w:t>, measured at amortized cost:</w:t>
            </w:r>
          </w:p>
          <w:p w14:paraId="58E8D14D" w14:textId="22D7643D" w:rsidR="00C94E02" w:rsidRDefault="00C94E02" w:rsidP="00C94E02">
            <w:pPr>
              <w:widowControl/>
              <w:tabs>
                <w:tab w:val="left" w:pos="743"/>
              </w:tabs>
              <w:spacing w:after="0" w:line="240" w:lineRule="auto"/>
              <w:jc w:val="both"/>
              <w:rPr>
                <w:rFonts w:ascii="Times New Roman" w:eastAsia="Times New Roman" w:hAnsi="Times New Roman"/>
                <w:lang w:val="en-CA"/>
              </w:rPr>
            </w:pPr>
            <w:r w:rsidRPr="005733F1">
              <w:rPr>
                <w:rFonts w:ascii="Times New Roman" w:eastAsia="Times New Roman" w:hAnsi="Times New Roman"/>
                <w:lang w:val="en-CA"/>
              </w:rPr>
              <w:lastRenderedPageBreak/>
              <w:t xml:space="preserve">        </w:t>
            </w:r>
            <w:r>
              <w:rPr>
                <w:rFonts w:ascii="Times New Roman" w:eastAsia="Times New Roman" w:hAnsi="Times New Roman"/>
                <w:lang w:val="en-CA"/>
              </w:rPr>
              <w:t xml:space="preserve"> </w:t>
            </w:r>
            <w:r w:rsidRPr="005733F1">
              <w:rPr>
                <w:rFonts w:ascii="Times New Roman" w:eastAsia="Times New Roman" w:hAnsi="Times New Roman"/>
                <w:lang w:val="en-CA"/>
              </w:rPr>
              <w:t>Cash and cash equivalents</w:t>
            </w:r>
          </w:p>
          <w:p w14:paraId="59EBCDE0" w14:textId="153AE6B1" w:rsidR="009F1A18" w:rsidRPr="005733F1" w:rsidRDefault="009F1A18" w:rsidP="00C94E02">
            <w:pPr>
              <w:widowControl/>
              <w:tabs>
                <w:tab w:val="left" w:pos="743"/>
              </w:tabs>
              <w:spacing w:after="0" w:line="240" w:lineRule="auto"/>
              <w:jc w:val="both"/>
              <w:rPr>
                <w:rFonts w:ascii="Times New Roman" w:eastAsia="Times New Roman" w:hAnsi="Times New Roman"/>
                <w:lang w:val="en-CA"/>
              </w:rPr>
            </w:pPr>
            <w:r>
              <w:rPr>
                <w:rFonts w:ascii="Times New Roman" w:eastAsia="Times New Roman" w:hAnsi="Times New Roman"/>
                <w:lang w:val="en-CA"/>
              </w:rPr>
              <w:t xml:space="preserve">         Short-term investments</w:t>
            </w:r>
          </w:p>
          <w:p w14:paraId="23CFC07C" w14:textId="77777777" w:rsidR="00C94E02" w:rsidRDefault="00C94E02" w:rsidP="009F1A18">
            <w:pPr>
              <w:widowControl/>
              <w:tabs>
                <w:tab w:val="left" w:pos="368"/>
              </w:tabs>
              <w:spacing w:after="0" w:line="240" w:lineRule="auto"/>
              <w:jc w:val="both"/>
              <w:rPr>
                <w:rFonts w:ascii="Times New Roman" w:eastAsia="Times New Roman" w:hAnsi="Times New Roman"/>
                <w:lang w:val="en-CA"/>
              </w:rPr>
            </w:pPr>
            <w:r>
              <w:rPr>
                <w:rFonts w:ascii="Times New Roman" w:eastAsia="Times New Roman" w:hAnsi="Times New Roman"/>
                <w:lang w:val="en-CA"/>
              </w:rPr>
              <w:t xml:space="preserve">         Accounts receivable</w:t>
            </w:r>
          </w:p>
          <w:p w14:paraId="76B251C8" w14:textId="6DD05A6C" w:rsidR="00FD780A" w:rsidRPr="005733F1" w:rsidRDefault="00FD780A" w:rsidP="009F1A18">
            <w:pPr>
              <w:widowControl/>
              <w:tabs>
                <w:tab w:val="left" w:pos="368"/>
              </w:tabs>
              <w:spacing w:after="0" w:line="240" w:lineRule="auto"/>
              <w:jc w:val="both"/>
              <w:rPr>
                <w:rFonts w:ascii="Times New Roman" w:eastAsia="Times New Roman" w:hAnsi="Times New Roman"/>
                <w:lang w:val="en-CA"/>
              </w:rPr>
            </w:pPr>
            <w:r>
              <w:rPr>
                <w:rFonts w:ascii="Times New Roman" w:eastAsia="Times New Roman" w:hAnsi="Times New Roman"/>
                <w:lang w:val="en-CA"/>
              </w:rPr>
              <w:t xml:space="preserve">         Deposit</w:t>
            </w:r>
          </w:p>
        </w:tc>
        <w:tc>
          <w:tcPr>
            <w:tcW w:w="2036" w:type="dxa"/>
          </w:tcPr>
          <w:p w14:paraId="31F86B8E" w14:textId="77777777" w:rsidR="00C94E02" w:rsidRDefault="00C94E02" w:rsidP="00C94E02">
            <w:pPr>
              <w:widowControl/>
              <w:tabs>
                <w:tab w:val="left" w:pos="368"/>
              </w:tabs>
              <w:spacing w:after="0" w:line="240" w:lineRule="auto"/>
              <w:jc w:val="right"/>
              <w:rPr>
                <w:rFonts w:ascii="Times New Roman" w:eastAsia="Times New Roman" w:hAnsi="Times New Roman"/>
                <w:lang w:val="en-CA"/>
              </w:rPr>
            </w:pPr>
          </w:p>
          <w:p w14:paraId="2242F0D8" w14:textId="77777777" w:rsidR="00C94E02" w:rsidRDefault="00C94E02" w:rsidP="00C94E02">
            <w:pPr>
              <w:widowControl/>
              <w:tabs>
                <w:tab w:val="left" w:pos="368"/>
              </w:tabs>
              <w:spacing w:after="0" w:line="240" w:lineRule="auto"/>
              <w:rPr>
                <w:rFonts w:ascii="Times New Roman" w:eastAsia="Times New Roman" w:hAnsi="Times New Roman"/>
                <w:lang w:val="en-CA"/>
              </w:rPr>
            </w:pPr>
          </w:p>
          <w:p w14:paraId="7D1E422A" w14:textId="5C6DEFDA" w:rsidR="00C94E02" w:rsidRDefault="00C94E02" w:rsidP="00C94E02">
            <w:pPr>
              <w:widowControl/>
              <w:tabs>
                <w:tab w:val="left" w:pos="368"/>
              </w:tabs>
              <w:spacing w:after="0" w:line="240" w:lineRule="auto"/>
              <w:jc w:val="right"/>
              <w:rPr>
                <w:rFonts w:ascii="Times New Roman" w:eastAsia="Times New Roman" w:hAnsi="Times New Roman"/>
                <w:lang w:val="en-CA"/>
              </w:rPr>
            </w:pPr>
            <w:r>
              <w:rPr>
                <w:rFonts w:ascii="Times New Roman" w:eastAsia="Times New Roman" w:hAnsi="Times New Roman"/>
                <w:lang w:val="en-CA"/>
              </w:rPr>
              <w:lastRenderedPageBreak/>
              <w:t>$</w:t>
            </w:r>
            <w:r w:rsidR="00E63663">
              <w:rPr>
                <w:rFonts w:ascii="Times New Roman" w:eastAsia="Times New Roman" w:hAnsi="Times New Roman"/>
                <w:lang w:val="en-CA"/>
              </w:rPr>
              <w:t>13,514,447</w:t>
            </w:r>
          </w:p>
          <w:p w14:paraId="4085EB75" w14:textId="3ABEBD3D" w:rsidR="00C94E02" w:rsidRDefault="00C70AD3" w:rsidP="00C94E02">
            <w:pPr>
              <w:widowControl/>
              <w:tabs>
                <w:tab w:val="left" w:pos="368"/>
              </w:tabs>
              <w:spacing w:after="0" w:line="240" w:lineRule="auto"/>
              <w:jc w:val="right"/>
              <w:rPr>
                <w:rFonts w:ascii="Times New Roman" w:eastAsia="Times New Roman" w:hAnsi="Times New Roman"/>
                <w:lang w:val="en-CA"/>
              </w:rPr>
            </w:pPr>
            <w:r>
              <w:rPr>
                <w:rFonts w:ascii="Times New Roman" w:eastAsia="Times New Roman" w:hAnsi="Times New Roman"/>
                <w:lang w:val="en-CA"/>
              </w:rPr>
              <w:t>$</w:t>
            </w:r>
            <w:r w:rsidR="00E63663">
              <w:rPr>
                <w:rFonts w:ascii="Times New Roman" w:eastAsia="Times New Roman" w:hAnsi="Times New Roman"/>
                <w:lang w:val="en-CA"/>
              </w:rPr>
              <w:t>79,221,458</w:t>
            </w:r>
            <w:r w:rsidR="00C94E02" w:rsidRPr="00ED4579">
              <w:rPr>
                <w:rFonts w:ascii="Times New Roman" w:eastAsia="Times New Roman" w:hAnsi="Times New Roman"/>
                <w:lang w:val="en-CA"/>
              </w:rPr>
              <w:t xml:space="preserve"> </w:t>
            </w:r>
          </w:p>
          <w:p w14:paraId="7A613B5D" w14:textId="5F67F8AE" w:rsidR="00FD780A" w:rsidRDefault="00E63663" w:rsidP="00C94E02">
            <w:pPr>
              <w:widowControl/>
              <w:tabs>
                <w:tab w:val="left" w:pos="368"/>
              </w:tabs>
              <w:spacing w:after="0" w:line="240" w:lineRule="auto"/>
              <w:jc w:val="right"/>
              <w:rPr>
                <w:rFonts w:ascii="Times New Roman" w:eastAsia="Times New Roman" w:hAnsi="Times New Roman"/>
                <w:lang w:val="en-CA"/>
              </w:rPr>
            </w:pPr>
            <w:r>
              <w:rPr>
                <w:rFonts w:ascii="Times New Roman" w:eastAsia="Times New Roman" w:hAnsi="Times New Roman"/>
                <w:lang w:val="en-CA"/>
              </w:rPr>
              <w:t>$125,079</w:t>
            </w:r>
          </w:p>
          <w:p w14:paraId="0CDD5234" w14:textId="6F9E95F7" w:rsidR="00C94E02" w:rsidRPr="00ED4579" w:rsidRDefault="00FD780A" w:rsidP="00C94E02">
            <w:pPr>
              <w:widowControl/>
              <w:tabs>
                <w:tab w:val="left" w:pos="368"/>
              </w:tabs>
              <w:spacing w:after="0" w:line="240" w:lineRule="auto"/>
              <w:jc w:val="right"/>
              <w:rPr>
                <w:rFonts w:ascii="Times New Roman" w:eastAsia="Times New Roman" w:hAnsi="Times New Roman"/>
                <w:lang w:val="en-CA"/>
              </w:rPr>
            </w:pPr>
            <w:r>
              <w:rPr>
                <w:rFonts w:ascii="Times New Roman" w:eastAsia="Times New Roman" w:hAnsi="Times New Roman"/>
                <w:lang w:val="en-CA"/>
              </w:rPr>
              <w:t>$</w:t>
            </w:r>
            <w:r w:rsidR="00E63663">
              <w:rPr>
                <w:rFonts w:ascii="Times New Roman" w:eastAsia="Times New Roman" w:hAnsi="Times New Roman"/>
                <w:lang w:val="en-CA"/>
              </w:rPr>
              <w:t>220,347</w:t>
            </w:r>
            <w:r w:rsidR="00C94E02" w:rsidRPr="00ED4579">
              <w:rPr>
                <w:rFonts w:ascii="Times New Roman" w:eastAsia="Times New Roman" w:hAnsi="Times New Roman"/>
                <w:lang w:val="en-CA"/>
              </w:rPr>
              <w:t xml:space="preserve"> </w:t>
            </w:r>
          </w:p>
        </w:tc>
        <w:tc>
          <w:tcPr>
            <w:tcW w:w="2126" w:type="dxa"/>
          </w:tcPr>
          <w:p w14:paraId="6C714DE3" w14:textId="77777777" w:rsidR="00C94E02" w:rsidRDefault="00C94E02" w:rsidP="00C94E02">
            <w:pPr>
              <w:widowControl/>
              <w:tabs>
                <w:tab w:val="left" w:pos="368"/>
              </w:tabs>
              <w:spacing w:after="0" w:line="240" w:lineRule="auto"/>
              <w:jc w:val="right"/>
              <w:rPr>
                <w:rFonts w:ascii="Times New Roman" w:eastAsia="Times New Roman" w:hAnsi="Times New Roman"/>
                <w:lang w:val="en-CA"/>
              </w:rPr>
            </w:pPr>
          </w:p>
          <w:p w14:paraId="51C5FD97" w14:textId="77777777" w:rsidR="00C94E02" w:rsidRDefault="00C94E02" w:rsidP="00C94E02">
            <w:pPr>
              <w:widowControl/>
              <w:tabs>
                <w:tab w:val="left" w:pos="368"/>
              </w:tabs>
              <w:spacing w:after="0" w:line="240" w:lineRule="auto"/>
              <w:rPr>
                <w:rFonts w:ascii="Times New Roman" w:eastAsia="Times New Roman" w:hAnsi="Times New Roman"/>
                <w:lang w:val="en-CA"/>
              </w:rPr>
            </w:pPr>
          </w:p>
          <w:p w14:paraId="339E7B13" w14:textId="611698C3" w:rsidR="00C94E02" w:rsidRDefault="0038719B" w:rsidP="00C94E02">
            <w:pPr>
              <w:widowControl/>
              <w:tabs>
                <w:tab w:val="left" w:pos="368"/>
              </w:tabs>
              <w:spacing w:after="0" w:line="240" w:lineRule="auto"/>
              <w:jc w:val="right"/>
              <w:rPr>
                <w:rFonts w:ascii="Times New Roman" w:eastAsia="Times New Roman" w:hAnsi="Times New Roman"/>
                <w:lang w:val="en-CA"/>
              </w:rPr>
            </w:pPr>
            <w:r>
              <w:rPr>
                <w:rFonts w:ascii="Times New Roman" w:eastAsia="Times New Roman" w:hAnsi="Times New Roman"/>
                <w:lang w:val="en-CA"/>
              </w:rPr>
              <w:lastRenderedPageBreak/>
              <w:t>$37,143,759</w:t>
            </w:r>
          </w:p>
          <w:p w14:paraId="61E44CFC" w14:textId="07B0B331" w:rsidR="00C94E02" w:rsidRDefault="0038719B" w:rsidP="00C94E02">
            <w:pPr>
              <w:widowControl/>
              <w:tabs>
                <w:tab w:val="left" w:pos="368"/>
              </w:tabs>
              <w:spacing w:after="0" w:line="240" w:lineRule="auto"/>
              <w:jc w:val="right"/>
              <w:rPr>
                <w:rFonts w:ascii="Times New Roman" w:eastAsia="Times New Roman" w:hAnsi="Times New Roman"/>
                <w:lang w:val="en-CA"/>
              </w:rPr>
            </w:pPr>
            <w:r>
              <w:rPr>
                <w:rFonts w:ascii="Times New Roman" w:eastAsia="Times New Roman" w:hAnsi="Times New Roman"/>
                <w:lang w:val="en-CA"/>
              </w:rPr>
              <w:t>$16,672,811</w:t>
            </w:r>
            <w:r w:rsidR="00C94E02" w:rsidRPr="00ED4579">
              <w:rPr>
                <w:rFonts w:ascii="Times New Roman" w:eastAsia="Times New Roman" w:hAnsi="Times New Roman"/>
                <w:lang w:val="en-CA"/>
              </w:rPr>
              <w:t xml:space="preserve"> </w:t>
            </w:r>
          </w:p>
          <w:p w14:paraId="6C807EE6" w14:textId="386733C6" w:rsidR="00FD780A" w:rsidRDefault="0038719B" w:rsidP="00C94E02">
            <w:pPr>
              <w:widowControl/>
              <w:tabs>
                <w:tab w:val="left" w:pos="368"/>
              </w:tabs>
              <w:spacing w:after="0" w:line="240" w:lineRule="auto"/>
              <w:jc w:val="right"/>
              <w:rPr>
                <w:rFonts w:ascii="Times New Roman" w:eastAsia="Times New Roman" w:hAnsi="Times New Roman"/>
                <w:lang w:val="en-CA"/>
              </w:rPr>
            </w:pPr>
            <w:r>
              <w:rPr>
                <w:rFonts w:ascii="Times New Roman" w:eastAsia="Times New Roman" w:hAnsi="Times New Roman"/>
                <w:lang w:val="en-CA"/>
              </w:rPr>
              <w:t>$7,257</w:t>
            </w:r>
          </w:p>
          <w:p w14:paraId="0D1154F8" w14:textId="7616D8FA" w:rsidR="00C94E02" w:rsidRPr="005733F1" w:rsidRDefault="0038719B" w:rsidP="00C94E02">
            <w:pPr>
              <w:widowControl/>
              <w:tabs>
                <w:tab w:val="left" w:pos="368"/>
              </w:tabs>
              <w:spacing w:after="0" w:line="240" w:lineRule="auto"/>
              <w:jc w:val="right"/>
              <w:rPr>
                <w:rFonts w:ascii="Times New Roman" w:eastAsia="Times New Roman" w:hAnsi="Times New Roman"/>
                <w:lang w:val="en-CA"/>
              </w:rPr>
            </w:pPr>
            <w:r>
              <w:rPr>
                <w:rFonts w:ascii="Times New Roman" w:eastAsia="Times New Roman" w:hAnsi="Times New Roman"/>
                <w:lang w:val="en-CA"/>
              </w:rPr>
              <w:t>$107,890</w:t>
            </w:r>
            <w:r w:rsidR="00C94E02" w:rsidRPr="00ED4579">
              <w:rPr>
                <w:rFonts w:ascii="Times New Roman" w:eastAsia="Times New Roman" w:hAnsi="Times New Roman"/>
                <w:lang w:val="en-CA"/>
              </w:rPr>
              <w:t xml:space="preserve">  </w:t>
            </w:r>
          </w:p>
        </w:tc>
      </w:tr>
      <w:tr w:rsidR="00C94E02" w14:paraId="073A966B" w14:textId="77777777" w:rsidTr="007F35D2">
        <w:tc>
          <w:tcPr>
            <w:tcW w:w="4622" w:type="dxa"/>
          </w:tcPr>
          <w:p w14:paraId="585A8DEF" w14:textId="77777777" w:rsidR="00C94E02" w:rsidRPr="005733F1" w:rsidRDefault="00C94E02" w:rsidP="00C94E02">
            <w:pPr>
              <w:widowControl/>
              <w:tabs>
                <w:tab w:val="left" w:pos="368"/>
              </w:tabs>
              <w:spacing w:after="0" w:line="240" w:lineRule="auto"/>
              <w:jc w:val="both"/>
              <w:rPr>
                <w:rFonts w:ascii="Times New Roman" w:eastAsia="Times New Roman" w:hAnsi="Times New Roman"/>
                <w:lang w:val="en-CA"/>
              </w:rPr>
            </w:pPr>
            <w:r w:rsidRPr="005733F1">
              <w:rPr>
                <w:rFonts w:ascii="Times New Roman" w:eastAsia="Times New Roman" w:hAnsi="Times New Roman"/>
                <w:lang w:val="en-CA"/>
              </w:rPr>
              <w:lastRenderedPageBreak/>
              <w:t>Other liabilities, measured at amortized cost:</w:t>
            </w:r>
          </w:p>
          <w:p w14:paraId="2503DF2B" w14:textId="547E852C" w:rsidR="00C94E02" w:rsidRDefault="00C94E02" w:rsidP="00C94E02">
            <w:pPr>
              <w:widowControl/>
              <w:tabs>
                <w:tab w:val="left" w:pos="368"/>
              </w:tabs>
              <w:spacing w:after="0" w:line="240" w:lineRule="auto"/>
              <w:jc w:val="both"/>
              <w:rPr>
                <w:rFonts w:ascii="Times New Roman" w:eastAsia="Times New Roman" w:hAnsi="Times New Roman"/>
                <w:lang w:val="en-CA"/>
              </w:rPr>
            </w:pPr>
            <w:r w:rsidRPr="005733F1">
              <w:rPr>
                <w:rFonts w:ascii="Times New Roman" w:eastAsia="Times New Roman" w:hAnsi="Times New Roman"/>
                <w:lang w:val="en-CA"/>
              </w:rPr>
              <w:t xml:space="preserve">         Accounts payable and accrued liabilities</w:t>
            </w:r>
          </w:p>
          <w:p w14:paraId="20954A31" w14:textId="3BE045FA" w:rsidR="009F1A18" w:rsidRPr="005733F1" w:rsidRDefault="00E63663" w:rsidP="000041C6">
            <w:pPr>
              <w:widowControl/>
              <w:tabs>
                <w:tab w:val="left" w:pos="368"/>
              </w:tabs>
              <w:spacing w:after="0" w:line="240" w:lineRule="auto"/>
              <w:jc w:val="both"/>
              <w:rPr>
                <w:rFonts w:ascii="Times New Roman" w:eastAsia="Times New Roman" w:hAnsi="Times New Roman"/>
                <w:lang w:val="en-CA"/>
              </w:rPr>
            </w:pPr>
            <w:r>
              <w:rPr>
                <w:rFonts w:ascii="Times New Roman" w:eastAsia="Times New Roman" w:hAnsi="Times New Roman"/>
                <w:lang w:val="en-CA"/>
              </w:rPr>
              <w:t xml:space="preserve">        </w:t>
            </w:r>
            <w:r w:rsidR="00C94E02" w:rsidRPr="005733F1">
              <w:rPr>
                <w:rFonts w:ascii="Times New Roman" w:eastAsia="Times New Roman" w:hAnsi="Times New Roman"/>
                <w:lang w:val="en-CA"/>
              </w:rPr>
              <w:t xml:space="preserve"> </w:t>
            </w:r>
            <w:r w:rsidR="009F1A18">
              <w:rPr>
                <w:rFonts w:ascii="Times New Roman" w:eastAsia="Times New Roman" w:hAnsi="Times New Roman"/>
                <w:lang w:val="en-CA"/>
              </w:rPr>
              <w:t>Convertible debt</w:t>
            </w:r>
          </w:p>
        </w:tc>
        <w:tc>
          <w:tcPr>
            <w:tcW w:w="2036" w:type="dxa"/>
          </w:tcPr>
          <w:p w14:paraId="1A4BFDEA" w14:textId="77777777" w:rsidR="00C94E02" w:rsidRDefault="00C94E02" w:rsidP="00C94E02">
            <w:pPr>
              <w:widowControl/>
              <w:tabs>
                <w:tab w:val="left" w:pos="368"/>
              </w:tabs>
              <w:spacing w:after="0" w:line="240" w:lineRule="auto"/>
              <w:jc w:val="right"/>
              <w:rPr>
                <w:rFonts w:ascii="Times New Roman" w:eastAsia="Times New Roman" w:hAnsi="Times New Roman"/>
                <w:lang w:val="en-CA"/>
              </w:rPr>
            </w:pPr>
          </w:p>
          <w:p w14:paraId="7058B1C0" w14:textId="14C3B5CB" w:rsidR="00C94E02" w:rsidRDefault="00C94E02" w:rsidP="00C94E02">
            <w:pPr>
              <w:widowControl/>
              <w:tabs>
                <w:tab w:val="left" w:pos="368"/>
              </w:tabs>
              <w:spacing w:after="0" w:line="240" w:lineRule="auto"/>
              <w:jc w:val="right"/>
              <w:rPr>
                <w:rFonts w:ascii="Times New Roman" w:eastAsia="Times New Roman" w:hAnsi="Times New Roman"/>
                <w:lang w:val="en-CA"/>
              </w:rPr>
            </w:pPr>
            <w:r>
              <w:rPr>
                <w:rFonts w:ascii="Times New Roman" w:eastAsia="Times New Roman" w:hAnsi="Times New Roman"/>
                <w:lang w:val="en-CA"/>
              </w:rPr>
              <w:t>$(</w:t>
            </w:r>
            <w:r w:rsidR="00E63663">
              <w:rPr>
                <w:rFonts w:ascii="Times New Roman" w:eastAsia="Times New Roman" w:hAnsi="Times New Roman"/>
                <w:lang w:val="en-CA"/>
              </w:rPr>
              <w:t>2,892,784</w:t>
            </w:r>
            <w:r>
              <w:rPr>
                <w:rFonts w:ascii="Times New Roman" w:eastAsia="Times New Roman" w:hAnsi="Times New Roman"/>
                <w:lang w:val="en-CA"/>
              </w:rPr>
              <w:t>)</w:t>
            </w:r>
          </w:p>
          <w:p w14:paraId="15A8185A" w14:textId="1DD814F4" w:rsidR="009F1A18" w:rsidRPr="005733F1" w:rsidRDefault="009F1A18" w:rsidP="00C94E02">
            <w:pPr>
              <w:widowControl/>
              <w:tabs>
                <w:tab w:val="left" w:pos="368"/>
              </w:tabs>
              <w:spacing w:after="0" w:line="240" w:lineRule="auto"/>
              <w:jc w:val="right"/>
              <w:rPr>
                <w:rFonts w:ascii="Times New Roman" w:eastAsia="Times New Roman" w:hAnsi="Times New Roman"/>
                <w:lang w:val="en-CA"/>
              </w:rPr>
            </w:pPr>
            <w:r>
              <w:rPr>
                <w:rFonts w:ascii="Times New Roman" w:eastAsia="Times New Roman" w:hAnsi="Times New Roman"/>
                <w:lang w:val="en-CA"/>
              </w:rPr>
              <w:t>$(6,500,000)</w:t>
            </w:r>
          </w:p>
        </w:tc>
        <w:tc>
          <w:tcPr>
            <w:tcW w:w="2126" w:type="dxa"/>
          </w:tcPr>
          <w:p w14:paraId="29D2839B" w14:textId="77777777" w:rsidR="00C94E02" w:rsidRDefault="00C94E02" w:rsidP="00C94E02">
            <w:pPr>
              <w:widowControl/>
              <w:tabs>
                <w:tab w:val="left" w:pos="368"/>
              </w:tabs>
              <w:spacing w:after="0" w:line="240" w:lineRule="auto"/>
              <w:jc w:val="right"/>
              <w:rPr>
                <w:rFonts w:ascii="Times New Roman" w:eastAsia="Times New Roman" w:hAnsi="Times New Roman"/>
                <w:lang w:val="en-CA"/>
              </w:rPr>
            </w:pPr>
          </w:p>
          <w:p w14:paraId="0C0F94D3" w14:textId="74CC3791" w:rsidR="00C94E02" w:rsidRDefault="00C94E02" w:rsidP="00C94E02">
            <w:pPr>
              <w:widowControl/>
              <w:tabs>
                <w:tab w:val="left" w:pos="368"/>
              </w:tabs>
              <w:spacing w:after="0" w:line="240" w:lineRule="auto"/>
              <w:jc w:val="right"/>
              <w:rPr>
                <w:rFonts w:ascii="Times New Roman" w:eastAsia="Times New Roman" w:hAnsi="Times New Roman"/>
                <w:lang w:val="en-CA"/>
              </w:rPr>
            </w:pPr>
            <w:r>
              <w:rPr>
                <w:rFonts w:ascii="Times New Roman" w:eastAsia="Times New Roman" w:hAnsi="Times New Roman"/>
                <w:lang w:val="en-CA"/>
              </w:rPr>
              <w:t>$(</w:t>
            </w:r>
            <w:r w:rsidR="0038719B">
              <w:rPr>
                <w:rFonts w:ascii="Times New Roman" w:eastAsia="Times New Roman" w:hAnsi="Times New Roman"/>
                <w:lang w:val="en-CA"/>
              </w:rPr>
              <w:t>5,970,537</w:t>
            </w:r>
            <w:r>
              <w:rPr>
                <w:rFonts w:ascii="Times New Roman" w:eastAsia="Times New Roman" w:hAnsi="Times New Roman"/>
                <w:lang w:val="en-CA"/>
              </w:rPr>
              <w:t>)</w:t>
            </w:r>
          </w:p>
          <w:p w14:paraId="1ACFC52E" w14:textId="2BF742FD" w:rsidR="009F1A18" w:rsidRPr="005733F1" w:rsidRDefault="0038719B" w:rsidP="00C94E02">
            <w:pPr>
              <w:widowControl/>
              <w:tabs>
                <w:tab w:val="left" w:pos="368"/>
              </w:tabs>
              <w:spacing w:after="0" w:line="240" w:lineRule="auto"/>
              <w:jc w:val="right"/>
              <w:rPr>
                <w:rFonts w:ascii="Times New Roman" w:eastAsia="Times New Roman" w:hAnsi="Times New Roman"/>
                <w:lang w:val="en-CA"/>
              </w:rPr>
            </w:pPr>
            <w:r>
              <w:rPr>
                <w:rFonts w:ascii="Times New Roman" w:eastAsia="Times New Roman" w:hAnsi="Times New Roman"/>
                <w:lang w:val="en-CA"/>
              </w:rPr>
              <w:t>$(6,500,000)</w:t>
            </w:r>
          </w:p>
        </w:tc>
      </w:tr>
      <w:tr w:rsidR="00C94E02" w14:paraId="11F769EB" w14:textId="77777777" w:rsidTr="007F35D2">
        <w:tc>
          <w:tcPr>
            <w:tcW w:w="4622" w:type="dxa"/>
          </w:tcPr>
          <w:p w14:paraId="2C1A7502" w14:textId="77777777" w:rsidR="00C94E02" w:rsidRDefault="00C94E02" w:rsidP="00C94E02">
            <w:pPr>
              <w:widowControl/>
              <w:tabs>
                <w:tab w:val="left" w:pos="368"/>
              </w:tabs>
              <w:spacing w:after="0" w:line="240" w:lineRule="auto"/>
              <w:jc w:val="both"/>
              <w:rPr>
                <w:rFonts w:ascii="Times New Roman" w:eastAsia="Times New Roman" w:hAnsi="Times New Roman"/>
                <w:lang w:val="en-CA"/>
              </w:rPr>
            </w:pPr>
            <w:r>
              <w:rPr>
                <w:rFonts w:ascii="Times New Roman" w:eastAsia="Times New Roman" w:hAnsi="Times New Roman"/>
                <w:lang w:val="en-CA"/>
              </w:rPr>
              <w:t>Fair value through profit or loss (FVTPL)</w:t>
            </w:r>
          </w:p>
          <w:p w14:paraId="70CCB773" w14:textId="06EBEE15" w:rsidR="00C94E02" w:rsidRPr="005733F1" w:rsidRDefault="00C94E02" w:rsidP="00C94E02">
            <w:pPr>
              <w:widowControl/>
              <w:tabs>
                <w:tab w:val="left" w:pos="368"/>
              </w:tabs>
              <w:spacing w:after="0" w:line="240" w:lineRule="auto"/>
              <w:jc w:val="both"/>
              <w:rPr>
                <w:rFonts w:ascii="Times New Roman" w:eastAsia="Times New Roman" w:hAnsi="Times New Roman"/>
                <w:lang w:val="en-CA"/>
              </w:rPr>
            </w:pPr>
            <w:r>
              <w:rPr>
                <w:rFonts w:ascii="Times New Roman" w:eastAsia="Times New Roman" w:hAnsi="Times New Roman"/>
                <w:lang w:val="en-CA"/>
              </w:rPr>
              <w:t xml:space="preserve">         Derivative warrant liability</w:t>
            </w:r>
          </w:p>
        </w:tc>
        <w:tc>
          <w:tcPr>
            <w:tcW w:w="2036" w:type="dxa"/>
          </w:tcPr>
          <w:p w14:paraId="77842CEE" w14:textId="77777777" w:rsidR="00C94E02" w:rsidRDefault="00C94E02" w:rsidP="00C94E02">
            <w:pPr>
              <w:widowControl/>
              <w:tabs>
                <w:tab w:val="left" w:pos="368"/>
              </w:tabs>
              <w:spacing w:after="0" w:line="240" w:lineRule="auto"/>
              <w:jc w:val="right"/>
              <w:rPr>
                <w:rFonts w:ascii="Times New Roman" w:eastAsia="Times New Roman" w:hAnsi="Times New Roman"/>
                <w:lang w:val="en-CA"/>
              </w:rPr>
            </w:pPr>
          </w:p>
          <w:p w14:paraId="78A6BBD9" w14:textId="53AD5580" w:rsidR="00C94E02" w:rsidRDefault="00C94E02" w:rsidP="00C94E02">
            <w:pPr>
              <w:widowControl/>
              <w:tabs>
                <w:tab w:val="left" w:pos="368"/>
              </w:tabs>
              <w:spacing w:after="0" w:line="240" w:lineRule="auto"/>
              <w:jc w:val="right"/>
              <w:rPr>
                <w:rFonts w:ascii="Times New Roman" w:eastAsia="Times New Roman" w:hAnsi="Times New Roman"/>
                <w:lang w:val="en-CA"/>
              </w:rPr>
            </w:pPr>
            <w:r>
              <w:rPr>
                <w:rFonts w:ascii="Times New Roman" w:eastAsia="Times New Roman" w:hAnsi="Times New Roman"/>
                <w:lang w:val="en-CA"/>
              </w:rPr>
              <w:t>$(</w:t>
            </w:r>
            <w:r w:rsidR="00E63663">
              <w:rPr>
                <w:rFonts w:ascii="Times New Roman" w:eastAsia="Times New Roman" w:hAnsi="Times New Roman"/>
                <w:lang w:val="en-CA"/>
              </w:rPr>
              <w:t>30,599,601</w:t>
            </w:r>
            <w:r>
              <w:rPr>
                <w:rFonts w:ascii="Times New Roman" w:eastAsia="Times New Roman" w:hAnsi="Times New Roman"/>
                <w:lang w:val="en-CA"/>
              </w:rPr>
              <w:t>)</w:t>
            </w:r>
          </w:p>
        </w:tc>
        <w:tc>
          <w:tcPr>
            <w:tcW w:w="2126" w:type="dxa"/>
          </w:tcPr>
          <w:p w14:paraId="17809EEA" w14:textId="77777777" w:rsidR="00C94E02" w:rsidRDefault="00C94E02" w:rsidP="00C94E02">
            <w:pPr>
              <w:widowControl/>
              <w:tabs>
                <w:tab w:val="left" w:pos="368"/>
              </w:tabs>
              <w:spacing w:after="0" w:line="240" w:lineRule="auto"/>
              <w:jc w:val="right"/>
              <w:rPr>
                <w:rFonts w:ascii="Times New Roman" w:eastAsia="Times New Roman" w:hAnsi="Times New Roman"/>
                <w:lang w:val="en-CA"/>
              </w:rPr>
            </w:pPr>
          </w:p>
          <w:p w14:paraId="2F816473" w14:textId="5170D867" w:rsidR="00C94E02" w:rsidRDefault="00C94E02" w:rsidP="00C94E02">
            <w:pPr>
              <w:widowControl/>
              <w:tabs>
                <w:tab w:val="left" w:pos="368"/>
              </w:tabs>
              <w:spacing w:after="0" w:line="240" w:lineRule="auto"/>
              <w:jc w:val="right"/>
              <w:rPr>
                <w:rFonts w:ascii="Times New Roman" w:eastAsia="Times New Roman" w:hAnsi="Times New Roman"/>
                <w:lang w:val="en-CA"/>
              </w:rPr>
            </w:pPr>
            <w:r>
              <w:rPr>
                <w:rFonts w:ascii="Times New Roman" w:eastAsia="Times New Roman" w:hAnsi="Times New Roman"/>
                <w:lang w:val="en-CA"/>
              </w:rPr>
              <w:t>$(</w:t>
            </w:r>
            <w:r w:rsidR="00E63663">
              <w:rPr>
                <w:rFonts w:ascii="Times New Roman" w:eastAsia="Times New Roman" w:hAnsi="Times New Roman"/>
                <w:lang w:val="en-CA"/>
              </w:rPr>
              <w:t>35,750,607</w:t>
            </w:r>
            <w:r>
              <w:rPr>
                <w:rFonts w:ascii="Times New Roman" w:eastAsia="Times New Roman" w:hAnsi="Times New Roman"/>
                <w:lang w:val="en-CA"/>
              </w:rPr>
              <w:t>)</w:t>
            </w:r>
          </w:p>
        </w:tc>
      </w:tr>
    </w:tbl>
    <w:p w14:paraId="6DA92D75" w14:textId="77777777" w:rsidR="00244351" w:rsidRDefault="00244351" w:rsidP="00233B8E">
      <w:pPr>
        <w:widowControl/>
        <w:spacing w:after="50"/>
        <w:jc w:val="both"/>
        <w:outlineLvl w:val="0"/>
        <w:rPr>
          <w:rFonts w:ascii="Times New Roman" w:eastAsia="Times New Roman" w:hAnsi="Times New Roman"/>
          <w:b/>
          <w:i/>
        </w:rPr>
      </w:pPr>
    </w:p>
    <w:p w14:paraId="0E41D040" w14:textId="77777777" w:rsidR="000F0A0B" w:rsidRPr="00233B8E" w:rsidRDefault="004928E7" w:rsidP="00CE625B">
      <w:pPr>
        <w:widowControl/>
        <w:spacing w:after="50"/>
        <w:jc w:val="both"/>
        <w:outlineLvl w:val="0"/>
        <w:rPr>
          <w:rFonts w:ascii="Times New Roman" w:eastAsia="Times New Roman" w:hAnsi="Times New Roman"/>
          <w:b/>
          <w:i/>
        </w:rPr>
      </w:pPr>
      <w:r w:rsidRPr="00233B8E">
        <w:rPr>
          <w:rFonts w:ascii="Times New Roman" w:eastAsia="Times New Roman" w:hAnsi="Times New Roman"/>
          <w:b/>
          <w:i/>
        </w:rPr>
        <w:t>Exchange Rate Risk</w:t>
      </w:r>
    </w:p>
    <w:p w14:paraId="59A8054F" w14:textId="30BA0B34" w:rsidR="007A261A" w:rsidRPr="007A261A" w:rsidRDefault="007A261A" w:rsidP="0023210C">
      <w:pPr>
        <w:widowControl/>
        <w:spacing w:after="0"/>
        <w:jc w:val="both"/>
        <w:rPr>
          <w:rFonts w:ascii="Times New Roman" w:eastAsia="Times New Roman" w:hAnsi="Times New Roman"/>
          <w:color w:val="000000"/>
          <w:lang w:val="en-CA" w:eastAsia="en-CA"/>
        </w:rPr>
      </w:pPr>
      <w:r w:rsidRPr="007A261A">
        <w:rPr>
          <w:rFonts w:ascii="Times New Roman" w:eastAsia="Times New Roman" w:hAnsi="Times New Roman"/>
          <w:color w:val="000000"/>
          <w:lang w:val="en-CA" w:eastAsia="en-CA"/>
        </w:rPr>
        <w:t xml:space="preserve">The functional currency of each of the entities included in the accompanying consolidated financial statements is the local currency where the entity is domiciled. Functional currencies include the Chinese Yuan, US, Singapore and Canadian dollar. Most transactions within the entities are conducted in functional currencies. </w:t>
      </w:r>
      <w:r w:rsidR="003F74B9">
        <w:rPr>
          <w:rFonts w:ascii="Times New Roman" w:eastAsia="Times New Roman" w:hAnsi="Times New Roman"/>
          <w:color w:val="000000"/>
          <w:lang w:val="en-CA" w:eastAsia="en-CA"/>
        </w:rPr>
        <w:t>None</w:t>
      </w:r>
      <w:r w:rsidRPr="007A261A">
        <w:rPr>
          <w:rFonts w:ascii="Times New Roman" w:eastAsia="Times New Roman" w:hAnsi="Times New Roman"/>
          <w:color w:val="000000"/>
          <w:lang w:val="en-CA" w:eastAsia="en-CA"/>
        </w:rPr>
        <w:t xml:space="preserve"> of the entities included in the consolidated financial statements engage in hedging activities. The Company is exposed to a foreign currency risk when its subsidiaries hold current assets or current liabilities in currencies other than its functional currency.  A 10% change in foreign currencies held would increase or decrease other comprehensive loss by $</w:t>
      </w:r>
      <w:r w:rsidR="00E63663">
        <w:rPr>
          <w:rFonts w:ascii="Times New Roman" w:eastAsia="Times New Roman" w:hAnsi="Times New Roman"/>
          <w:color w:val="000000"/>
          <w:lang w:val="en-CA" w:eastAsia="en-CA"/>
        </w:rPr>
        <w:t>7,150,000</w:t>
      </w:r>
      <w:r w:rsidRPr="007A261A">
        <w:rPr>
          <w:rFonts w:ascii="Times New Roman" w:eastAsia="Times New Roman" w:hAnsi="Times New Roman"/>
          <w:color w:val="000000"/>
          <w:lang w:val="en-CA" w:eastAsia="en-CA"/>
        </w:rPr>
        <w:t xml:space="preserve">. </w:t>
      </w:r>
    </w:p>
    <w:p w14:paraId="3C2BC434" w14:textId="77777777" w:rsidR="0014605A" w:rsidRPr="00E63663" w:rsidRDefault="0014605A" w:rsidP="006D5565">
      <w:pPr>
        <w:widowControl/>
        <w:spacing w:after="0" w:line="240" w:lineRule="auto"/>
        <w:jc w:val="both"/>
        <w:rPr>
          <w:rFonts w:ascii="Times New Roman" w:eastAsia="Times New Roman" w:hAnsi="Times New Roman"/>
          <w:lang w:val="en-CA"/>
        </w:rPr>
      </w:pPr>
    </w:p>
    <w:p w14:paraId="7612E0AB" w14:textId="77777777" w:rsidR="000F0A0B" w:rsidRPr="00233B8E" w:rsidRDefault="004928E7" w:rsidP="006D5565">
      <w:pPr>
        <w:widowControl/>
        <w:spacing w:after="0" w:line="240" w:lineRule="auto"/>
        <w:jc w:val="both"/>
        <w:rPr>
          <w:rFonts w:ascii="Times New Roman" w:eastAsia="Times New Roman" w:hAnsi="Times New Roman"/>
          <w:b/>
          <w:i/>
        </w:rPr>
      </w:pPr>
      <w:r w:rsidRPr="00233B8E">
        <w:rPr>
          <w:rFonts w:ascii="Times New Roman" w:eastAsia="Times New Roman" w:hAnsi="Times New Roman"/>
          <w:b/>
          <w:i/>
        </w:rPr>
        <w:t>Interest Rate Risk</w:t>
      </w:r>
    </w:p>
    <w:p w14:paraId="4D4201E5" w14:textId="21D71A2F" w:rsidR="0029094F" w:rsidRPr="00145985" w:rsidRDefault="004928E7" w:rsidP="00CE625B">
      <w:pPr>
        <w:widowControl/>
        <w:tabs>
          <w:tab w:val="left" w:pos="368"/>
        </w:tabs>
        <w:spacing w:after="0"/>
        <w:jc w:val="both"/>
        <w:rPr>
          <w:rFonts w:ascii="Times New Roman" w:eastAsia="Times New Roman" w:hAnsi="Times New Roman"/>
          <w:color w:val="000000"/>
          <w:lang w:val="en-CA" w:eastAsia="en-CA"/>
        </w:rPr>
      </w:pPr>
      <w:r w:rsidRPr="00145985">
        <w:rPr>
          <w:rFonts w:ascii="Times New Roman" w:eastAsia="Times New Roman" w:hAnsi="Times New Roman"/>
          <w:color w:val="000000"/>
          <w:lang w:val="en-CA" w:eastAsia="en-CA"/>
        </w:rPr>
        <w:t>Cash equivalents</w:t>
      </w:r>
      <w:r w:rsidR="00E63663">
        <w:rPr>
          <w:rFonts w:ascii="Times New Roman" w:eastAsia="Times New Roman" w:hAnsi="Times New Roman"/>
          <w:color w:val="000000"/>
          <w:lang w:val="en-CA" w:eastAsia="en-CA"/>
        </w:rPr>
        <w:t xml:space="preserve"> and short-term investments</w:t>
      </w:r>
      <w:r w:rsidRPr="00145985">
        <w:rPr>
          <w:rFonts w:ascii="Times New Roman" w:eastAsia="Times New Roman" w:hAnsi="Times New Roman"/>
          <w:color w:val="000000"/>
          <w:lang w:val="en-CA" w:eastAsia="en-CA"/>
        </w:rPr>
        <w:t xml:space="preserve"> bear interest at fixed rates, and as such, are subject to interest rate risk resulting from changes in fair value from market fluctuations in interest rates.  The Company does not depend on interest from its investments to fund its operations.</w:t>
      </w:r>
    </w:p>
    <w:p w14:paraId="784F9F1B" w14:textId="77777777" w:rsidR="00F5280F" w:rsidRPr="00233B8E" w:rsidRDefault="00F5280F" w:rsidP="00233B8E">
      <w:pPr>
        <w:widowControl/>
        <w:spacing w:after="50"/>
        <w:jc w:val="both"/>
        <w:rPr>
          <w:rFonts w:ascii="Times New Roman" w:eastAsia="Times New Roman" w:hAnsi="Times New Roman"/>
          <w:b/>
          <w:i/>
        </w:rPr>
      </w:pPr>
    </w:p>
    <w:p w14:paraId="2197C4BF" w14:textId="77777777" w:rsidR="0029094F" w:rsidRPr="00233B8E" w:rsidRDefault="004928E7" w:rsidP="00233B8E">
      <w:pPr>
        <w:widowControl/>
        <w:spacing w:after="50"/>
        <w:jc w:val="both"/>
        <w:outlineLvl w:val="0"/>
        <w:rPr>
          <w:rFonts w:ascii="Times New Roman" w:eastAsia="Times New Roman" w:hAnsi="Times New Roman"/>
          <w:b/>
          <w:i/>
        </w:rPr>
      </w:pPr>
      <w:r w:rsidRPr="00233B8E">
        <w:rPr>
          <w:rFonts w:ascii="Times New Roman" w:eastAsia="Times New Roman" w:hAnsi="Times New Roman"/>
          <w:b/>
          <w:i/>
        </w:rPr>
        <w:t>Credit Risk</w:t>
      </w:r>
    </w:p>
    <w:p w14:paraId="5663A9A1" w14:textId="0C61FE6A" w:rsidR="006D09CA" w:rsidRPr="006D09CA" w:rsidRDefault="004928E7" w:rsidP="004658C3">
      <w:pPr>
        <w:jc w:val="both"/>
        <w:rPr>
          <w:rFonts w:ascii="Times New Roman" w:eastAsia="Times New Roman" w:hAnsi="Times New Roman"/>
          <w:color w:val="000000"/>
          <w:lang w:val="en-CA" w:eastAsia="en-CA"/>
        </w:rPr>
      </w:pPr>
      <w:r w:rsidRPr="00733BA2">
        <w:rPr>
          <w:rFonts w:ascii="Times New Roman" w:eastAsia="Times New Roman" w:hAnsi="Times New Roman"/>
          <w:color w:val="000000"/>
          <w:lang w:val="en-CA" w:eastAsia="en-CA"/>
        </w:rPr>
        <w:t xml:space="preserve">The Company is </w:t>
      </w:r>
      <w:r w:rsidR="00A926DE">
        <w:rPr>
          <w:rFonts w:ascii="Times New Roman" w:eastAsia="Times New Roman" w:hAnsi="Times New Roman"/>
          <w:color w:val="000000"/>
          <w:lang w:val="en-CA" w:eastAsia="en-CA"/>
        </w:rPr>
        <w:t xml:space="preserve">not </w:t>
      </w:r>
      <w:r w:rsidRPr="00733BA2">
        <w:rPr>
          <w:rFonts w:ascii="Times New Roman" w:eastAsia="Times New Roman" w:hAnsi="Times New Roman"/>
          <w:color w:val="000000"/>
          <w:lang w:val="en-CA" w:eastAsia="en-CA"/>
        </w:rPr>
        <w:t xml:space="preserve">exposed to credit risk </w:t>
      </w:r>
      <w:r w:rsidR="00A926DE">
        <w:rPr>
          <w:rFonts w:ascii="Times New Roman" w:eastAsia="Times New Roman" w:hAnsi="Times New Roman"/>
          <w:color w:val="000000"/>
          <w:lang w:val="en-CA" w:eastAsia="en-CA"/>
        </w:rPr>
        <w:t xml:space="preserve">at this point as </w:t>
      </w:r>
      <w:r w:rsidR="00A923CF">
        <w:rPr>
          <w:rFonts w:ascii="Times New Roman" w:eastAsia="Times New Roman" w:hAnsi="Times New Roman"/>
          <w:color w:val="000000"/>
          <w:lang w:val="en-CA" w:eastAsia="en-CA"/>
        </w:rPr>
        <w:t xml:space="preserve">all most all </w:t>
      </w:r>
      <w:r w:rsidR="00C2566D">
        <w:rPr>
          <w:rFonts w:ascii="Times New Roman" w:eastAsia="Times New Roman" w:hAnsi="Times New Roman"/>
          <w:color w:val="000000"/>
          <w:lang w:val="en-CA" w:eastAsia="en-CA"/>
        </w:rPr>
        <w:t>its services provided are paid in advance.</w:t>
      </w:r>
    </w:p>
    <w:p w14:paraId="486F61F3" w14:textId="77777777" w:rsidR="000F0A0B" w:rsidRPr="00233B8E" w:rsidRDefault="004928E7" w:rsidP="00733BA2">
      <w:pPr>
        <w:rPr>
          <w:rFonts w:ascii="Times New Roman" w:eastAsia="Times New Roman" w:hAnsi="Times New Roman"/>
          <w:b/>
          <w:i/>
        </w:rPr>
      </w:pPr>
      <w:r w:rsidRPr="00233B8E">
        <w:rPr>
          <w:rFonts w:ascii="Times New Roman" w:eastAsia="Times New Roman" w:hAnsi="Times New Roman"/>
          <w:b/>
          <w:i/>
        </w:rPr>
        <w:t xml:space="preserve">World Economic Risk </w:t>
      </w:r>
    </w:p>
    <w:p w14:paraId="740D86A9" w14:textId="09D55235" w:rsidR="000F0A0B" w:rsidRPr="00145985" w:rsidRDefault="004928E7" w:rsidP="00233B8E">
      <w:pPr>
        <w:widowControl/>
        <w:tabs>
          <w:tab w:val="left" w:pos="368"/>
        </w:tabs>
        <w:spacing w:after="0"/>
        <w:jc w:val="both"/>
        <w:rPr>
          <w:rFonts w:ascii="Times New Roman" w:eastAsia="Times New Roman" w:hAnsi="Times New Roman"/>
          <w:color w:val="000000"/>
          <w:lang w:val="en-CA" w:eastAsia="en-CA"/>
        </w:rPr>
      </w:pPr>
      <w:r w:rsidRPr="00145985">
        <w:rPr>
          <w:rFonts w:ascii="Times New Roman" w:eastAsia="Times New Roman" w:hAnsi="Times New Roman"/>
          <w:color w:val="000000"/>
          <w:lang w:val="en-CA" w:eastAsia="en-CA"/>
        </w:rPr>
        <w:t>Like many other companies, the world economic climate could have an impact on the Company</w:t>
      </w:r>
      <w:r w:rsidR="00B6711C">
        <w:rPr>
          <w:rFonts w:ascii="Times New Roman" w:eastAsia="Times New Roman" w:hAnsi="Times New Roman"/>
          <w:color w:val="000000"/>
          <w:lang w:val="en-CA" w:eastAsia="en-CA"/>
        </w:rPr>
        <w:t>’</w:t>
      </w:r>
      <w:r w:rsidRPr="00145985">
        <w:rPr>
          <w:rFonts w:ascii="Times New Roman" w:eastAsia="Times New Roman" w:hAnsi="Times New Roman"/>
          <w:color w:val="000000"/>
          <w:lang w:val="en-CA" w:eastAsia="en-CA"/>
        </w:rPr>
        <w:t>s business and the business of many of its current and prospective customers.  A slump in demand for electronic-based devices, due to a world economic crisis</w:t>
      </w:r>
      <w:r w:rsidR="00796871">
        <w:rPr>
          <w:rFonts w:ascii="Times New Roman" w:eastAsia="Times New Roman" w:hAnsi="Times New Roman"/>
          <w:color w:val="000000"/>
          <w:lang w:val="en-CA" w:eastAsia="en-CA"/>
        </w:rPr>
        <w:t xml:space="preserve"> </w:t>
      </w:r>
      <w:r w:rsidRPr="00145985">
        <w:rPr>
          <w:rFonts w:ascii="Times New Roman" w:eastAsia="Times New Roman" w:hAnsi="Times New Roman"/>
          <w:color w:val="000000"/>
          <w:lang w:val="en-CA" w:eastAsia="en-CA"/>
        </w:rPr>
        <w:t>may impact any anticipated licensing revenue.</w:t>
      </w:r>
    </w:p>
    <w:p w14:paraId="45F3E400" w14:textId="77777777" w:rsidR="00D944C9" w:rsidRPr="00DA0179" w:rsidRDefault="00D944C9" w:rsidP="00233B8E">
      <w:pPr>
        <w:widowControl/>
        <w:tabs>
          <w:tab w:val="left" w:pos="368"/>
        </w:tabs>
        <w:spacing w:after="0"/>
        <w:jc w:val="both"/>
        <w:rPr>
          <w:rFonts w:ascii="Times New Roman" w:eastAsia="Times New Roman" w:hAnsi="Times New Roman"/>
          <w:bCs/>
        </w:rPr>
      </w:pPr>
    </w:p>
    <w:p w14:paraId="387EAF57" w14:textId="77777777" w:rsidR="00D944C9" w:rsidRPr="00233B8E" w:rsidRDefault="004928E7" w:rsidP="00233B8E">
      <w:pPr>
        <w:widowControl/>
        <w:spacing w:after="50"/>
        <w:jc w:val="both"/>
        <w:outlineLvl w:val="0"/>
        <w:rPr>
          <w:rFonts w:ascii="Times New Roman" w:eastAsia="Times New Roman" w:hAnsi="Times New Roman"/>
          <w:b/>
          <w:i/>
        </w:rPr>
      </w:pPr>
      <w:r w:rsidRPr="00233B8E">
        <w:rPr>
          <w:rFonts w:ascii="Times New Roman" w:eastAsia="Times New Roman" w:hAnsi="Times New Roman"/>
          <w:b/>
          <w:i/>
        </w:rPr>
        <w:t>Obsolescence Risk</w:t>
      </w:r>
    </w:p>
    <w:p w14:paraId="6F196030" w14:textId="77777777" w:rsidR="00D944C9" w:rsidRPr="00233B8E" w:rsidRDefault="004928E7" w:rsidP="00233B8E">
      <w:pPr>
        <w:widowControl/>
        <w:tabs>
          <w:tab w:val="left" w:pos="368"/>
        </w:tabs>
        <w:spacing w:after="0"/>
        <w:jc w:val="both"/>
        <w:rPr>
          <w:rFonts w:ascii="Times New Roman" w:eastAsia="Times New Roman" w:hAnsi="Times New Roman"/>
          <w:bCs/>
        </w:rPr>
      </w:pPr>
      <w:r w:rsidRPr="00733BA2">
        <w:rPr>
          <w:rFonts w:ascii="Times New Roman" w:eastAsia="Times New Roman" w:hAnsi="Times New Roman"/>
          <w:bCs/>
        </w:rPr>
        <w:t xml:space="preserve">The Company designs, manufactures and sells various highly technological </w:t>
      </w:r>
      <w:r w:rsidR="00AE219A">
        <w:rPr>
          <w:rFonts w:ascii="Times New Roman" w:eastAsia="Times New Roman" w:hAnsi="Times New Roman"/>
          <w:bCs/>
        </w:rPr>
        <w:t>opto</w:t>
      </w:r>
      <w:r w:rsidRPr="00733BA2">
        <w:rPr>
          <w:rFonts w:ascii="Times New Roman" w:eastAsia="Times New Roman" w:hAnsi="Times New Roman"/>
          <w:bCs/>
        </w:rPr>
        <w:t xml:space="preserve">electronic products that could become </w:t>
      </w:r>
      <w:r w:rsidR="00011170" w:rsidRPr="00BC62BC">
        <w:rPr>
          <w:rFonts w:ascii="Times New Roman" w:eastAsia="Times New Roman" w:hAnsi="Times New Roman"/>
          <w:bCs/>
        </w:rPr>
        <w:t>obsolete</w:t>
      </w:r>
      <w:r w:rsidRPr="00BC62BC">
        <w:rPr>
          <w:rFonts w:ascii="Times New Roman" w:eastAsia="Times New Roman" w:hAnsi="Times New Roman"/>
          <w:bCs/>
        </w:rPr>
        <w:t xml:space="preserve"> should </w:t>
      </w:r>
      <w:r w:rsidR="00011170" w:rsidRPr="00DA0179">
        <w:rPr>
          <w:rFonts w:ascii="Times New Roman" w:eastAsia="Times New Roman" w:hAnsi="Times New Roman"/>
          <w:bCs/>
        </w:rPr>
        <w:t xml:space="preserve">lower </w:t>
      </w:r>
      <w:r w:rsidR="00011170" w:rsidRPr="00050BDF">
        <w:rPr>
          <w:rFonts w:ascii="Times New Roman" w:eastAsia="Times New Roman" w:hAnsi="Times New Roman"/>
          <w:bCs/>
        </w:rPr>
        <w:t xml:space="preserve">priced competitors or new technology enter the market.   This would expose the company to obsolescence risk in the </w:t>
      </w:r>
      <w:r w:rsidR="00011170" w:rsidRPr="00233B8E">
        <w:rPr>
          <w:rFonts w:ascii="Times New Roman" w:eastAsia="Times New Roman" w:hAnsi="Times New Roman"/>
          <w:bCs/>
        </w:rPr>
        <w:t>product offering.   The redesign of the product offering could take significant time or could never occur.</w:t>
      </w:r>
    </w:p>
    <w:p w14:paraId="3B8C0B7F" w14:textId="77777777" w:rsidR="00E84B34" w:rsidRPr="00233B8E" w:rsidRDefault="00E84B34" w:rsidP="00233B8E">
      <w:pPr>
        <w:widowControl/>
        <w:tabs>
          <w:tab w:val="left" w:pos="368"/>
        </w:tabs>
        <w:spacing w:after="0"/>
        <w:jc w:val="both"/>
        <w:rPr>
          <w:rFonts w:ascii="Times New Roman" w:eastAsia="Times New Roman" w:hAnsi="Times New Roman"/>
          <w:bCs/>
        </w:rPr>
      </w:pPr>
    </w:p>
    <w:p w14:paraId="06A1DCEF" w14:textId="77777777" w:rsidR="000F0A0B" w:rsidRPr="00233B8E" w:rsidRDefault="004928E7" w:rsidP="00233B8E">
      <w:pPr>
        <w:widowControl/>
        <w:spacing w:after="50"/>
        <w:jc w:val="both"/>
        <w:outlineLvl w:val="0"/>
        <w:rPr>
          <w:rFonts w:ascii="Times New Roman" w:eastAsia="Times New Roman" w:hAnsi="Times New Roman"/>
          <w:b/>
          <w:bCs/>
          <w:i/>
        </w:rPr>
      </w:pPr>
      <w:r w:rsidRPr="00233B8E">
        <w:rPr>
          <w:rFonts w:ascii="Times New Roman" w:eastAsia="Times New Roman" w:hAnsi="Times New Roman"/>
          <w:b/>
          <w:i/>
        </w:rPr>
        <w:t>Liquidity</w:t>
      </w:r>
      <w:r w:rsidRPr="00233B8E">
        <w:rPr>
          <w:rFonts w:ascii="Times New Roman" w:eastAsia="Times New Roman" w:hAnsi="Times New Roman"/>
          <w:b/>
          <w:bCs/>
          <w:i/>
        </w:rPr>
        <w:t xml:space="preserve"> Risk</w:t>
      </w:r>
    </w:p>
    <w:p w14:paraId="0AA56F7B" w14:textId="73B72280" w:rsidR="00722B77" w:rsidRPr="00BC62BC" w:rsidRDefault="004928E7" w:rsidP="00233B8E">
      <w:pPr>
        <w:widowControl/>
        <w:tabs>
          <w:tab w:val="left" w:pos="368"/>
        </w:tabs>
        <w:spacing w:after="0"/>
        <w:jc w:val="both"/>
        <w:rPr>
          <w:rFonts w:ascii="Times New Roman" w:eastAsia="Times New Roman" w:hAnsi="Times New Roman"/>
        </w:rPr>
      </w:pPr>
      <w:r w:rsidRPr="00733BA2">
        <w:rPr>
          <w:rFonts w:ascii="Times New Roman" w:eastAsia="Times New Roman" w:hAnsi="Times New Roman"/>
        </w:rPr>
        <w:t>The Company predominately relies on equity funding for liquidity to meet current and foreseeable financial requirements. The Company current</w:t>
      </w:r>
      <w:r w:rsidRPr="00F34E52">
        <w:rPr>
          <w:rFonts w:ascii="Times New Roman" w:eastAsia="Times New Roman" w:hAnsi="Times New Roman"/>
        </w:rPr>
        <w:t>ly does not maintain credit facilities. The Company</w:t>
      </w:r>
      <w:r w:rsidR="00B6711C">
        <w:rPr>
          <w:rFonts w:ascii="Times New Roman" w:eastAsia="Times New Roman" w:hAnsi="Times New Roman"/>
        </w:rPr>
        <w:t>’</w:t>
      </w:r>
      <w:r w:rsidRPr="00F34E52">
        <w:rPr>
          <w:rFonts w:ascii="Times New Roman" w:eastAsia="Times New Roman" w:hAnsi="Times New Roman"/>
        </w:rPr>
        <w:t xml:space="preserve">s existing </w:t>
      </w:r>
      <w:r w:rsidR="00E63663">
        <w:rPr>
          <w:rFonts w:ascii="Times New Roman" w:eastAsia="Times New Roman" w:hAnsi="Times New Roman"/>
        </w:rPr>
        <w:t>financial</w:t>
      </w:r>
      <w:r w:rsidRPr="00F34E52">
        <w:rPr>
          <w:rFonts w:ascii="Times New Roman" w:eastAsia="Times New Roman" w:hAnsi="Times New Roman"/>
        </w:rPr>
        <w:t xml:space="preserve"> resources are considered sufficient</w:t>
      </w:r>
      <w:r w:rsidRPr="00BC62BC">
        <w:rPr>
          <w:rFonts w:ascii="Times New Roman" w:eastAsia="Times New Roman" w:hAnsi="Times New Roman"/>
        </w:rPr>
        <w:t xml:space="preserve"> to fund operating and investing activities beyond one year from the issuance of </w:t>
      </w:r>
      <w:r w:rsidR="004E7C70">
        <w:rPr>
          <w:rFonts w:ascii="Times New Roman" w:eastAsia="Times New Roman" w:hAnsi="Times New Roman"/>
        </w:rPr>
        <w:t xml:space="preserve">its </w:t>
      </w:r>
      <w:r w:rsidRPr="00BC62BC">
        <w:rPr>
          <w:rFonts w:ascii="Times New Roman" w:eastAsia="Times New Roman" w:hAnsi="Times New Roman"/>
        </w:rPr>
        <w:t xml:space="preserve">consolidated financial statements. </w:t>
      </w:r>
    </w:p>
    <w:p w14:paraId="07B26D12" w14:textId="77777777" w:rsidR="00E84B34" w:rsidRPr="00DA0179" w:rsidRDefault="00E84B34" w:rsidP="00233B8E">
      <w:pPr>
        <w:widowControl/>
        <w:tabs>
          <w:tab w:val="left" w:pos="368"/>
        </w:tabs>
        <w:spacing w:after="0"/>
        <w:jc w:val="both"/>
        <w:rPr>
          <w:rFonts w:ascii="Times New Roman" w:eastAsia="Times New Roman" w:hAnsi="Times New Roman"/>
        </w:rPr>
      </w:pPr>
    </w:p>
    <w:p w14:paraId="630F0588" w14:textId="77777777" w:rsidR="000F0A0B" w:rsidRPr="00233B8E" w:rsidRDefault="004928E7" w:rsidP="00233B8E">
      <w:pPr>
        <w:keepNext/>
        <w:widowControl/>
        <w:spacing w:after="50"/>
        <w:jc w:val="both"/>
        <w:outlineLvl w:val="0"/>
        <w:rPr>
          <w:rFonts w:ascii="Times New Roman" w:eastAsia="Times New Roman" w:hAnsi="Times New Roman"/>
          <w:b/>
          <w:i/>
          <w:color w:val="000000"/>
        </w:rPr>
      </w:pPr>
      <w:r w:rsidRPr="00233B8E">
        <w:rPr>
          <w:rFonts w:ascii="Times New Roman" w:eastAsia="Times New Roman" w:hAnsi="Times New Roman"/>
          <w:b/>
          <w:i/>
          <w:color w:val="000000"/>
        </w:rPr>
        <w:lastRenderedPageBreak/>
        <w:t xml:space="preserve">Outstanding </w:t>
      </w:r>
      <w:r w:rsidRPr="00233B8E">
        <w:rPr>
          <w:rFonts w:ascii="Times New Roman" w:eastAsia="Times New Roman" w:hAnsi="Times New Roman"/>
          <w:b/>
          <w:i/>
        </w:rPr>
        <w:t>Share</w:t>
      </w:r>
      <w:r w:rsidRPr="00233B8E">
        <w:rPr>
          <w:rFonts w:ascii="Times New Roman" w:eastAsia="Times New Roman" w:hAnsi="Times New Roman"/>
          <w:b/>
          <w:i/>
          <w:color w:val="000000"/>
        </w:rPr>
        <w:t xml:space="preserve"> Data</w:t>
      </w:r>
    </w:p>
    <w:p w14:paraId="525422DF" w14:textId="77777777" w:rsidR="000F0A0B" w:rsidRPr="00F34E52" w:rsidRDefault="004928E7" w:rsidP="00233B8E">
      <w:pPr>
        <w:keepNext/>
        <w:widowControl/>
        <w:spacing w:after="40"/>
        <w:jc w:val="both"/>
        <w:outlineLvl w:val="0"/>
        <w:rPr>
          <w:rFonts w:ascii="Times New Roman" w:eastAsia="Times New Roman" w:hAnsi="Times New Roman"/>
          <w:i/>
          <w:color w:val="000000"/>
        </w:rPr>
      </w:pPr>
      <w:r w:rsidRPr="00733BA2">
        <w:rPr>
          <w:rFonts w:ascii="Times New Roman" w:eastAsia="Times New Roman" w:hAnsi="Times New Roman"/>
          <w:i/>
          <w:color w:val="000000"/>
        </w:rPr>
        <w:t>Common Shares</w:t>
      </w:r>
    </w:p>
    <w:p w14:paraId="00CAB782" w14:textId="44542DDB" w:rsidR="000F0A0B" w:rsidRPr="00AC59E9" w:rsidRDefault="004928E7" w:rsidP="00233B8E">
      <w:pPr>
        <w:widowControl/>
        <w:spacing w:after="120"/>
        <w:jc w:val="both"/>
        <w:rPr>
          <w:rFonts w:ascii="Times New Roman" w:eastAsia="Times New Roman" w:hAnsi="Times New Roman"/>
          <w:color w:val="000000"/>
          <w:lang w:val="en-CA" w:eastAsia="en-CA"/>
        </w:rPr>
      </w:pPr>
      <w:r w:rsidRPr="00AC59E9">
        <w:rPr>
          <w:rFonts w:ascii="Times New Roman" w:eastAsia="Times New Roman" w:hAnsi="Times New Roman"/>
          <w:color w:val="000000"/>
          <w:lang w:val="en-CA" w:eastAsia="en-CA"/>
        </w:rPr>
        <w:t xml:space="preserve">Total common shares of the Company outstanding </w:t>
      </w:r>
      <w:proofErr w:type="gramStart"/>
      <w:r w:rsidRPr="00AC59E9">
        <w:rPr>
          <w:rFonts w:ascii="Times New Roman" w:eastAsia="Times New Roman" w:hAnsi="Times New Roman"/>
          <w:color w:val="000000"/>
          <w:lang w:val="en-CA" w:eastAsia="en-CA"/>
        </w:rPr>
        <w:t>at</w:t>
      </w:r>
      <w:proofErr w:type="gramEnd"/>
      <w:r w:rsidRPr="00AC59E9">
        <w:rPr>
          <w:rFonts w:ascii="Times New Roman" w:eastAsia="Times New Roman" w:hAnsi="Times New Roman"/>
          <w:color w:val="000000"/>
          <w:lang w:val="en-CA" w:eastAsia="en-CA"/>
        </w:rPr>
        <w:t xml:space="preserve"> </w:t>
      </w:r>
      <w:r w:rsidR="000E08E0">
        <w:rPr>
          <w:rFonts w:ascii="Times New Roman" w:eastAsia="Times New Roman" w:hAnsi="Times New Roman"/>
          <w:color w:val="000000"/>
          <w:lang w:val="en-CA" w:eastAsia="en-CA"/>
        </w:rPr>
        <w:t xml:space="preserve">September 30, </w:t>
      </w:r>
      <w:proofErr w:type="gramStart"/>
      <w:r w:rsidR="000E08E0">
        <w:rPr>
          <w:rFonts w:ascii="Times New Roman" w:eastAsia="Times New Roman" w:hAnsi="Times New Roman"/>
          <w:color w:val="000000"/>
          <w:lang w:val="en-CA" w:eastAsia="en-CA"/>
        </w:rPr>
        <w:t>2025</w:t>
      </w:r>
      <w:proofErr w:type="gramEnd"/>
      <w:r w:rsidR="009B08CE">
        <w:rPr>
          <w:rFonts w:ascii="Times New Roman" w:eastAsia="Times New Roman" w:hAnsi="Times New Roman"/>
          <w:color w:val="000000"/>
          <w:lang w:val="en-CA" w:eastAsia="en-CA"/>
        </w:rPr>
        <w:t xml:space="preserve"> and </w:t>
      </w:r>
      <w:r w:rsidR="003F5BF5">
        <w:rPr>
          <w:rFonts w:ascii="Times New Roman" w:eastAsia="Times New Roman" w:hAnsi="Times New Roman"/>
          <w:color w:val="000000"/>
          <w:lang w:val="en-CA" w:eastAsia="en-CA"/>
        </w:rPr>
        <w:t>November 13</w:t>
      </w:r>
      <w:r w:rsidR="00C70AD3">
        <w:rPr>
          <w:rFonts w:ascii="Times New Roman" w:eastAsia="Times New Roman" w:hAnsi="Times New Roman"/>
          <w:color w:val="000000"/>
          <w:lang w:val="en-CA" w:eastAsia="en-CA"/>
        </w:rPr>
        <w:t xml:space="preserve">, </w:t>
      </w:r>
      <w:proofErr w:type="gramStart"/>
      <w:r w:rsidR="00C70AD3">
        <w:rPr>
          <w:rFonts w:ascii="Times New Roman" w:eastAsia="Times New Roman" w:hAnsi="Times New Roman"/>
          <w:color w:val="000000"/>
          <w:lang w:val="en-CA" w:eastAsia="en-CA"/>
        </w:rPr>
        <w:t>2025</w:t>
      </w:r>
      <w:proofErr w:type="gramEnd"/>
      <w:r w:rsidR="00AC4D4A">
        <w:rPr>
          <w:rFonts w:ascii="Times New Roman" w:eastAsia="Times New Roman" w:hAnsi="Times New Roman"/>
          <w:color w:val="000000"/>
          <w:lang w:val="en-CA" w:eastAsia="en-CA"/>
        </w:rPr>
        <w:t xml:space="preserve"> </w:t>
      </w:r>
      <w:r w:rsidR="00A923CF">
        <w:rPr>
          <w:rFonts w:ascii="Times New Roman" w:eastAsia="Times New Roman" w:hAnsi="Times New Roman"/>
          <w:color w:val="000000"/>
          <w:lang w:val="en-CA" w:eastAsia="en-CA"/>
        </w:rPr>
        <w:t>w</w:t>
      </w:r>
      <w:r w:rsidR="006B1A94">
        <w:rPr>
          <w:rFonts w:ascii="Times New Roman" w:eastAsia="Times New Roman" w:hAnsi="Times New Roman"/>
          <w:color w:val="000000"/>
          <w:lang w:val="en-CA" w:eastAsia="en-CA"/>
        </w:rPr>
        <w:t>as</w:t>
      </w:r>
      <w:r w:rsidRPr="00AC59E9">
        <w:rPr>
          <w:rFonts w:ascii="Times New Roman" w:eastAsia="Times New Roman" w:hAnsi="Times New Roman"/>
          <w:color w:val="000000"/>
          <w:lang w:val="en-CA" w:eastAsia="en-CA"/>
        </w:rPr>
        <w:t xml:space="preserve"> </w:t>
      </w:r>
      <w:r w:rsidR="003F5BF5">
        <w:rPr>
          <w:rFonts w:ascii="Times New Roman" w:eastAsia="Times New Roman" w:hAnsi="Times New Roman"/>
          <w:color w:val="000000"/>
          <w:lang w:val="en-CA" w:eastAsia="en-CA"/>
        </w:rPr>
        <w:t>91,010,598</w:t>
      </w:r>
      <w:r w:rsidR="00AB1D93">
        <w:rPr>
          <w:rFonts w:ascii="Times New Roman" w:eastAsia="Times New Roman" w:hAnsi="Times New Roman"/>
          <w:color w:val="000000"/>
          <w:lang w:val="en-CA" w:eastAsia="en-CA"/>
        </w:rPr>
        <w:t xml:space="preserve"> and </w:t>
      </w:r>
      <w:r w:rsidR="003F5BF5">
        <w:rPr>
          <w:rFonts w:ascii="Times New Roman" w:eastAsia="Times New Roman" w:hAnsi="Times New Roman"/>
          <w:color w:val="000000"/>
          <w:lang w:val="en-CA" w:eastAsia="en-CA"/>
        </w:rPr>
        <w:t>131,769,637</w:t>
      </w:r>
      <w:r w:rsidR="00B3249E">
        <w:rPr>
          <w:rFonts w:ascii="Times New Roman" w:eastAsia="Times New Roman" w:hAnsi="Times New Roman"/>
          <w:color w:val="000000"/>
          <w:lang w:val="en-CA" w:eastAsia="en-CA"/>
        </w:rPr>
        <w:t xml:space="preserve"> </w:t>
      </w:r>
      <w:r w:rsidR="007E6681">
        <w:rPr>
          <w:rFonts w:ascii="Times New Roman" w:eastAsia="Times New Roman" w:hAnsi="Times New Roman"/>
          <w:color w:val="000000"/>
          <w:lang w:val="en-CA" w:eastAsia="en-CA"/>
        </w:rPr>
        <w:t>r</w:t>
      </w:r>
      <w:r w:rsidR="00AB1D93">
        <w:rPr>
          <w:rFonts w:ascii="Times New Roman" w:eastAsia="Times New Roman" w:hAnsi="Times New Roman"/>
          <w:color w:val="000000"/>
          <w:lang w:val="en-CA" w:eastAsia="en-CA"/>
        </w:rPr>
        <w:t>espectively</w:t>
      </w:r>
      <w:r w:rsidR="006B1A94">
        <w:rPr>
          <w:rFonts w:ascii="Times New Roman" w:eastAsia="Times New Roman" w:hAnsi="Times New Roman"/>
          <w:color w:val="000000"/>
          <w:lang w:val="en-CA" w:eastAsia="en-CA"/>
        </w:rPr>
        <w:t>.</w:t>
      </w:r>
    </w:p>
    <w:p w14:paraId="7BEE9851" w14:textId="4731C3CF" w:rsidR="000F0A0B" w:rsidRPr="00AC59E9" w:rsidRDefault="004928E7" w:rsidP="00233B8E">
      <w:pPr>
        <w:keepNext/>
        <w:widowControl/>
        <w:spacing w:after="40"/>
        <w:jc w:val="both"/>
        <w:outlineLvl w:val="0"/>
        <w:rPr>
          <w:rFonts w:ascii="Times New Roman" w:eastAsia="Times New Roman" w:hAnsi="Times New Roman"/>
          <w:i/>
          <w:iCs/>
          <w:color w:val="000000"/>
          <w:lang w:val="en-CA" w:eastAsia="en-CA"/>
        </w:rPr>
      </w:pPr>
      <w:bookmarkStart w:id="15" w:name="_Hlk9273059"/>
      <w:r w:rsidRPr="00AC59E9">
        <w:rPr>
          <w:rFonts w:ascii="Times New Roman" w:eastAsia="Times New Roman" w:hAnsi="Times New Roman"/>
          <w:i/>
          <w:iCs/>
          <w:color w:val="000000"/>
          <w:lang w:val="en-CA" w:eastAsia="en-CA"/>
        </w:rPr>
        <w:t>Stock Options</w:t>
      </w:r>
      <w:r w:rsidR="008A69A9" w:rsidRPr="00AC59E9">
        <w:rPr>
          <w:rFonts w:ascii="Times New Roman" w:eastAsia="Times New Roman" w:hAnsi="Times New Roman"/>
          <w:i/>
          <w:iCs/>
          <w:color w:val="000000"/>
          <w:lang w:val="en-CA" w:eastAsia="en-CA"/>
        </w:rPr>
        <w:t>,</w:t>
      </w:r>
      <w:r w:rsidRPr="00AC59E9">
        <w:rPr>
          <w:rFonts w:ascii="Times New Roman" w:eastAsia="Times New Roman" w:hAnsi="Times New Roman"/>
          <w:i/>
          <w:iCs/>
          <w:color w:val="000000"/>
          <w:lang w:val="en-CA" w:eastAsia="en-CA"/>
        </w:rPr>
        <w:t xml:space="preserve"> Warrants</w:t>
      </w:r>
      <w:r w:rsidR="008A69A9" w:rsidRPr="00AC59E9">
        <w:rPr>
          <w:rFonts w:ascii="Times New Roman" w:eastAsia="Times New Roman" w:hAnsi="Times New Roman"/>
          <w:i/>
          <w:iCs/>
          <w:color w:val="000000"/>
          <w:lang w:val="en-CA" w:eastAsia="en-CA"/>
        </w:rPr>
        <w:t xml:space="preserve"> and </w:t>
      </w:r>
      <w:r w:rsidR="00B3249E">
        <w:rPr>
          <w:rFonts w:ascii="Times New Roman" w:eastAsia="Times New Roman" w:hAnsi="Times New Roman"/>
          <w:i/>
          <w:iCs/>
          <w:color w:val="000000"/>
          <w:lang w:val="en-CA" w:eastAsia="en-CA"/>
        </w:rPr>
        <w:t xml:space="preserve">Restricted Stock Units </w:t>
      </w:r>
    </w:p>
    <w:p w14:paraId="0B564E12" w14:textId="40D9E337" w:rsidR="007A6F4D" w:rsidRPr="00AC59E9" w:rsidRDefault="004928E7" w:rsidP="00233B8E">
      <w:pPr>
        <w:widowControl/>
        <w:spacing w:after="120"/>
        <w:jc w:val="both"/>
        <w:rPr>
          <w:rFonts w:ascii="Times New Roman" w:eastAsia="Times New Roman" w:hAnsi="Times New Roman"/>
          <w:color w:val="000000"/>
          <w:lang w:val="en-CA" w:eastAsia="en-CA"/>
        </w:rPr>
      </w:pPr>
      <w:r w:rsidRPr="00AC59E9">
        <w:rPr>
          <w:rFonts w:ascii="Times New Roman" w:eastAsia="Times New Roman" w:hAnsi="Times New Roman"/>
          <w:color w:val="000000"/>
          <w:lang w:val="en-CA" w:eastAsia="en-CA"/>
        </w:rPr>
        <w:t>Total warrants</w:t>
      </w:r>
      <w:r w:rsidR="009B0155">
        <w:rPr>
          <w:rFonts w:ascii="Times New Roman" w:eastAsia="Times New Roman" w:hAnsi="Times New Roman"/>
          <w:color w:val="000000"/>
          <w:lang w:val="en-CA" w:eastAsia="en-CA"/>
        </w:rPr>
        <w:t xml:space="preserve"> </w:t>
      </w:r>
      <w:r w:rsidRPr="00AC59E9">
        <w:rPr>
          <w:rFonts w:ascii="Times New Roman" w:eastAsia="Times New Roman" w:hAnsi="Times New Roman"/>
          <w:color w:val="000000"/>
          <w:lang w:val="en-CA" w:eastAsia="en-CA"/>
        </w:rPr>
        <w:t xml:space="preserve">outstanding to purchase common shares of the Company </w:t>
      </w:r>
      <w:proofErr w:type="gramStart"/>
      <w:r w:rsidRPr="00AC59E9">
        <w:rPr>
          <w:rFonts w:ascii="Times New Roman" w:eastAsia="Times New Roman" w:hAnsi="Times New Roman"/>
          <w:color w:val="000000"/>
          <w:lang w:val="en-CA" w:eastAsia="en-CA"/>
        </w:rPr>
        <w:t>at</w:t>
      </w:r>
      <w:proofErr w:type="gramEnd"/>
      <w:r w:rsidR="000F0A0B" w:rsidRPr="00AC59E9">
        <w:rPr>
          <w:rFonts w:ascii="Times New Roman" w:eastAsia="Times New Roman" w:hAnsi="Times New Roman"/>
          <w:color w:val="000000"/>
          <w:lang w:val="en-CA" w:eastAsia="en-CA"/>
        </w:rPr>
        <w:t xml:space="preserve"> </w:t>
      </w:r>
      <w:r w:rsidR="000E08E0">
        <w:rPr>
          <w:rFonts w:ascii="Times New Roman" w:eastAsia="Times New Roman" w:hAnsi="Times New Roman"/>
          <w:color w:val="000000"/>
          <w:lang w:val="en-CA" w:eastAsia="en-CA"/>
        </w:rPr>
        <w:t xml:space="preserve">September 30, </w:t>
      </w:r>
      <w:proofErr w:type="gramStart"/>
      <w:r w:rsidR="000E08E0">
        <w:rPr>
          <w:rFonts w:ascii="Times New Roman" w:eastAsia="Times New Roman" w:hAnsi="Times New Roman"/>
          <w:color w:val="000000"/>
          <w:lang w:val="en-CA" w:eastAsia="en-CA"/>
        </w:rPr>
        <w:t>2025</w:t>
      </w:r>
      <w:proofErr w:type="gramEnd"/>
      <w:r w:rsidR="007F35D2">
        <w:rPr>
          <w:rFonts w:ascii="Times New Roman" w:eastAsia="Times New Roman" w:hAnsi="Times New Roman"/>
          <w:color w:val="000000"/>
          <w:lang w:val="en-CA" w:eastAsia="en-CA"/>
        </w:rPr>
        <w:t xml:space="preserve"> and </w:t>
      </w:r>
      <w:r w:rsidR="003F5BF5">
        <w:rPr>
          <w:rFonts w:ascii="Times New Roman" w:eastAsia="Times New Roman" w:hAnsi="Times New Roman"/>
          <w:color w:val="000000"/>
          <w:lang w:val="en-CA" w:eastAsia="en-CA"/>
        </w:rPr>
        <w:t>November 13</w:t>
      </w:r>
      <w:r w:rsidR="00C70AD3">
        <w:rPr>
          <w:rFonts w:ascii="Times New Roman" w:eastAsia="Times New Roman" w:hAnsi="Times New Roman"/>
          <w:color w:val="000000"/>
          <w:lang w:val="en-CA" w:eastAsia="en-CA"/>
        </w:rPr>
        <w:t xml:space="preserve">, </w:t>
      </w:r>
      <w:proofErr w:type="gramStart"/>
      <w:r w:rsidR="00C70AD3">
        <w:rPr>
          <w:rFonts w:ascii="Times New Roman" w:eastAsia="Times New Roman" w:hAnsi="Times New Roman"/>
          <w:color w:val="000000"/>
          <w:lang w:val="en-CA" w:eastAsia="en-CA"/>
        </w:rPr>
        <w:t>2025</w:t>
      </w:r>
      <w:proofErr w:type="gramEnd"/>
      <w:r w:rsidR="00A4510A">
        <w:rPr>
          <w:rFonts w:ascii="Times New Roman" w:eastAsia="Times New Roman" w:hAnsi="Times New Roman"/>
          <w:color w:val="000000"/>
          <w:lang w:val="en-CA" w:eastAsia="en-CA"/>
        </w:rPr>
        <w:t xml:space="preserve"> </w:t>
      </w:r>
      <w:r w:rsidR="006B1A94">
        <w:rPr>
          <w:rFonts w:ascii="Times New Roman" w:eastAsia="Times New Roman" w:hAnsi="Times New Roman"/>
          <w:color w:val="000000"/>
          <w:lang w:val="en-CA" w:eastAsia="en-CA"/>
        </w:rPr>
        <w:t xml:space="preserve">was </w:t>
      </w:r>
      <w:r w:rsidR="003F5BF5">
        <w:rPr>
          <w:rFonts w:ascii="Times New Roman" w:eastAsia="Times New Roman" w:hAnsi="Times New Roman"/>
          <w:color w:val="000000"/>
          <w:lang w:val="en-CA" w:eastAsia="en-CA"/>
        </w:rPr>
        <w:t>27,822,805</w:t>
      </w:r>
      <w:r w:rsidR="00AC4D4A">
        <w:rPr>
          <w:rFonts w:ascii="Times New Roman" w:eastAsia="Times New Roman" w:hAnsi="Times New Roman"/>
          <w:color w:val="000000"/>
          <w:lang w:val="en-CA" w:eastAsia="en-CA"/>
        </w:rPr>
        <w:t xml:space="preserve"> and </w:t>
      </w:r>
      <w:r w:rsidR="008046B3">
        <w:rPr>
          <w:rFonts w:ascii="Times New Roman" w:eastAsia="Times New Roman" w:hAnsi="Times New Roman"/>
          <w:color w:val="000000"/>
          <w:lang w:val="en-CA" w:eastAsia="en-CA"/>
        </w:rPr>
        <w:t>37,385,938</w:t>
      </w:r>
      <w:r w:rsidR="00AC4D4A">
        <w:rPr>
          <w:rFonts w:ascii="Times New Roman" w:eastAsia="Times New Roman" w:hAnsi="Times New Roman"/>
          <w:color w:val="000000"/>
          <w:lang w:val="en-CA" w:eastAsia="en-CA"/>
        </w:rPr>
        <w:t xml:space="preserve"> </w:t>
      </w:r>
      <w:r w:rsidR="009B3BF1" w:rsidRPr="00AC59E9">
        <w:rPr>
          <w:rFonts w:ascii="Times New Roman" w:eastAsia="Times New Roman" w:hAnsi="Times New Roman"/>
          <w:color w:val="000000"/>
          <w:lang w:val="en-CA" w:eastAsia="en-CA"/>
        </w:rPr>
        <w:t>priced</w:t>
      </w:r>
      <w:r w:rsidR="00EA6D4F">
        <w:rPr>
          <w:rFonts w:ascii="Times New Roman" w:eastAsia="Times New Roman" w:hAnsi="Times New Roman"/>
          <w:color w:val="000000"/>
          <w:lang w:val="en-CA" w:eastAsia="en-CA"/>
        </w:rPr>
        <w:t xml:space="preserve"> between CA$1.52</w:t>
      </w:r>
      <w:r w:rsidR="009B3BF1" w:rsidRPr="00AC59E9">
        <w:rPr>
          <w:rFonts w:ascii="Times New Roman" w:eastAsia="Times New Roman" w:hAnsi="Times New Roman"/>
          <w:color w:val="000000"/>
          <w:lang w:val="en-CA" w:eastAsia="en-CA"/>
        </w:rPr>
        <w:t xml:space="preserve"> </w:t>
      </w:r>
      <w:r w:rsidR="006B1A94">
        <w:rPr>
          <w:rFonts w:ascii="Times New Roman" w:eastAsia="Times New Roman" w:hAnsi="Times New Roman"/>
          <w:color w:val="000000"/>
          <w:lang w:val="en-CA" w:eastAsia="en-CA"/>
        </w:rPr>
        <w:t>a</w:t>
      </w:r>
      <w:r w:rsidR="00EA6D4F">
        <w:rPr>
          <w:rFonts w:ascii="Times New Roman" w:eastAsia="Times New Roman" w:hAnsi="Times New Roman"/>
          <w:color w:val="000000"/>
          <w:lang w:val="en-CA" w:eastAsia="en-CA"/>
        </w:rPr>
        <w:t>nd</w:t>
      </w:r>
      <w:r w:rsidR="006B1A94">
        <w:rPr>
          <w:rFonts w:ascii="Times New Roman" w:eastAsia="Times New Roman" w:hAnsi="Times New Roman"/>
          <w:color w:val="000000"/>
          <w:lang w:val="en-CA" w:eastAsia="en-CA"/>
        </w:rPr>
        <w:t xml:space="preserve"> </w:t>
      </w:r>
      <w:r w:rsidR="009B3BF1" w:rsidRPr="00AC59E9">
        <w:rPr>
          <w:rFonts w:ascii="Times New Roman" w:eastAsia="Times New Roman" w:hAnsi="Times New Roman"/>
          <w:color w:val="000000"/>
          <w:lang w:val="en-CA" w:eastAsia="en-CA"/>
        </w:rPr>
        <w:t>CA$</w:t>
      </w:r>
      <w:r w:rsidR="008046B3">
        <w:rPr>
          <w:rFonts w:ascii="Times New Roman" w:eastAsia="Times New Roman" w:hAnsi="Times New Roman"/>
          <w:color w:val="000000"/>
          <w:lang w:val="en-CA" w:eastAsia="en-CA"/>
        </w:rPr>
        <w:t>9.78</w:t>
      </w:r>
      <w:r w:rsidRPr="00AC59E9">
        <w:rPr>
          <w:rFonts w:ascii="Times New Roman" w:eastAsia="Times New Roman" w:hAnsi="Times New Roman"/>
          <w:color w:val="000000"/>
          <w:lang w:val="en-CA" w:eastAsia="en-CA"/>
        </w:rPr>
        <w:t>.</w:t>
      </w:r>
    </w:p>
    <w:p w14:paraId="08FDC41C" w14:textId="654EAB06" w:rsidR="000F0A0B" w:rsidRDefault="00CC5B1C" w:rsidP="00233B8E">
      <w:pPr>
        <w:widowControl/>
        <w:spacing w:after="120"/>
        <w:jc w:val="both"/>
        <w:rPr>
          <w:rFonts w:ascii="Times New Roman" w:eastAsia="Times New Roman" w:hAnsi="Times New Roman"/>
          <w:color w:val="000000"/>
          <w:lang w:val="en-CA" w:eastAsia="en-CA"/>
        </w:rPr>
      </w:pPr>
      <w:r>
        <w:rPr>
          <w:rFonts w:ascii="Times New Roman" w:eastAsia="Times New Roman" w:hAnsi="Times New Roman"/>
          <w:color w:val="000000"/>
          <w:lang w:val="en-CA" w:eastAsia="en-CA"/>
        </w:rPr>
        <w:t>S</w:t>
      </w:r>
      <w:r w:rsidR="004928E7" w:rsidRPr="00AC59E9">
        <w:rPr>
          <w:rFonts w:ascii="Times New Roman" w:eastAsia="Times New Roman" w:hAnsi="Times New Roman"/>
          <w:color w:val="000000"/>
          <w:lang w:val="en-CA" w:eastAsia="en-CA"/>
        </w:rPr>
        <w:t xml:space="preserve">tock options outstanding as </w:t>
      </w:r>
      <w:proofErr w:type="gramStart"/>
      <w:r w:rsidR="004928E7" w:rsidRPr="00AC59E9">
        <w:rPr>
          <w:rFonts w:ascii="Times New Roman" w:eastAsia="Times New Roman" w:hAnsi="Times New Roman"/>
          <w:color w:val="000000"/>
          <w:lang w:val="en-CA" w:eastAsia="en-CA"/>
        </w:rPr>
        <w:t>at</w:t>
      </w:r>
      <w:proofErr w:type="gramEnd"/>
      <w:r w:rsidR="00764910" w:rsidRPr="00AC59E9">
        <w:rPr>
          <w:rFonts w:ascii="Times New Roman" w:eastAsia="Times New Roman" w:hAnsi="Times New Roman"/>
          <w:color w:val="000000"/>
          <w:lang w:val="en-CA" w:eastAsia="en-CA"/>
        </w:rPr>
        <w:t xml:space="preserve"> </w:t>
      </w:r>
      <w:r w:rsidR="000E08E0">
        <w:rPr>
          <w:rFonts w:ascii="Times New Roman" w:eastAsia="Times New Roman" w:hAnsi="Times New Roman"/>
          <w:color w:val="000000"/>
          <w:lang w:val="en-CA" w:eastAsia="en-CA"/>
        </w:rPr>
        <w:t xml:space="preserve">September 30, </w:t>
      </w:r>
      <w:proofErr w:type="gramStart"/>
      <w:r w:rsidR="000E08E0">
        <w:rPr>
          <w:rFonts w:ascii="Times New Roman" w:eastAsia="Times New Roman" w:hAnsi="Times New Roman"/>
          <w:color w:val="000000"/>
          <w:lang w:val="en-CA" w:eastAsia="en-CA"/>
        </w:rPr>
        <w:t>2025</w:t>
      </w:r>
      <w:proofErr w:type="gramEnd"/>
      <w:r>
        <w:rPr>
          <w:rFonts w:ascii="Times New Roman" w:eastAsia="Times New Roman" w:hAnsi="Times New Roman"/>
          <w:color w:val="000000"/>
          <w:lang w:val="en-CA" w:eastAsia="en-CA"/>
        </w:rPr>
        <w:t xml:space="preserve"> and </w:t>
      </w:r>
      <w:r w:rsidR="008046B3">
        <w:rPr>
          <w:rFonts w:ascii="Times New Roman" w:eastAsia="Times New Roman" w:hAnsi="Times New Roman"/>
          <w:color w:val="000000"/>
          <w:lang w:val="en-CA" w:eastAsia="en-CA"/>
        </w:rPr>
        <w:t>November 13</w:t>
      </w:r>
      <w:r w:rsidR="00C70AD3">
        <w:rPr>
          <w:rFonts w:ascii="Times New Roman" w:eastAsia="Times New Roman" w:hAnsi="Times New Roman"/>
          <w:color w:val="000000"/>
          <w:lang w:val="en-CA" w:eastAsia="en-CA"/>
        </w:rPr>
        <w:t xml:space="preserve">, </w:t>
      </w:r>
      <w:proofErr w:type="gramStart"/>
      <w:r w:rsidR="00C70AD3">
        <w:rPr>
          <w:rFonts w:ascii="Times New Roman" w:eastAsia="Times New Roman" w:hAnsi="Times New Roman"/>
          <w:color w:val="000000"/>
          <w:lang w:val="en-CA" w:eastAsia="en-CA"/>
        </w:rPr>
        <w:t>2025</w:t>
      </w:r>
      <w:proofErr w:type="gramEnd"/>
      <w:r w:rsidR="007938F5" w:rsidRPr="00AC59E9">
        <w:rPr>
          <w:rFonts w:ascii="Times New Roman" w:eastAsia="Times New Roman" w:hAnsi="Times New Roman"/>
          <w:color w:val="000000"/>
          <w:lang w:val="en-CA" w:eastAsia="en-CA"/>
        </w:rPr>
        <w:t xml:space="preserve"> </w:t>
      </w:r>
      <w:r w:rsidR="006B1A94">
        <w:rPr>
          <w:rFonts w:ascii="Times New Roman" w:eastAsia="Times New Roman" w:hAnsi="Times New Roman"/>
          <w:color w:val="000000"/>
          <w:lang w:val="en-CA" w:eastAsia="en-CA"/>
        </w:rPr>
        <w:t>was</w:t>
      </w:r>
      <w:r w:rsidR="004928E7" w:rsidRPr="00AC59E9">
        <w:rPr>
          <w:rFonts w:ascii="Times New Roman" w:eastAsia="Times New Roman" w:hAnsi="Times New Roman"/>
          <w:color w:val="000000"/>
          <w:lang w:val="en-CA" w:eastAsia="en-CA"/>
        </w:rPr>
        <w:t xml:space="preserve"> </w:t>
      </w:r>
      <w:r w:rsidR="008046B3">
        <w:rPr>
          <w:rFonts w:ascii="Times New Roman" w:eastAsia="Times New Roman" w:hAnsi="Times New Roman"/>
          <w:color w:val="000000"/>
          <w:lang w:val="en-CA" w:eastAsia="en-CA"/>
        </w:rPr>
        <w:t>8,556,349</w:t>
      </w:r>
      <w:r w:rsidR="00EC7BA2">
        <w:rPr>
          <w:rFonts w:ascii="Times New Roman" w:eastAsia="Times New Roman" w:hAnsi="Times New Roman"/>
          <w:color w:val="000000"/>
          <w:lang w:val="en-CA" w:eastAsia="en-CA"/>
        </w:rPr>
        <w:t xml:space="preserve"> </w:t>
      </w:r>
      <w:r w:rsidR="0003617F">
        <w:rPr>
          <w:rFonts w:ascii="Times New Roman" w:eastAsia="Times New Roman" w:hAnsi="Times New Roman"/>
          <w:color w:val="000000"/>
          <w:lang w:val="en-CA" w:eastAsia="en-CA"/>
        </w:rPr>
        <w:t xml:space="preserve">and </w:t>
      </w:r>
      <w:r w:rsidR="008046B3">
        <w:rPr>
          <w:rFonts w:ascii="Times New Roman" w:eastAsia="Times New Roman" w:hAnsi="Times New Roman"/>
          <w:color w:val="000000"/>
          <w:lang w:val="en-CA" w:eastAsia="en-CA"/>
        </w:rPr>
        <w:t>6,050,935</w:t>
      </w:r>
      <w:r w:rsidR="00A933A6">
        <w:rPr>
          <w:rFonts w:ascii="Times New Roman" w:eastAsia="Times New Roman" w:hAnsi="Times New Roman"/>
          <w:color w:val="000000"/>
          <w:lang w:val="en-CA" w:eastAsia="en-CA"/>
        </w:rPr>
        <w:t xml:space="preserve"> </w:t>
      </w:r>
      <w:r w:rsidR="006B1A94">
        <w:rPr>
          <w:rFonts w:ascii="Times New Roman" w:eastAsia="Times New Roman" w:hAnsi="Times New Roman"/>
          <w:color w:val="000000"/>
          <w:lang w:val="en-CA" w:eastAsia="en-CA"/>
        </w:rPr>
        <w:t>priced between</w:t>
      </w:r>
      <w:r w:rsidR="004928E7" w:rsidRPr="00AC59E9">
        <w:rPr>
          <w:rFonts w:ascii="Times New Roman" w:eastAsia="Times New Roman" w:hAnsi="Times New Roman"/>
          <w:color w:val="000000"/>
          <w:lang w:val="en-CA" w:eastAsia="en-CA"/>
        </w:rPr>
        <w:t xml:space="preserve"> $</w:t>
      </w:r>
      <w:r w:rsidR="00AC4D4A">
        <w:rPr>
          <w:rFonts w:ascii="Times New Roman" w:eastAsia="Times New Roman" w:hAnsi="Times New Roman"/>
          <w:color w:val="000000"/>
          <w:lang w:val="en-CA" w:eastAsia="en-CA"/>
        </w:rPr>
        <w:t>1.</w:t>
      </w:r>
      <w:r w:rsidR="008046B3">
        <w:rPr>
          <w:rFonts w:ascii="Times New Roman" w:eastAsia="Times New Roman" w:hAnsi="Times New Roman"/>
          <w:color w:val="000000"/>
          <w:lang w:val="en-CA" w:eastAsia="en-CA"/>
        </w:rPr>
        <w:t>27</w:t>
      </w:r>
      <w:r w:rsidR="004928E7" w:rsidRPr="00AC59E9">
        <w:rPr>
          <w:rFonts w:ascii="Times New Roman" w:eastAsia="Times New Roman" w:hAnsi="Times New Roman"/>
          <w:color w:val="000000"/>
          <w:lang w:val="en-CA" w:eastAsia="en-CA"/>
        </w:rPr>
        <w:t xml:space="preserve"> and $</w:t>
      </w:r>
      <w:r w:rsidR="008046B3">
        <w:rPr>
          <w:rFonts w:ascii="Times New Roman" w:eastAsia="Times New Roman" w:hAnsi="Times New Roman"/>
          <w:color w:val="000000"/>
          <w:lang w:val="en-CA" w:eastAsia="en-CA"/>
        </w:rPr>
        <w:t>5.20</w:t>
      </w:r>
      <w:r w:rsidR="004928E7" w:rsidRPr="00AC59E9">
        <w:rPr>
          <w:rFonts w:ascii="Times New Roman" w:eastAsia="Times New Roman" w:hAnsi="Times New Roman"/>
          <w:color w:val="000000"/>
          <w:lang w:val="en-CA" w:eastAsia="en-CA"/>
        </w:rPr>
        <w:t xml:space="preserve"> per common share.</w:t>
      </w:r>
    </w:p>
    <w:p w14:paraId="3314516A" w14:textId="77925C81" w:rsidR="005C1D47" w:rsidRPr="00145985" w:rsidRDefault="005C1D47" w:rsidP="00233B8E">
      <w:pPr>
        <w:widowControl/>
        <w:spacing w:after="120"/>
        <w:jc w:val="both"/>
        <w:rPr>
          <w:rFonts w:ascii="Times New Roman" w:eastAsia="Times New Roman" w:hAnsi="Times New Roman"/>
          <w:color w:val="000000"/>
          <w:lang w:val="en-CA" w:eastAsia="en-CA"/>
        </w:rPr>
      </w:pPr>
      <w:r>
        <w:rPr>
          <w:rFonts w:ascii="Times New Roman" w:eastAsia="Times New Roman" w:hAnsi="Times New Roman"/>
          <w:color w:val="000000"/>
          <w:lang w:val="en-CA" w:eastAsia="en-CA"/>
        </w:rPr>
        <w:t xml:space="preserve">Restricted stock units outstanding as </w:t>
      </w:r>
      <w:proofErr w:type="gramStart"/>
      <w:r>
        <w:rPr>
          <w:rFonts w:ascii="Times New Roman" w:eastAsia="Times New Roman" w:hAnsi="Times New Roman"/>
          <w:color w:val="000000"/>
          <w:lang w:val="en-CA" w:eastAsia="en-CA"/>
        </w:rPr>
        <w:t>at</w:t>
      </w:r>
      <w:proofErr w:type="gramEnd"/>
      <w:r>
        <w:rPr>
          <w:rFonts w:ascii="Times New Roman" w:eastAsia="Times New Roman" w:hAnsi="Times New Roman"/>
          <w:color w:val="000000"/>
          <w:lang w:val="en-CA" w:eastAsia="en-CA"/>
        </w:rPr>
        <w:t xml:space="preserve"> </w:t>
      </w:r>
      <w:r w:rsidR="000E08E0">
        <w:rPr>
          <w:rFonts w:ascii="Times New Roman" w:eastAsia="Times New Roman" w:hAnsi="Times New Roman"/>
          <w:color w:val="000000"/>
          <w:lang w:val="en-CA" w:eastAsia="en-CA"/>
        </w:rPr>
        <w:t xml:space="preserve">September 30, </w:t>
      </w:r>
      <w:proofErr w:type="gramStart"/>
      <w:r w:rsidR="000E08E0">
        <w:rPr>
          <w:rFonts w:ascii="Times New Roman" w:eastAsia="Times New Roman" w:hAnsi="Times New Roman"/>
          <w:color w:val="000000"/>
          <w:lang w:val="en-CA" w:eastAsia="en-CA"/>
        </w:rPr>
        <w:t>2025</w:t>
      </w:r>
      <w:proofErr w:type="gramEnd"/>
      <w:r>
        <w:rPr>
          <w:rFonts w:ascii="Times New Roman" w:eastAsia="Times New Roman" w:hAnsi="Times New Roman"/>
          <w:color w:val="000000"/>
          <w:lang w:val="en-CA" w:eastAsia="en-CA"/>
        </w:rPr>
        <w:t xml:space="preserve"> and </w:t>
      </w:r>
      <w:r w:rsidR="008046B3">
        <w:rPr>
          <w:rFonts w:ascii="Times New Roman" w:eastAsia="Times New Roman" w:hAnsi="Times New Roman"/>
          <w:color w:val="000000"/>
          <w:lang w:val="en-CA" w:eastAsia="en-CA"/>
        </w:rPr>
        <w:t>November 13</w:t>
      </w:r>
      <w:r>
        <w:rPr>
          <w:rFonts w:ascii="Times New Roman" w:eastAsia="Times New Roman" w:hAnsi="Times New Roman"/>
          <w:color w:val="000000"/>
          <w:lang w:val="en-CA" w:eastAsia="en-CA"/>
        </w:rPr>
        <w:t xml:space="preserve">, </w:t>
      </w:r>
      <w:proofErr w:type="gramStart"/>
      <w:r>
        <w:rPr>
          <w:rFonts w:ascii="Times New Roman" w:eastAsia="Times New Roman" w:hAnsi="Times New Roman"/>
          <w:color w:val="000000"/>
          <w:lang w:val="en-CA" w:eastAsia="en-CA"/>
        </w:rPr>
        <w:t>2025</w:t>
      </w:r>
      <w:proofErr w:type="gramEnd"/>
      <w:r>
        <w:rPr>
          <w:rFonts w:ascii="Times New Roman" w:eastAsia="Times New Roman" w:hAnsi="Times New Roman"/>
          <w:color w:val="000000"/>
          <w:lang w:val="en-CA" w:eastAsia="en-CA"/>
        </w:rPr>
        <w:t xml:space="preserve"> was </w:t>
      </w:r>
      <w:r w:rsidR="008046B3">
        <w:rPr>
          <w:rFonts w:ascii="Times New Roman" w:eastAsia="Times New Roman" w:hAnsi="Times New Roman"/>
          <w:color w:val="000000"/>
          <w:lang w:val="en-CA" w:eastAsia="en-CA"/>
        </w:rPr>
        <w:t>3,098,549</w:t>
      </w:r>
      <w:r w:rsidR="00BF0386">
        <w:rPr>
          <w:rFonts w:ascii="Times New Roman" w:eastAsia="Times New Roman" w:hAnsi="Times New Roman"/>
          <w:color w:val="000000"/>
          <w:lang w:val="en-CA" w:eastAsia="en-CA"/>
        </w:rPr>
        <w:t xml:space="preserve"> with $3,005,009 priced at $5.42 and the remainder priced between</w:t>
      </w:r>
      <w:r>
        <w:rPr>
          <w:rFonts w:ascii="Times New Roman" w:eastAsia="Times New Roman" w:hAnsi="Times New Roman"/>
          <w:color w:val="000000"/>
          <w:lang w:val="en-CA" w:eastAsia="en-CA"/>
        </w:rPr>
        <w:t xml:space="preserve"> </w:t>
      </w:r>
      <w:r w:rsidR="00BF0386">
        <w:rPr>
          <w:rFonts w:ascii="Times New Roman" w:eastAsia="Times New Roman" w:hAnsi="Times New Roman"/>
          <w:color w:val="000000"/>
          <w:lang w:val="en-CA" w:eastAsia="en-CA"/>
        </w:rPr>
        <w:t>C$7.23 and C$7.70</w:t>
      </w:r>
      <w:r>
        <w:rPr>
          <w:rFonts w:ascii="Times New Roman" w:eastAsia="Times New Roman" w:hAnsi="Times New Roman"/>
          <w:color w:val="000000"/>
          <w:lang w:val="en-CA" w:eastAsia="en-CA"/>
        </w:rPr>
        <w:t>.</w:t>
      </w:r>
    </w:p>
    <w:p w14:paraId="0A592929" w14:textId="77777777" w:rsidR="000F0A0B" w:rsidRPr="00145985" w:rsidRDefault="004928E7" w:rsidP="00233B8E">
      <w:pPr>
        <w:widowControl/>
        <w:tabs>
          <w:tab w:val="left" w:pos="360"/>
        </w:tabs>
        <w:spacing w:after="0"/>
        <w:jc w:val="both"/>
        <w:rPr>
          <w:rFonts w:ascii="Times New Roman" w:eastAsia="Times New Roman" w:hAnsi="Times New Roman"/>
          <w:color w:val="000000"/>
          <w:lang w:val="en-CA" w:eastAsia="en-CA"/>
        </w:rPr>
      </w:pPr>
      <w:r w:rsidRPr="00145985">
        <w:rPr>
          <w:rFonts w:ascii="Times New Roman" w:eastAsia="Times New Roman" w:hAnsi="Times New Roman"/>
          <w:color w:val="000000"/>
          <w:lang w:val="en-CA" w:eastAsia="en-CA"/>
        </w:rPr>
        <w:t xml:space="preserve">Additional detailed share data information is available </w:t>
      </w:r>
      <w:r w:rsidR="00031ECF" w:rsidRPr="00145985">
        <w:rPr>
          <w:rFonts w:ascii="Times New Roman" w:eastAsia="Times New Roman" w:hAnsi="Times New Roman"/>
          <w:color w:val="000000"/>
          <w:lang w:val="en-CA" w:eastAsia="en-CA"/>
        </w:rPr>
        <w:t xml:space="preserve">in </w:t>
      </w:r>
      <w:r w:rsidRPr="00145985">
        <w:rPr>
          <w:rFonts w:ascii="Times New Roman" w:eastAsia="Times New Roman" w:hAnsi="Times New Roman"/>
          <w:color w:val="000000"/>
          <w:lang w:val="en-CA" w:eastAsia="en-CA"/>
        </w:rPr>
        <w:t>the Company’s Notes to Consolidated Financial Statement.</w:t>
      </w:r>
    </w:p>
    <w:bookmarkEnd w:id="15"/>
    <w:p w14:paraId="198CCC35" w14:textId="77777777" w:rsidR="000F0A0B" w:rsidRPr="00733BA2" w:rsidRDefault="000F0A0B" w:rsidP="00233B8E">
      <w:pPr>
        <w:widowControl/>
        <w:tabs>
          <w:tab w:val="left" w:pos="360"/>
        </w:tabs>
        <w:spacing w:after="0"/>
        <w:jc w:val="both"/>
        <w:rPr>
          <w:rFonts w:ascii="Times New Roman" w:eastAsia="Times New Roman" w:hAnsi="Times New Roman"/>
        </w:rPr>
      </w:pPr>
    </w:p>
    <w:p w14:paraId="4982DD94" w14:textId="77777777" w:rsidR="000F0A0B" w:rsidRPr="00233B8E" w:rsidRDefault="004928E7" w:rsidP="00233B8E">
      <w:pPr>
        <w:keepNext/>
        <w:widowControl/>
        <w:spacing w:after="50"/>
        <w:jc w:val="both"/>
        <w:outlineLvl w:val="0"/>
        <w:rPr>
          <w:rFonts w:ascii="Times New Roman" w:eastAsia="Times New Roman" w:hAnsi="Times New Roman"/>
          <w:b/>
          <w:i/>
        </w:rPr>
      </w:pPr>
      <w:r w:rsidRPr="00233B8E">
        <w:rPr>
          <w:rFonts w:ascii="Times New Roman" w:eastAsia="Times New Roman" w:hAnsi="Times New Roman"/>
          <w:b/>
          <w:i/>
        </w:rPr>
        <w:t>Off-Balance Sheet Arrangements</w:t>
      </w:r>
    </w:p>
    <w:p w14:paraId="3C7B45D1" w14:textId="77777777" w:rsidR="000F0A0B" w:rsidRDefault="004928E7" w:rsidP="00233B8E">
      <w:pPr>
        <w:widowControl/>
        <w:tabs>
          <w:tab w:val="left" w:pos="360"/>
        </w:tabs>
        <w:jc w:val="both"/>
        <w:rPr>
          <w:rFonts w:ascii="Times New Roman" w:eastAsia="Times New Roman" w:hAnsi="Times New Roman"/>
        </w:rPr>
      </w:pPr>
      <w:r w:rsidRPr="00733BA2">
        <w:rPr>
          <w:rFonts w:ascii="Times New Roman" w:eastAsia="Times New Roman" w:hAnsi="Times New Roman"/>
        </w:rPr>
        <w:t xml:space="preserve">The Company has not </w:t>
      </w:r>
      <w:proofErr w:type="gramStart"/>
      <w:r w:rsidRPr="00733BA2">
        <w:rPr>
          <w:rFonts w:ascii="Times New Roman" w:eastAsia="Times New Roman" w:hAnsi="Times New Roman"/>
        </w:rPr>
        <w:t>entered into</w:t>
      </w:r>
      <w:proofErr w:type="gramEnd"/>
      <w:r w:rsidRPr="00733BA2">
        <w:rPr>
          <w:rFonts w:ascii="Times New Roman" w:eastAsia="Times New Roman" w:hAnsi="Times New Roman"/>
        </w:rPr>
        <w:t xml:space="preserve"> any off-balance sheet arrangements.</w:t>
      </w:r>
    </w:p>
    <w:p w14:paraId="7A6BC533" w14:textId="77777777" w:rsidR="00702DD7" w:rsidRPr="008821B3" w:rsidRDefault="004928E7" w:rsidP="00925BF9">
      <w:pPr>
        <w:keepNext/>
        <w:widowControl/>
        <w:spacing w:after="50"/>
        <w:jc w:val="both"/>
        <w:outlineLvl w:val="0"/>
        <w:rPr>
          <w:rFonts w:ascii="Times New Roman" w:eastAsia="Times New Roman" w:hAnsi="Times New Roman"/>
          <w:b/>
          <w:i/>
        </w:rPr>
      </w:pPr>
      <w:r w:rsidRPr="008821B3">
        <w:rPr>
          <w:rFonts w:ascii="Times New Roman" w:eastAsia="Times New Roman" w:hAnsi="Times New Roman"/>
          <w:b/>
          <w:i/>
        </w:rPr>
        <w:t>Controls and Procedures</w:t>
      </w:r>
    </w:p>
    <w:p w14:paraId="137921F4" w14:textId="77777777" w:rsidR="00433492" w:rsidRPr="008821B3" w:rsidRDefault="004928E7" w:rsidP="00E169EB">
      <w:pPr>
        <w:pStyle w:val="ListParagraph"/>
        <w:widowControl/>
        <w:numPr>
          <w:ilvl w:val="0"/>
          <w:numId w:val="5"/>
        </w:numPr>
        <w:spacing w:after="180" w:line="240" w:lineRule="auto"/>
        <w:jc w:val="both"/>
        <w:rPr>
          <w:rFonts w:ascii="Times New Roman" w:eastAsia="Times New Roman" w:hAnsi="Times New Roman"/>
          <w:b/>
          <w:bCs/>
        </w:rPr>
      </w:pPr>
      <w:bookmarkStart w:id="16" w:name="_Hlk100753749"/>
      <w:r w:rsidRPr="008821B3">
        <w:rPr>
          <w:rFonts w:ascii="Times New Roman" w:eastAsia="Times New Roman" w:hAnsi="Times New Roman"/>
          <w:b/>
          <w:bCs/>
        </w:rPr>
        <w:t>Disclosure Controls and Procedures</w:t>
      </w:r>
    </w:p>
    <w:p w14:paraId="3482BC76" w14:textId="77777777" w:rsidR="00C56BC7" w:rsidRPr="008821B3" w:rsidRDefault="00C56BC7" w:rsidP="00C56BC7">
      <w:pPr>
        <w:pStyle w:val="NormalWeb"/>
        <w:spacing w:before="0" w:beforeAutospacing="0" w:after="0" w:afterAutospacing="0"/>
        <w:jc w:val="both"/>
        <w:rPr>
          <w:sz w:val="22"/>
          <w:szCs w:val="22"/>
        </w:rPr>
      </w:pPr>
      <w:bookmarkStart w:id="17" w:name="_Hlk193990253"/>
      <w:bookmarkStart w:id="18" w:name="_Hlk193828536"/>
      <w:r w:rsidRPr="008821B3">
        <w:rPr>
          <w:sz w:val="22"/>
          <w:szCs w:val="22"/>
        </w:rPr>
        <w:t xml:space="preserve">Disclosure controls and procedures are defined by Rules 13a-15(e) and 15d-15(e) under the Exchange Act as controls and other procedures that are designed to ensure that information required to be disclosed in the reports that we file or submit under the Exchange Act is recorded, processed, summarized and reported within the time periods specified by the SEC’s rules and forms. Disclosure controls and procedures include, without limitation, controls and procedures designed to ensure that information required to be disclosed in the reports that we file or submit under the Exchange Act is accumulated and communicated to our management, including our Chief Executive Officer and Chief Financial Officer, to allow timely decisions regarding required disclosures. </w:t>
      </w:r>
    </w:p>
    <w:p w14:paraId="7DE457D3" w14:textId="77777777" w:rsidR="00C56BC7" w:rsidRPr="008821B3" w:rsidRDefault="00C56BC7" w:rsidP="00C56BC7">
      <w:pPr>
        <w:pStyle w:val="NormalWeb"/>
        <w:spacing w:before="0" w:beforeAutospacing="0" w:after="0" w:afterAutospacing="0"/>
        <w:jc w:val="both"/>
        <w:rPr>
          <w:sz w:val="22"/>
          <w:szCs w:val="22"/>
        </w:rPr>
      </w:pPr>
    </w:p>
    <w:p w14:paraId="3C0A2912" w14:textId="77777777" w:rsidR="00C56BC7" w:rsidRPr="008821B3" w:rsidRDefault="00C56BC7" w:rsidP="00C56BC7">
      <w:pPr>
        <w:pStyle w:val="NormalWeb"/>
        <w:spacing w:before="0" w:beforeAutospacing="0" w:after="0" w:afterAutospacing="0"/>
        <w:jc w:val="both"/>
        <w:rPr>
          <w:sz w:val="22"/>
          <w:szCs w:val="22"/>
        </w:rPr>
      </w:pPr>
      <w:r w:rsidRPr="008821B3">
        <w:rPr>
          <w:sz w:val="22"/>
          <w:szCs w:val="22"/>
        </w:rPr>
        <w:t xml:space="preserve">Under the supervision and with the participation of our management, including our Chief Executive Officer and Chief Financial Officer, we carried out an evaluation of the effectiveness of our disclosure controls and procedures. Based on such evaluation, our Chief Executive Officer and Chief Financial Officer concluded that, as of December 31, 2024, our disclosure controls and procedures were not effective due to a material weakness in our internal control over financial reporting. A material weakness, as defined in the Sarbanes Oxley Act of 2002 (“SOX”), is a control deficiency, or combination of control deficiencies, in internal control over financial reporting such that there is a reasonable possibility that a material misstatement of the annual consolidated financial statements will not be prevented or detected on a timely basis. The material weakness resulted from insufficient resources being available to perform an effective review of certain controls related to the financial close process. While the matter has been addressed, there was insufficient time to test the effectiveness of changes to the controls related to the financial statement close process prior to year-end. The Chief Executive Officer and the Chief Financial Officer determined that a material weakness existed </w:t>
      </w:r>
      <w:proofErr w:type="gramStart"/>
      <w:r w:rsidRPr="008821B3">
        <w:rPr>
          <w:sz w:val="22"/>
          <w:szCs w:val="22"/>
        </w:rPr>
        <w:t>at</w:t>
      </w:r>
      <w:proofErr w:type="gramEnd"/>
      <w:r w:rsidRPr="008821B3">
        <w:rPr>
          <w:sz w:val="22"/>
          <w:szCs w:val="22"/>
        </w:rPr>
        <w:t xml:space="preserve"> December 31, 2024 </w:t>
      </w:r>
    </w:p>
    <w:p w14:paraId="6CD67546" w14:textId="77777777" w:rsidR="00C56BC7" w:rsidRPr="008821B3" w:rsidRDefault="00C56BC7" w:rsidP="00C56BC7">
      <w:pPr>
        <w:pStyle w:val="NormalWeb"/>
        <w:numPr>
          <w:ilvl w:val="0"/>
          <w:numId w:val="13"/>
        </w:numPr>
        <w:spacing w:after="0"/>
        <w:rPr>
          <w:sz w:val="22"/>
          <w:szCs w:val="22"/>
        </w:rPr>
      </w:pPr>
      <w:r w:rsidRPr="008821B3">
        <w:rPr>
          <w:b/>
          <w:bCs/>
          <w:sz w:val="22"/>
          <w:szCs w:val="22"/>
        </w:rPr>
        <w:t>Management’s Annual Report on Internal Control over Financial Reporting</w:t>
      </w:r>
    </w:p>
    <w:p w14:paraId="7A5DE12F" w14:textId="77777777" w:rsidR="00C56BC7" w:rsidRPr="008821B3" w:rsidRDefault="00C56BC7" w:rsidP="00C56BC7">
      <w:pPr>
        <w:pStyle w:val="NormalWeb"/>
        <w:spacing w:after="0"/>
        <w:jc w:val="both"/>
        <w:rPr>
          <w:sz w:val="22"/>
          <w:szCs w:val="22"/>
        </w:rPr>
      </w:pPr>
      <w:r w:rsidRPr="008821B3">
        <w:rPr>
          <w:sz w:val="22"/>
          <w:szCs w:val="22"/>
        </w:rPr>
        <w:t>Our management, under the oversight of our Board of Directors (</w:t>
      </w:r>
      <w:proofErr w:type="gramStart"/>
      <w:r w:rsidRPr="008821B3">
        <w:rPr>
          <w:sz w:val="22"/>
          <w:szCs w:val="22"/>
        </w:rPr>
        <w:t>in particular its</w:t>
      </w:r>
      <w:proofErr w:type="gramEnd"/>
      <w:r w:rsidRPr="008821B3">
        <w:rPr>
          <w:sz w:val="22"/>
          <w:szCs w:val="22"/>
        </w:rPr>
        <w:t xml:space="preserve"> audit committee), is responsible for establishing and maintaining adequate internal control over financial reporting (as such term is defined in Rules 13a-15(f) and 15d-15(f) of the Exchange Act and as set forth in Section 404 of SOX). The Company’s internal control over financial reporting is designed to provide reasonable assurance to management and the Board </w:t>
      </w:r>
      <w:r w:rsidRPr="008821B3">
        <w:rPr>
          <w:sz w:val="22"/>
          <w:szCs w:val="22"/>
        </w:rPr>
        <w:lastRenderedPageBreak/>
        <w:t xml:space="preserve">of Directors regarding the reliability of financial reporting and the preparation and fair presentation of its published consolidated financial statements. Under the SOX framework, our internal control over financial reporting is a process designed to provide reasonable assurance regarding the reliability of financial reporting and the preparation of consolidated financial statements for external purposes in accordance with International Financial Reporting Standards (“IFRS”) as issued by the International Accounting Standards Board. Our internal control over financial reporting includes those policies and procedures that (1) pertain to the maintenance of records that, in reasonable detail, accurately and fairly reflect the transactions and dispositions of our assets; (2) provide reasonable assurance that transactions are recorded as necessary to permit preparation of consolidated financial statements in accordance with IFRS, and that our receipts and expenditures are being made only in accordance with authorizations of our management and directors; and (3) provide reasonable assurance regarding prevention or timely detection of unauthorized acquisition, use or disposition of our assets that could have a material effect on our consolidated financial statements. </w:t>
      </w:r>
    </w:p>
    <w:p w14:paraId="7E94B17F" w14:textId="77777777" w:rsidR="00C56BC7" w:rsidRPr="008821B3" w:rsidRDefault="00C56BC7" w:rsidP="00C56BC7">
      <w:pPr>
        <w:pStyle w:val="NormalWeb"/>
        <w:spacing w:after="0"/>
        <w:jc w:val="both"/>
        <w:rPr>
          <w:sz w:val="22"/>
          <w:szCs w:val="22"/>
        </w:rPr>
      </w:pPr>
      <w:r w:rsidRPr="008821B3">
        <w:rPr>
          <w:sz w:val="22"/>
          <w:szCs w:val="22"/>
        </w:rPr>
        <w:t xml:space="preserve">All internal controls over financial reporting, no matter how well designed, have inherent limitations. Therefore, even those systems determined to be effective may not prevent or detect misstatements and can provide only reasonable assurance with respect to financial statement preparation and presentation. Also, projections of any evaluation of effectiveness to future periods are subject to the risk that controls may become inadequate because of changes in conditions, or that the degree of compliance with the policies or procedures may deteriorate. </w:t>
      </w:r>
    </w:p>
    <w:p w14:paraId="296A44DB" w14:textId="77777777" w:rsidR="00C56BC7" w:rsidRPr="008821B3" w:rsidRDefault="00C56BC7" w:rsidP="00C56BC7">
      <w:pPr>
        <w:pStyle w:val="NormalWeb"/>
        <w:spacing w:after="0"/>
        <w:jc w:val="both"/>
        <w:rPr>
          <w:sz w:val="22"/>
          <w:szCs w:val="22"/>
        </w:rPr>
      </w:pPr>
      <w:r w:rsidRPr="008821B3">
        <w:rPr>
          <w:sz w:val="22"/>
          <w:szCs w:val="22"/>
        </w:rPr>
        <w:t>Management assessed the effectiveness of the Company’s internal control over financial reporting as of December 31, 2024. In making this assessment, it used the criteria established in Internal Control—Integrated Framework (2013) issued by the Committee of Sponsoring Organizations of the Treadway Commission (COSO). Based on that assessment and those criteria, management concluded that as of December 31, 2024, we did not maintain effective internal controls over financial reporting because of the financial close process material weakness.</w:t>
      </w:r>
    </w:p>
    <w:p w14:paraId="6CE058CD" w14:textId="77777777" w:rsidR="00C56BC7" w:rsidRPr="008821B3" w:rsidRDefault="00C56BC7" w:rsidP="00C56BC7">
      <w:pPr>
        <w:pStyle w:val="NormalWeb"/>
        <w:spacing w:after="0"/>
        <w:jc w:val="both"/>
        <w:rPr>
          <w:sz w:val="22"/>
          <w:szCs w:val="22"/>
        </w:rPr>
      </w:pPr>
      <w:r w:rsidRPr="008821B3">
        <w:rPr>
          <w:sz w:val="22"/>
          <w:szCs w:val="22"/>
        </w:rPr>
        <w:t xml:space="preserve">The material weakness did not result in a material misstatement of our consolidated financial statements for the fiscal year ended December 31, </w:t>
      </w:r>
      <w:proofErr w:type="gramStart"/>
      <w:r w:rsidRPr="008821B3">
        <w:rPr>
          <w:sz w:val="22"/>
          <w:szCs w:val="22"/>
        </w:rPr>
        <w:t>2024</w:t>
      </w:r>
      <w:proofErr w:type="gramEnd"/>
      <w:r w:rsidRPr="008821B3">
        <w:rPr>
          <w:sz w:val="22"/>
          <w:szCs w:val="22"/>
        </w:rPr>
        <w:t xml:space="preserve"> or any prior annual or interim periods nor has it resulted in any material failure to safeguard our assets, including our cash and fixed assets. However, if the material weakness is not remediated, a material misstatement of account balances or disclosures may not be prevented, and may go undetected, which could result in a material misstatement of future annual or interim consolidated financial statements.</w:t>
      </w:r>
    </w:p>
    <w:p w14:paraId="75BBA91B" w14:textId="77777777" w:rsidR="00C56BC7" w:rsidRPr="008821B3" w:rsidRDefault="00C56BC7" w:rsidP="00C56BC7">
      <w:pPr>
        <w:pStyle w:val="NormalWeb"/>
        <w:spacing w:after="0"/>
        <w:jc w:val="both"/>
        <w:rPr>
          <w:sz w:val="22"/>
          <w:szCs w:val="22"/>
        </w:rPr>
      </w:pPr>
      <w:r w:rsidRPr="008821B3">
        <w:rPr>
          <w:sz w:val="22"/>
          <w:szCs w:val="22"/>
        </w:rPr>
        <w:t>We are committed to maintaining the integrity of our financial reporting processes and have already taken corrective actions to address the material weakness. Due to the exit of a senior member of the finance staff and the onboarding of another at the beginning of the year, there was insufficient time to ensure all the controls were operating effectively. With the onboarding and familiarization of the new senior staff, management is confident that the material weakness will be remediated.</w:t>
      </w:r>
    </w:p>
    <w:p w14:paraId="3B535BBB" w14:textId="77777777" w:rsidR="00C56BC7" w:rsidRPr="008821B3" w:rsidRDefault="00C56BC7" w:rsidP="00C56BC7">
      <w:pPr>
        <w:pStyle w:val="NormalWeb"/>
        <w:spacing w:after="0"/>
        <w:jc w:val="both"/>
        <w:rPr>
          <w:sz w:val="22"/>
          <w:szCs w:val="22"/>
        </w:rPr>
      </w:pPr>
      <w:r w:rsidRPr="008821B3">
        <w:rPr>
          <w:sz w:val="22"/>
          <w:szCs w:val="22"/>
        </w:rPr>
        <w:t xml:space="preserve">Although management has taken immediate remedial steps, the material weakness will not be considered remediated until the applicable remedial controls operate for a sufficient </w:t>
      </w:r>
      <w:proofErr w:type="gramStart"/>
      <w:r w:rsidRPr="008821B3">
        <w:rPr>
          <w:sz w:val="22"/>
          <w:szCs w:val="22"/>
        </w:rPr>
        <w:t>period of time</w:t>
      </w:r>
      <w:proofErr w:type="gramEnd"/>
      <w:r w:rsidRPr="008821B3">
        <w:rPr>
          <w:sz w:val="22"/>
          <w:szCs w:val="22"/>
        </w:rPr>
        <w:t xml:space="preserve"> and management has concluded, through testing, that these controls are operating effectively. Further, our independent registered accounting firm has not performed an audit of our internal control over financial reporting </w:t>
      </w:r>
      <w:proofErr w:type="gramStart"/>
      <w:r w:rsidRPr="008821B3">
        <w:rPr>
          <w:sz w:val="22"/>
          <w:szCs w:val="22"/>
        </w:rPr>
        <w:t>subsequent to</w:t>
      </w:r>
      <w:proofErr w:type="gramEnd"/>
      <w:r w:rsidRPr="008821B3">
        <w:rPr>
          <w:sz w:val="22"/>
          <w:szCs w:val="22"/>
        </w:rPr>
        <w:t xml:space="preserve"> December 31, </w:t>
      </w:r>
      <w:proofErr w:type="gramStart"/>
      <w:r w:rsidRPr="008821B3">
        <w:rPr>
          <w:sz w:val="22"/>
          <w:szCs w:val="22"/>
        </w:rPr>
        <w:t>2024</w:t>
      </w:r>
      <w:proofErr w:type="gramEnd"/>
      <w:r w:rsidRPr="008821B3">
        <w:rPr>
          <w:sz w:val="22"/>
          <w:szCs w:val="22"/>
        </w:rPr>
        <w:t xml:space="preserve"> and we cannot give assurances that the measures we have thus far taken to remediate the </w:t>
      </w:r>
      <w:proofErr w:type="gramStart"/>
      <w:r w:rsidRPr="008821B3">
        <w:rPr>
          <w:sz w:val="22"/>
          <w:szCs w:val="22"/>
        </w:rPr>
        <w:t>aforementioned deficiency</w:t>
      </w:r>
      <w:proofErr w:type="gramEnd"/>
      <w:r w:rsidRPr="008821B3">
        <w:rPr>
          <w:sz w:val="22"/>
          <w:szCs w:val="22"/>
        </w:rPr>
        <w:t xml:space="preserve"> were sufficient or that they will prevent future significant deficiencies. As management continues to evaluate and work to improve our internal control over financial reporting, we may determine it necessary to take additional measures or modify the remediation measures we have taken to date. </w:t>
      </w:r>
    </w:p>
    <w:p w14:paraId="07F2F692" w14:textId="77777777" w:rsidR="00C56BC7" w:rsidRPr="008821B3" w:rsidRDefault="00C56BC7" w:rsidP="00C56BC7">
      <w:pPr>
        <w:pStyle w:val="NormalWeb"/>
        <w:numPr>
          <w:ilvl w:val="0"/>
          <w:numId w:val="13"/>
        </w:numPr>
        <w:spacing w:after="0"/>
        <w:jc w:val="both"/>
        <w:rPr>
          <w:b/>
          <w:bCs/>
          <w:sz w:val="22"/>
          <w:szCs w:val="22"/>
        </w:rPr>
      </w:pPr>
      <w:r w:rsidRPr="008821B3">
        <w:rPr>
          <w:b/>
          <w:bCs/>
          <w:sz w:val="22"/>
          <w:szCs w:val="22"/>
        </w:rPr>
        <w:t>Attestation Report of Registered Public Accounting Firm</w:t>
      </w:r>
    </w:p>
    <w:p w14:paraId="0EE9E628" w14:textId="77777777" w:rsidR="00C56BC7" w:rsidRPr="008821B3" w:rsidRDefault="00C56BC7" w:rsidP="00C56BC7">
      <w:pPr>
        <w:pStyle w:val="NormalWeb"/>
        <w:spacing w:after="0"/>
        <w:jc w:val="both"/>
        <w:rPr>
          <w:sz w:val="22"/>
          <w:szCs w:val="22"/>
        </w:rPr>
      </w:pPr>
      <w:r w:rsidRPr="008821B3">
        <w:rPr>
          <w:sz w:val="22"/>
          <w:szCs w:val="22"/>
        </w:rPr>
        <w:lastRenderedPageBreak/>
        <w:t>Davidson &amp; Company LLP, the independent registered public accounting firm that audited the consolidated financial statements of the Company included in this Annual Report on Form 20-</w:t>
      </w:r>
      <w:proofErr w:type="gramStart"/>
      <w:r w:rsidRPr="008821B3">
        <w:rPr>
          <w:sz w:val="22"/>
          <w:szCs w:val="22"/>
        </w:rPr>
        <w:t>F, and</w:t>
      </w:r>
      <w:proofErr w:type="gramEnd"/>
      <w:r w:rsidRPr="008821B3">
        <w:rPr>
          <w:sz w:val="22"/>
          <w:szCs w:val="22"/>
        </w:rPr>
        <w:t xml:space="preserve"> has issued an attestation report on the effectiveness of the Company’s internal control over financial reporting as of December 31, 2024. </w:t>
      </w:r>
    </w:p>
    <w:p w14:paraId="3E2F38F7" w14:textId="77777777" w:rsidR="00C56BC7" w:rsidRPr="008821B3" w:rsidRDefault="00C56BC7" w:rsidP="00C56BC7">
      <w:pPr>
        <w:pStyle w:val="NormalWeb"/>
        <w:numPr>
          <w:ilvl w:val="0"/>
          <w:numId w:val="13"/>
        </w:numPr>
        <w:spacing w:after="0"/>
        <w:jc w:val="both"/>
        <w:rPr>
          <w:b/>
          <w:bCs/>
          <w:sz w:val="22"/>
          <w:szCs w:val="22"/>
        </w:rPr>
      </w:pPr>
      <w:r w:rsidRPr="008821B3">
        <w:rPr>
          <w:b/>
          <w:bCs/>
          <w:sz w:val="22"/>
          <w:szCs w:val="22"/>
        </w:rPr>
        <w:t>Changes in Internal Controls over Financial Reporting</w:t>
      </w:r>
    </w:p>
    <w:p w14:paraId="34A92A8E" w14:textId="77777777" w:rsidR="00C56BC7" w:rsidRPr="008821B3" w:rsidRDefault="00C56BC7" w:rsidP="00C56BC7">
      <w:pPr>
        <w:pStyle w:val="NormalWeb"/>
        <w:spacing w:before="0" w:beforeAutospacing="0" w:after="0" w:afterAutospacing="0"/>
        <w:jc w:val="both"/>
        <w:rPr>
          <w:sz w:val="22"/>
          <w:szCs w:val="22"/>
        </w:rPr>
      </w:pPr>
      <w:r w:rsidRPr="008821B3">
        <w:rPr>
          <w:sz w:val="22"/>
          <w:szCs w:val="22"/>
        </w:rPr>
        <w:t xml:space="preserve">We have undertaken the remediation efforts described.  Except for those efforts, there were no other changes in our internal control over financial reporting during year ended December 31, </w:t>
      </w:r>
      <w:proofErr w:type="gramStart"/>
      <w:r w:rsidRPr="008821B3">
        <w:rPr>
          <w:sz w:val="22"/>
          <w:szCs w:val="22"/>
        </w:rPr>
        <w:t>2024</w:t>
      </w:r>
      <w:proofErr w:type="gramEnd"/>
      <w:r w:rsidRPr="008821B3">
        <w:rPr>
          <w:sz w:val="22"/>
          <w:szCs w:val="22"/>
        </w:rPr>
        <w:t xml:space="preserve"> that have materially affected, or are reasonably likely to materially affect, our internal control over financial reporting </w:t>
      </w:r>
    </w:p>
    <w:bookmarkEnd w:id="16"/>
    <w:bookmarkEnd w:id="17"/>
    <w:bookmarkEnd w:id="18"/>
    <w:p w14:paraId="4955D8D0" w14:textId="77777777" w:rsidR="00C56BC7" w:rsidRDefault="00C56BC7" w:rsidP="00E8677C">
      <w:pPr>
        <w:widowControl/>
        <w:spacing w:after="240" w:line="240" w:lineRule="auto"/>
        <w:jc w:val="both"/>
        <w:outlineLvl w:val="0"/>
        <w:rPr>
          <w:rFonts w:ascii="Times New Roman" w:eastAsia="Times New Roman" w:hAnsi="Times New Roman"/>
          <w:b/>
          <w:i/>
          <w:sz w:val="24"/>
        </w:rPr>
      </w:pPr>
    </w:p>
    <w:p w14:paraId="0A1E40EE" w14:textId="143F1FB7" w:rsidR="00580F8F" w:rsidRPr="00B17679" w:rsidRDefault="004928E7" w:rsidP="00E8677C">
      <w:pPr>
        <w:widowControl/>
        <w:spacing w:after="240" w:line="240" w:lineRule="auto"/>
        <w:jc w:val="both"/>
        <w:outlineLvl w:val="0"/>
        <w:rPr>
          <w:rFonts w:ascii="Times New Roman" w:eastAsia="Times New Roman" w:hAnsi="Times New Roman"/>
          <w:b/>
          <w:i/>
          <w:sz w:val="24"/>
        </w:rPr>
      </w:pPr>
      <w:r w:rsidRPr="00B17679">
        <w:rPr>
          <w:rFonts w:ascii="Times New Roman" w:eastAsia="Times New Roman" w:hAnsi="Times New Roman"/>
          <w:b/>
          <w:i/>
          <w:sz w:val="24"/>
        </w:rPr>
        <w:t>Key Business Risks and Uncertainties</w:t>
      </w:r>
    </w:p>
    <w:p w14:paraId="45AD9FE3" w14:textId="24C1BA7C" w:rsidR="00D41583" w:rsidRPr="00E8677C" w:rsidRDefault="00E8677C" w:rsidP="00E8677C">
      <w:pPr>
        <w:jc w:val="both"/>
        <w:rPr>
          <w:rFonts w:ascii="Times New Roman" w:hAnsi="Times New Roman"/>
        </w:rPr>
      </w:pPr>
      <w:r w:rsidRPr="00E8677C">
        <w:rPr>
          <w:rFonts w:ascii="Times New Roman" w:eastAsia="Times New Roman" w:hAnsi="Times New Roman"/>
        </w:rPr>
        <w:t>The Company</w:t>
      </w:r>
      <w:r w:rsidR="00F312A7">
        <w:rPr>
          <w:rFonts w:ascii="Times New Roman" w:eastAsia="Times New Roman" w:hAnsi="Times New Roman"/>
        </w:rPr>
        <w:t>’</w:t>
      </w:r>
      <w:r w:rsidRPr="00E8677C">
        <w:rPr>
          <w:rFonts w:ascii="Times New Roman" w:eastAsia="Times New Roman" w:hAnsi="Times New Roman"/>
        </w:rPr>
        <w:t xml:space="preserve">s business, being a research and development phase photonic integration solutions provider, involves a high degree of risks. Certain factors, </w:t>
      </w:r>
      <w:r w:rsidRPr="00E8677C">
        <w:rPr>
          <w:rFonts w:ascii="Times New Roman" w:hAnsi="Times New Roman"/>
        </w:rPr>
        <w:t>including but not limited to the ones below, could materially affect the Co</w:t>
      </w:r>
      <w:r w:rsidR="009A7818">
        <w:rPr>
          <w:rFonts w:ascii="Times New Roman" w:hAnsi="Times New Roman"/>
        </w:rPr>
        <w:t>mpany</w:t>
      </w:r>
      <w:r w:rsidR="00F312A7">
        <w:rPr>
          <w:rFonts w:ascii="Times New Roman" w:hAnsi="Times New Roman"/>
        </w:rPr>
        <w:t>’</w:t>
      </w:r>
      <w:r w:rsidRPr="00E8677C">
        <w:rPr>
          <w:rFonts w:ascii="Times New Roman" w:hAnsi="Times New Roman"/>
        </w:rPr>
        <w:t xml:space="preserve">s financial condition and/or future operating results, and could cause actual events to differ materially from those described in forward-looking statements made by or relating to the Company. See </w:t>
      </w:r>
      <w:r w:rsidR="00F312A7">
        <w:rPr>
          <w:rFonts w:ascii="Times New Roman" w:hAnsi="Times New Roman"/>
          <w:i/>
          <w:iCs/>
        </w:rPr>
        <w:t>“</w:t>
      </w:r>
      <w:r w:rsidRPr="00E8677C">
        <w:rPr>
          <w:rFonts w:ascii="Times New Roman" w:hAnsi="Times New Roman"/>
          <w:i/>
          <w:iCs/>
        </w:rPr>
        <w:t>Forward-Looking Statements</w:t>
      </w:r>
      <w:r w:rsidR="00F312A7">
        <w:rPr>
          <w:rFonts w:ascii="Times New Roman" w:hAnsi="Times New Roman"/>
          <w:i/>
          <w:iCs/>
        </w:rPr>
        <w:t>”</w:t>
      </w:r>
      <w:r w:rsidRPr="00E8677C">
        <w:rPr>
          <w:rFonts w:ascii="Times New Roman" w:hAnsi="Times New Roman"/>
          <w:i/>
          <w:iCs/>
        </w:rPr>
        <w:t xml:space="preserve"> </w:t>
      </w:r>
      <w:r w:rsidRPr="00E8677C">
        <w:rPr>
          <w:rFonts w:ascii="Times New Roman" w:hAnsi="Times New Roman"/>
        </w:rPr>
        <w:t>of this MD&amp;A. Readers should carefully consider these risks as well as the information included or incorporated by reference in this MD&amp;A and the Company</w:t>
      </w:r>
      <w:r w:rsidR="00F312A7">
        <w:rPr>
          <w:rFonts w:ascii="Times New Roman" w:hAnsi="Times New Roman"/>
        </w:rPr>
        <w:t>’</w:t>
      </w:r>
      <w:r w:rsidRPr="00E8677C">
        <w:rPr>
          <w:rFonts w:ascii="Times New Roman" w:hAnsi="Times New Roman"/>
        </w:rPr>
        <w:t xml:space="preserve">s financial statements. </w:t>
      </w:r>
    </w:p>
    <w:p w14:paraId="0D14FED0" w14:textId="4A392A1F" w:rsidR="00E8677C" w:rsidRPr="00E8677C" w:rsidRDefault="00E8677C" w:rsidP="00E8677C">
      <w:pPr>
        <w:pStyle w:val="BodyText"/>
        <w:jc w:val="both"/>
        <w:rPr>
          <w:rFonts w:ascii="Times New Roman" w:hAnsi="Times New Roman"/>
        </w:rPr>
      </w:pPr>
      <w:r w:rsidRPr="00E8677C">
        <w:rPr>
          <w:rFonts w:ascii="Times New Roman" w:hAnsi="Times New Roman"/>
        </w:rPr>
        <w:t>The Company</w:t>
      </w:r>
      <w:r w:rsidR="00F312A7">
        <w:rPr>
          <w:rFonts w:ascii="Times New Roman" w:hAnsi="Times New Roman"/>
        </w:rPr>
        <w:t>’</w:t>
      </w:r>
      <w:r w:rsidRPr="00E8677C">
        <w:rPr>
          <w:rFonts w:ascii="Times New Roman" w:hAnsi="Times New Roman"/>
        </w:rPr>
        <w:t xml:space="preserve">s view of risks is not </w:t>
      </w:r>
      <w:proofErr w:type="gramStart"/>
      <w:r w:rsidRPr="00E8677C">
        <w:rPr>
          <w:rFonts w:ascii="Times New Roman" w:hAnsi="Times New Roman"/>
        </w:rPr>
        <w:t>static</w:t>
      </w:r>
      <w:proofErr w:type="gramEnd"/>
      <w:r w:rsidRPr="00E8677C">
        <w:rPr>
          <w:rFonts w:ascii="Times New Roman" w:hAnsi="Times New Roman"/>
        </w:rPr>
        <w:t xml:space="preserve"> and readers are cautioned that there can be no assurance that all risks to the Company, at any point in time, can be accurately identified, assessed as to significance or impact, managed or effective controlled or mitigated. There can be additional new or elevated risks to the Company that are not described herein. </w:t>
      </w:r>
    </w:p>
    <w:p w14:paraId="78552E7E" w14:textId="7F4C52C3" w:rsidR="00E8677C" w:rsidRDefault="00E8677C" w:rsidP="00E8677C">
      <w:pPr>
        <w:pStyle w:val="BodyText"/>
        <w:jc w:val="both"/>
        <w:rPr>
          <w:rFonts w:ascii="Times New Roman" w:hAnsi="Times New Roman"/>
        </w:rPr>
      </w:pPr>
      <w:r w:rsidRPr="00E8677C">
        <w:rPr>
          <w:rFonts w:ascii="Times New Roman" w:hAnsi="Times New Roman"/>
        </w:rPr>
        <w:t>For a comprehensive discussion of the risk factors that may affect the Company, its business operations and financial performance, refer to the risk disclosure in the Company</w:t>
      </w:r>
      <w:r w:rsidR="00F312A7">
        <w:rPr>
          <w:rFonts w:ascii="Times New Roman" w:hAnsi="Times New Roman"/>
        </w:rPr>
        <w:t>’</w:t>
      </w:r>
      <w:r w:rsidRPr="00E8677C">
        <w:rPr>
          <w:rFonts w:ascii="Times New Roman" w:hAnsi="Times New Roman"/>
        </w:rPr>
        <w:t>s most recent annual information form or Form 20-F available on SEDAR+ and EDGAR. The annual information form or Form 20-F and other publicly filed disclosure regarding the Company is available electronically on SEDAR+ and EDGAR under the Company</w:t>
      </w:r>
      <w:r w:rsidR="00F312A7">
        <w:rPr>
          <w:rFonts w:ascii="Times New Roman" w:hAnsi="Times New Roman"/>
        </w:rPr>
        <w:t>’</w:t>
      </w:r>
      <w:r w:rsidRPr="00E8677C">
        <w:rPr>
          <w:rFonts w:ascii="Times New Roman" w:hAnsi="Times New Roman"/>
        </w:rPr>
        <w:t xml:space="preserve">s issuer profile. </w:t>
      </w:r>
    </w:p>
    <w:p w14:paraId="30DB8E80" w14:textId="77777777" w:rsidR="008A45CA" w:rsidRPr="00F34E52" w:rsidRDefault="004928E7" w:rsidP="0023210C">
      <w:pPr>
        <w:widowControl/>
        <w:spacing w:after="180"/>
        <w:jc w:val="both"/>
        <w:rPr>
          <w:rFonts w:ascii="Times New Roman" w:eastAsia="Times New Roman" w:hAnsi="Times New Roman"/>
        </w:rPr>
      </w:pPr>
      <w:r w:rsidRPr="00F34E52">
        <w:rPr>
          <w:rFonts w:ascii="Times New Roman" w:eastAsia="Times New Roman" w:hAnsi="Times New Roman"/>
          <w:b/>
          <w:bCs/>
          <w:i/>
          <w:iCs/>
        </w:rPr>
        <w:t>We have a history of large operating losses. We may not be able to achieve or sustain profitability in the future and as a result we may not be able to maintain sufficient levels of liquidity.</w:t>
      </w:r>
    </w:p>
    <w:p w14:paraId="71F67F77" w14:textId="7C40BFC2" w:rsidR="008A45CA" w:rsidRDefault="004928E7" w:rsidP="00E8677C">
      <w:pPr>
        <w:jc w:val="both"/>
        <w:rPr>
          <w:rFonts w:ascii="Times New Roman" w:eastAsia="Times New Roman" w:hAnsi="Times New Roman"/>
        </w:rPr>
      </w:pPr>
      <w:r w:rsidRPr="00F34E52">
        <w:rPr>
          <w:rFonts w:ascii="Times New Roman" w:eastAsia="Times New Roman" w:hAnsi="Times New Roman"/>
        </w:rPr>
        <w:t>We have historically incurred losses and negative cash flows from operations since our inception. As of</w:t>
      </w:r>
      <w:r w:rsidR="00F212E2">
        <w:rPr>
          <w:rFonts w:ascii="Times New Roman" w:eastAsia="Times New Roman" w:hAnsi="Times New Roman"/>
        </w:rPr>
        <w:t xml:space="preserve"> </w:t>
      </w:r>
      <w:r w:rsidR="000E08E0">
        <w:rPr>
          <w:rFonts w:ascii="Times New Roman" w:eastAsia="Times New Roman" w:hAnsi="Times New Roman"/>
        </w:rPr>
        <w:t>September 30, 2025</w:t>
      </w:r>
      <w:r w:rsidRPr="00F34E52">
        <w:rPr>
          <w:rFonts w:ascii="Times New Roman" w:eastAsia="Times New Roman" w:hAnsi="Times New Roman"/>
        </w:rPr>
        <w:t xml:space="preserve">, we had an accumulated deficit </w:t>
      </w:r>
      <w:r w:rsidRPr="00E138CA">
        <w:rPr>
          <w:rFonts w:ascii="Times New Roman" w:eastAsia="Times New Roman" w:hAnsi="Times New Roman"/>
        </w:rPr>
        <w:t>of </w:t>
      </w:r>
      <w:r w:rsidR="002658E0">
        <w:rPr>
          <w:rFonts w:ascii="Times New Roman" w:eastAsia="Times New Roman" w:hAnsi="Times New Roman"/>
        </w:rPr>
        <w:t xml:space="preserve">approximately </w:t>
      </w:r>
      <w:r w:rsidRPr="00E138CA">
        <w:rPr>
          <w:rFonts w:ascii="Times New Roman" w:eastAsia="Times New Roman" w:hAnsi="Times New Roman"/>
        </w:rPr>
        <w:t>$</w:t>
      </w:r>
      <w:r w:rsidR="00B149EA">
        <w:rPr>
          <w:rFonts w:ascii="Times New Roman" w:eastAsia="Times New Roman" w:hAnsi="Times New Roman"/>
        </w:rPr>
        <w:t>2</w:t>
      </w:r>
      <w:r w:rsidR="004058F4">
        <w:rPr>
          <w:rFonts w:ascii="Times New Roman" w:eastAsia="Times New Roman" w:hAnsi="Times New Roman"/>
        </w:rPr>
        <w:t>91</w:t>
      </w:r>
      <w:r w:rsidR="002658E0">
        <w:rPr>
          <w:rFonts w:ascii="Times New Roman" w:eastAsia="Times New Roman" w:hAnsi="Times New Roman"/>
        </w:rPr>
        <w:t>,000,000</w:t>
      </w:r>
      <w:r w:rsidRPr="00E138CA">
        <w:rPr>
          <w:rFonts w:ascii="Times New Roman" w:eastAsia="Times New Roman" w:hAnsi="Times New Roman"/>
        </w:rPr>
        <w:t>.</w:t>
      </w:r>
      <w:r w:rsidRPr="00F34E52">
        <w:rPr>
          <w:rFonts w:ascii="Times New Roman" w:eastAsia="Times New Roman" w:hAnsi="Times New Roman"/>
        </w:rPr>
        <w:t xml:space="preserve"> </w:t>
      </w:r>
    </w:p>
    <w:p w14:paraId="43EA13FE" w14:textId="1E867AC8" w:rsidR="0095686A" w:rsidRDefault="004928E7" w:rsidP="0095686A">
      <w:pPr>
        <w:spacing w:before="120" w:after="120"/>
        <w:jc w:val="both"/>
        <w:rPr>
          <w:rFonts w:ascii="Times New Roman" w:hAnsi="Times New Roman"/>
          <w:color w:val="000000" w:themeColor="text1"/>
        </w:rPr>
      </w:pPr>
      <w:r w:rsidRPr="00F34E52">
        <w:rPr>
          <w:rFonts w:ascii="Times New Roman" w:eastAsia="Times New Roman" w:hAnsi="Times New Roman"/>
        </w:rPr>
        <w:t xml:space="preserve">As of </w:t>
      </w:r>
      <w:r w:rsidR="000E08E0">
        <w:rPr>
          <w:rFonts w:ascii="Times New Roman" w:eastAsia="Times New Roman" w:hAnsi="Times New Roman"/>
        </w:rPr>
        <w:t>September 30, 2025</w:t>
      </w:r>
      <w:r w:rsidRPr="00F34E52">
        <w:rPr>
          <w:rFonts w:ascii="Times New Roman" w:eastAsia="Times New Roman" w:hAnsi="Times New Roman"/>
        </w:rPr>
        <w:t>, we held </w:t>
      </w:r>
      <w:r w:rsidR="00B149EA">
        <w:rPr>
          <w:rFonts w:ascii="Times New Roman" w:eastAsia="Times New Roman" w:hAnsi="Times New Roman"/>
        </w:rPr>
        <w:t xml:space="preserve">approximately </w:t>
      </w:r>
      <w:r w:rsidRPr="00F34E52">
        <w:rPr>
          <w:rFonts w:ascii="Times New Roman" w:eastAsia="Times New Roman" w:hAnsi="Times New Roman"/>
        </w:rPr>
        <w:t>$</w:t>
      </w:r>
      <w:r w:rsidR="004058F4">
        <w:rPr>
          <w:rFonts w:ascii="Times New Roman" w:eastAsia="Times New Roman" w:hAnsi="Times New Roman"/>
        </w:rPr>
        <w:t>93</w:t>
      </w:r>
      <w:r w:rsidR="00B149EA">
        <w:rPr>
          <w:rFonts w:ascii="Times New Roman" w:eastAsia="Times New Roman" w:hAnsi="Times New Roman"/>
        </w:rPr>
        <w:t>,000,000</w:t>
      </w:r>
      <w:r w:rsidR="006F6238">
        <w:rPr>
          <w:rFonts w:ascii="Times New Roman" w:eastAsia="Times New Roman" w:hAnsi="Times New Roman"/>
        </w:rPr>
        <w:t xml:space="preserve"> </w:t>
      </w:r>
      <w:r w:rsidRPr="00F34E52">
        <w:rPr>
          <w:rFonts w:ascii="Times New Roman" w:eastAsia="Times New Roman" w:hAnsi="Times New Roman"/>
        </w:rPr>
        <w:t>in cash</w:t>
      </w:r>
      <w:r w:rsidR="00095351">
        <w:rPr>
          <w:rFonts w:ascii="Times New Roman" w:eastAsia="Times New Roman" w:hAnsi="Times New Roman"/>
        </w:rPr>
        <w:t>,</w:t>
      </w:r>
      <w:r w:rsidRPr="00F34E52">
        <w:rPr>
          <w:rFonts w:ascii="Times New Roman" w:eastAsia="Times New Roman" w:hAnsi="Times New Roman"/>
        </w:rPr>
        <w:t xml:space="preserve"> cash equivalents</w:t>
      </w:r>
      <w:r w:rsidR="00095351">
        <w:rPr>
          <w:rFonts w:ascii="Times New Roman" w:eastAsia="Times New Roman" w:hAnsi="Times New Roman"/>
        </w:rPr>
        <w:t xml:space="preserve"> and short-term investments</w:t>
      </w:r>
      <w:r w:rsidR="000C1944">
        <w:rPr>
          <w:rFonts w:ascii="Times New Roman" w:eastAsia="Times New Roman" w:hAnsi="Times New Roman"/>
        </w:rPr>
        <w:t>.</w:t>
      </w:r>
      <w:r w:rsidR="006263D0">
        <w:rPr>
          <w:rFonts w:ascii="Times New Roman" w:eastAsia="Times New Roman" w:hAnsi="Times New Roman"/>
        </w:rPr>
        <w:t xml:space="preserve"> </w:t>
      </w:r>
      <w:r w:rsidR="000C1944">
        <w:rPr>
          <w:rFonts w:ascii="Times New Roman" w:eastAsia="Times New Roman" w:hAnsi="Times New Roman"/>
        </w:rPr>
        <w:t>W</w:t>
      </w:r>
      <w:r w:rsidRPr="00F34E52">
        <w:rPr>
          <w:rFonts w:ascii="Times New Roman" w:eastAsia="Times New Roman" w:hAnsi="Times New Roman"/>
        </w:rPr>
        <w:t>e had</w:t>
      </w:r>
      <w:r w:rsidR="00BC3B29" w:rsidRPr="00F34E52">
        <w:rPr>
          <w:rFonts w:ascii="Times New Roman" w:eastAsia="Times New Roman" w:hAnsi="Times New Roman"/>
        </w:rPr>
        <w:t xml:space="preserve"> </w:t>
      </w:r>
      <w:r w:rsidRPr="00F34E52">
        <w:rPr>
          <w:rFonts w:ascii="Times New Roman" w:eastAsia="Times New Roman" w:hAnsi="Times New Roman"/>
        </w:rPr>
        <w:t>working capital of</w:t>
      </w:r>
      <w:r w:rsidR="00B420CE">
        <w:rPr>
          <w:rFonts w:ascii="Times New Roman" w:eastAsia="Times New Roman" w:hAnsi="Times New Roman"/>
        </w:rPr>
        <w:t xml:space="preserve"> $</w:t>
      </w:r>
      <w:r w:rsidR="004058F4">
        <w:rPr>
          <w:rFonts w:ascii="Times New Roman" w:eastAsia="Times New Roman" w:hAnsi="Times New Roman"/>
        </w:rPr>
        <w:t>52,925,789</w:t>
      </w:r>
      <w:r w:rsidR="00095351">
        <w:rPr>
          <w:rFonts w:ascii="Times New Roman" w:eastAsia="Times New Roman" w:hAnsi="Times New Roman"/>
        </w:rPr>
        <w:t xml:space="preserve">. </w:t>
      </w:r>
      <w:r w:rsidR="007F77D7">
        <w:rPr>
          <w:rFonts w:ascii="Times New Roman" w:hAnsi="Times New Roman"/>
          <w:color w:val="000000" w:themeColor="text1"/>
        </w:rPr>
        <w:t>The working capital of $</w:t>
      </w:r>
      <w:r w:rsidR="004058F4">
        <w:rPr>
          <w:rFonts w:ascii="Times New Roman" w:hAnsi="Times New Roman"/>
          <w:color w:val="000000" w:themeColor="text1"/>
        </w:rPr>
        <w:t>52,925,789</w:t>
      </w:r>
      <w:r w:rsidR="0001540F">
        <w:rPr>
          <w:rFonts w:ascii="Times New Roman" w:hAnsi="Times New Roman"/>
          <w:color w:val="000000" w:themeColor="text1"/>
        </w:rPr>
        <w:t xml:space="preserve"> </w:t>
      </w:r>
      <w:r w:rsidR="007F77D7">
        <w:rPr>
          <w:rFonts w:ascii="Times New Roman" w:hAnsi="Times New Roman"/>
          <w:color w:val="000000" w:themeColor="text1"/>
        </w:rPr>
        <w:t>includes non-cash current liabilities of $</w:t>
      </w:r>
      <w:r w:rsidR="004058F4">
        <w:rPr>
          <w:rFonts w:ascii="Times New Roman" w:hAnsi="Times New Roman"/>
          <w:color w:val="000000" w:themeColor="text1"/>
        </w:rPr>
        <w:t>30,599,601</w:t>
      </w:r>
      <w:r w:rsidR="00B149EA">
        <w:rPr>
          <w:rFonts w:ascii="Times New Roman" w:hAnsi="Times New Roman"/>
          <w:color w:val="000000" w:themeColor="text1"/>
        </w:rPr>
        <w:t xml:space="preserve"> re</w:t>
      </w:r>
      <w:r w:rsidR="007F77D7">
        <w:rPr>
          <w:rFonts w:ascii="Times New Roman" w:hAnsi="Times New Roman"/>
          <w:color w:val="000000" w:themeColor="text1"/>
        </w:rPr>
        <w:t>lated to derivative warrant liability and $6,500,000 in convertible debt which will be paid over a period of five years, however, the holder has the right to convert any unpaid amount into shares of the Company at its discretion</w:t>
      </w:r>
      <w:r w:rsidR="0095686A">
        <w:rPr>
          <w:rFonts w:ascii="Times New Roman" w:hAnsi="Times New Roman"/>
          <w:color w:val="000000" w:themeColor="text1"/>
        </w:rPr>
        <w:t xml:space="preserve"> and it is therefore classified as current. </w:t>
      </w:r>
    </w:p>
    <w:p w14:paraId="3FF3AF61" w14:textId="28210DDE" w:rsidR="009E400D" w:rsidRPr="001C4266" w:rsidRDefault="00D12F5F" w:rsidP="0023210C">
      <w:pPr>
        <w:widowControl/>
        <w:spacing w:after="180"/>
        <w:jc w:val="both"/>
        <w:rPr>
          <w:rFonts w:ascii="Times New Roman" w:eastAsia="Times New Roman" w:hAnsi="Times New Roman"/>
          <w:b/>
          <w:bCs/>
          <w:i/>
          <w:iCs/>
          <w:color w:val="000000"/>
          <w:lang w:val="en-CA" w:eastAsia="en-CA"/>
        </w:rPr>
      </w:pPr>
      <w:r>
        <w:rPr>
          <w:rFonts w:ascii="Times New Roman" w:eastAsia="Times New Roman" w:hAnsi="Times New Roman"/>
        </w:rPr>
        <w:t xml:space="preserve"> </w:t>
      </w:r>
      <w:r w:rsidR="004928E7" w:rsidRPr="001C4266">
        <w:rPr>
          <w:rFonts w:ascii="Times New Roman" w:eastAsia="Times New Roman" w:hAnsi="Times New Roman"/>
          <w:b/>
          <w:bCs/>
          <w:i/>
          <w:iCs/>
          <w:color w:val="000000"/>
          <w:lang w:val="en-CA" w:eastAsia="en-CA"/>
        </w:rPr>
        <w:t xml:space="preserve">The optical data communications industry in which we have chosen to operate is subject to significant risks, including rapid growth and volatility, dependence on </w:t>
      </w:r>
      <w:r w:rsidR="004A47D5" w:rsidRPr="001C4266">
        <w:rPr>
          <w:rFonts w:ascii="Times New Roman" w:eastAsia="Times New Roman" w:hAnsi="Times New Roman"/>
          <w:b/>
          <w:bCs/>
          <w:i/>
          <w:iCs/>
          <w:color w:val="000000"/>
          <w:lang w:val="en-CA" w:eastAsia="en-CA"/>
        </w:rPr>
        <w:t>rapidly changing underling technologies, market and political risks and uncertainties and extreme competition.</w:t>
      </w:r>
      <w:r w:rsidR="004A47D5">
        <w:rPr>
          <w:rFonts w:ascii="Times New Roman" w:eastAsia="Times New Roman" w:hAnsi="Times New Roman"/>
          <w:b/>
          <w:bCs/>
          <w:i/>
          <w:iCs/>
          <w:color w:val="000000"/>
          <w:lang w:val="en-CA" w:eastAsia="en-CA"/>
        </w:rPr>
        <w:t xml:space="preserve"> We cannot guarantee that we will be able to anticipate o</w:t>
      </w:r>
      <w:r w:rsidR="002400ED">
        <w:rPr>
          <w:rFonts w:ascii="Times New Roman" w:eastAsia="Times New Roman" w:hAnsi="Times New Roman"/>
          <w:b/>
          <w:bCs/>
          <w:i/>
          <w:iCs/>
          <w:color w:val="000000"/>
          <w:lang w:val="en-CA" w:eastAsia="en-CA"/>
        </w:rPr>
        <w:t>r</w:t>
      </w:r>
      <w:r w:rsidR="004A47D5">
        <w:rPr>
          <w:rFonts w:ascii="Times New Roman" w:eastAsia="Times New Roman" w:hAnsi="Times New Roman"/>
          <w:b/>
          <w:bCs/>
          <w:i/>
          <w:iCs/>
          <w:color w:val="000000"/>
          <w:lang w:val="en-CA" w:eastAsia="en-CA"/>
        </w:rPr>
        <w:t xml:space="preserve"> overcome any or </w:t>
      </w:r>
      <w:proofErr w:type="gramStart"/>
      <w:r w:rsidR="004A47D5">
        <w:rPr>
          <w:rFonts w:ascii="Times New Roman" w:eastAsia="Times New Roman" w:hAnsi="Times New Roman"/>
          <w:b/>
          <w:bCs/>
          <w:i/>
          <w:iCs/>
          <w:color w:val="000000"/>
          <w:lang w:val="en-CA" w:eastAsia="en-CA"/>
        </w:rPr>
        <w:t>all of</w:t>
      </w:r>
      <w:proofErr w:type="gramEnd"/>
      <w:r w:rsidR="004A47D5">
        <w:rPr>
          <w:rFonts w:ascii="Times New Roman" w:eastAsia="Times New Roman" w:hAnsi="Times New Roman"/>
          <w:b/>
          <w:bCs/>
          <w:i/>
          <w:iCs/>
          <w:color w:val="000000"/>
          <w:lang w:val="en-CA" w:eastAsia="en-CA"/>
        </w:rPr>
        <w:t xml:space="preserve"> these risks and uncertainties, especially as a</w:t>
      </w:r>
      <w:r w:rsidR="008A7147">
        <w:rPr>
          <w:rFonts w:ascii="Times New Roman" w:eastAsia="Times New Roman" w:hAnsi="Times New Roman"/>
          <w:b/>
          <w:bCs/>
          <w:i/>
          <w:iCs/>
          <w:color w:val="000000"/>
          <w:lang w:val="en-CA" w:eastAsia="en-CA"/>
        </w:rPr>
        <w:t xml:space="preserve"> small company operating in an environment dominated by large, well-capitalized competitors with substantially more resources.</w:t>
      </w:r>
    </w:p>
    <w:p w14:paraId="029BF781" w14:textId="77777777" w:rsidR="0012353D" w:rsidRDefault="004928E7" w:rsidP="0023210C">
      <w:pPr>
        <w:widowControl/>
        <w:spacing w:after="180"/>
        <w:jc w:val="both"/>
        <w:rPr>
          <w:rFonts w:ascii="Times New Roman" w:eastAsia="Times New Roman" w:hAnsi="Times New Roman"/>
        </w:rPr>
      </w:pPr>
      <w:r w:rsidRPr="00F34E52">
        <w:rPr>
          <w:rFonts w:ascii="Times New Roman" w:eastAsia="Times New Roman" w:hAnsi="Times New Roman"/>
        </w:rPr>
        <w:lastRenderedPageBreak/>
        <w:t xml:space="preserve">The optical data communications industry is subject to significant operational fluctuations. </w:t>
      </w:r>
      <w:proofErr w:type="gramStart"/>
      <w:r w:rsidRPr="00F34E52">
        <w:rPr>
          <w:rFonts w:ascii="Times New Roman" w:eastAsia="Times New Roman" w:hAnsi="Times New Roman"/>
        </w:rPr>
        <w:t>In order to</w:t>
      </w:r>
      <w:proofErr w:type="gramEnd"/>
      <w:r w:rsidRPr="00F34E52">
        <w:rPr>
          <w:rFonts w:ascii="Times New Roman" w:eastAsia="Times New Roman" w:hAnsi="Times New Roman"/>
        </w:rPr>
        <w:t xml:space="preserve"> remain competitive, we incur substantial costs associated with research and development, qualification, </w:t>
      </w:r>
      <w:r w:rsidR="002400ED">
        <w:rPr>
          <w:rFonts w:ascii="Times New Roman" w:eastAsia="Times New Roman" w:hAnsi="Times New Roman"/>
        </w:rPr>
        <w:t xml:space="preserve">prototype </w:t>
      </w:r>
      <w:r w:rsidRPr="00F34E52">
        <w:rPr>
          <w:rFonts w:ascii="Times New Roman" w:eastAsia="Times New Roman" w:hAnsi="Times New Roman"/>
        </w:rPr>
        <w:t>production capacity and sales and marketing activities in connection with products that may be purchased, if at all, long after we have incurred such costs. In addition, the rapidly changing industry in which we operate, the length of time between developing and introducing a product to market, frequent changing customer specifications for products, customer cancellations of products and general down cycles in the industry, among other things, make our prospects difficult to evaluate. As a result of these factors, it is possible that we may not (</w:t>
      </w:r>
      <w:proofErr w:type="spellStart"/>
      <w:r w:rsidRPr="00F34E52">
        <w:rPr>
          <w:rFonts w:ascii="Times New Roman" w:eastAsia="Times New Roman" w:hAnsi="Times New Roman"/>
        </w:rPr>
        <w:t>i</w:t>
      </w:r>
      <w:proofErr w:type="spellEnd"/>
      <w:r w:rsidRPr="00F34E52">
        <w:rPr>
          <w:rFonts w:ascii="Times New Roman" w:eastAsia="Times New Roman" w:hAnsi="Times New Roman"/>
        </w:rPr>
        <w:t>) generate sufficient positive cash flow from operations; (ii) raise funds through the issuance of equity, equity-linked or convertible debt securities; or (iii) otherwise have sufficient capital resources to meet our future capital or liquidity needs. There are no guarantees we will be able to generate additional financial resources beyond our existing balances.</w:t>
      </w:r>
    </w:p>
    <w:p w14:paraId="3472CC7B" w14:textId="77777777" w:rsidR="002400ED" w:rsidRPr="00F34E52" w:rsidRDefault="004928E7" w:rsidP="0023210C">
      <w:pPr>
        <w:widowControl/>
        <w:spacing w:after="180"/>
        <w:jc w:val="both"/>
        <w:rPr>
          <w:rFonts w:ascii="Times New Roman" w:eastAsia="Times New Roman" w:hAnsi="Times New Roman"/>
          <w:b/>
          <w:i/>
        </w:rPr>
      </w:pPr>
      <w:r w:rsidRPr="00F34E52">
        <w:rPr>
          <w:rFonts w:ascii="Times New Roman" w:eastAsia="Times New Roman" w:hAnsi="Times New Roman"/>
          <w:b/>
          <w:i/>
        </w:rPr>
        <w:t>We divest</w:t>
      </w:r>
      <w:r>
        <w:rPr>
          <w:rFonts w:ascii="Times New Roman" w:eastAsia="Times New Roman" w:hAnsi="Times New Roman"/>
          <w:b/>
          <w:i/>
        </w:rPr>
        <w:t>ed</w:t>
      </w:r>
      <w:r w:rsidRPr="00F34E52">
        <w:rPr>
          <w:rFonts w:ascii="Times New Roman" w:eastAsia="Times New Roman" w:hAnsi="Times New Roman"/>
          <w:b/>
          <w:i/>
        </w:rPr>
        <w:t xml:space="preserve"> our major operating asset, adopted a new “</w:t>
      </w:r>
      <w:proofErr w:type="gramStart"/>
      <w:r w:rsidRPr="00F34E52">
        <w:rPr>
          <w:rFonts w:ascii="Times New Roman" w:eastAsia="Times New Roman" w:hAnsi="Times New Roman"/>
          <w:b/>
          <w:i/>
        </w:rPr>
        <w:t>fab-light</w:t>
      </w:r>
      <w:proofErr w:type="gramEnd"/>
      <w:r w:rsidRPr="00F34E52">
        <w:rPr>
          <w:rFonts w:ascii="Times New Roman" w:eastAsia="Times New Roman" w:hAnsi="Times New Roman"/>
          <w:b/>
          <w:i/>
        </w:rPr>
        <w:t xml:space="preserve">” strategy, and </w:t>
      </w:r>
      <w:r>
        <w:rPr>
          <w:rFonts w:ascii="Times New Roman" w:eastAsia="Times New Roman" w:hAnsi="Times New Roman"/>
          <w:b/>
          <w:i/>
        </w:rPr>
        <w:t xml:space="preserve">we </w:t>
      </w:r>
      <w:r w:rsidRPr="00F34E52">
        <w:rPr>
          <w:rFonts w:ascii="Times New Roman" w:eastAsia="Times New Roman" w:hAnsi="Times New Roman"/>
          <w:b/>
          <w:i/>
        </w:rPr>
        <w:t>plan to focus on the Optical Interposer as our main business</w:t>
      </w:r>
      <w:r>
        <w:rPr>
          <w:rFonts w:ascii="Times New Roman" w:eastAsia="Times New Roman" w:hAnsi="Times New Roman"/>
          <w:b/>
          <w:i/>
        </w:rPr>
        <w:t xml:space="preserve">. </w:t>
      </w:r>
      <w:r w:rsidRPr="00F34E52">
        <w:rPr>
          <w:rFonts w:ascii="Times New Roman" w:eastAsia="Times New Roman" w:hAnsi="Times New Roman"/>
          <w:b/>
          <w:i/>
        </w:rPr>
        <w:t xml:space="preserve"> </w:t>
      </w:r>
      <w:r>
        <w:rPr>
          <w:rFonts w:ascii="Times New Roman" w:eastAsia="Times New Roman" w:hAnsi="Times New Roman"/>
          <w:b/>
          <w:i/>
        </w:rPr>
        <w:t>A</w:t>
      </w:r>
      <w:r w:rsidRPr="00F34E52">
        <w:rPr>
          <w:rFonts w:ascii="Times New Roman" w:eastAsia="Times New Roman" w:hAnsi="Times New Roman"/>
          <w:b/>
          <w:i/>
        </w:rPr>
        <w:t xml:space="preserve">ny or </w:t>
      </w:r>
      <w:proofErr w:type="gramStart"/>
      <w:r w:rsidRPr="00F34E52">
        <w:rPr>
          <w:rFonts w:ascii="Times New Roman" w:eastAsia="Times New Roman" w:hAnsi="Times New Roman"/>
          <w:b/>
          <w:i/>
        </w:rPr>
        <w:t>all of</w:t>
      </w:r>
      <w:proofErr w:type="gramEnd"/>
      <w:r w:rsidRPr="00F34E52">
        <w:rPr>
          <w:rFonts w:ascii="Times New Roman" w:eastAsia="Times New Roman" w:hAnsi="Times New Roman"/>
          <w:b/>
          <w:i/>
        </w:rPr>
        <w:t xml:space="preserve"> </w:t>
      </w:r>
      <w:r>
        <w:rPr>
          <w:rFonts w:ascii="Times New Roman" w:eastAsia="Times New Roman" w:hAnsi="Times New Roman"/>
          <w:b/>
          <w:i/>
        </w:rPr>
        <w:t>these decisions if incorrect</w:t>
      </w:r>
      <w:r w:rsidRPr="00F34E52">
        <w:rPr>
          <w:rFonts w:ascii="Times New Roman" w:eastAsia="Times New Roman" w:hAnsi="Times New Roman"/>
          <w:b/>
          <w:i/>
        </w:rPr>
        <w:t xml:space="preserve"> may have a material adverse effect on the results of our operations, financial position and cash flows, and pose further risks to the successful operation of our business over the short and </w:t>
      </w:r>
      <w:proofErr w:type="gramStart"/>
      <w:r w:rsidRPr="00F34E52">
        <w:rPr>
          <w:rFonts w:ascii="Times New Roman" w:eastAsia="Times New Roman" w:hAnsi="Times New Roman"/>
          <w:b/>
          <w:i/>
        </w:rPr>
        <w:t>long-term</w:t>
      </w:r>
      <w:proofErr w:type="gramEnd"/>
      <w:r>
        <w:rPr>
          <w:rFonts w:ascii="Times New Roman" w:eastAsia="Times New Roman" w:hAnsi="Times New Roman"/>
          <w:b/>
          <w:i/>
        </w:rPr>
        <w:t>.</w:t>
      </w:r>
    </w:p>
    <w:p w14:paraId="331B6281" w14:textId="77777777" w:rsidR="00A90290" w:rsidRPr="006D5565" w:rsidRDefault="004928E7" w:rsidP="0023210C">
      <w:pPr>
        <w:pStyle w:val="NormalWeb"/>
        <w:spacing w:before="0" w:beforeAutospacing="0" w:after="0" w:afterAutospacing="0" w:line="276" w:lineRule="auto"/>
        <w:jc w:val="both"/>
        <w:rPr>
          <w:rFonts w:eastAsia="Times New Roman"/>
          <w:bCs/>
          <w:iCs/>
          <w:sz w:val="22"/>
          <w:szCs w:val="22"/>
          <w:lang w:val="en-US" w:eastAsia="en-US"/>
        </w:rPr>
      </w:pPr>
      <w:r w:rsidRPr="006D5565">
        <w:rPr>
          <w:rFonts w:eastAsia="Times New Roman"/>
          <w:bCs/>
          <w:iCs/>
          <w:sz w:val="22"/>
          <w:szCs w:val="22"/>
          <w:lang w:val="en-US" w:eastAsia="en-US"/>
        </w:rPr>
        <w:t>There are substantial risks associated with our adoption of a “fab-light” strategy, including the loss of revenue associated with the divested operation, the loss of control over an internal development asset, and the loss of key technical knowledge available from personnel who will no longer be employed by the Company, many of whom we may have to replace.</w:t>
      </w:r>
    </w:p>
    <w:p w14:paraId="3C9EB4D9" w14:textId="77777777" w:rsidR="00A90290" w:rsidRPr="006D5565" w:rsidRDefault="004928E7" w:rsidP="0023210C">
      <w:pPr>
        <w:pStyle w:val="NormalWeb"/>
        <w:spacing w:before="0" w:beforeAutospacing="0" w:after="0" w:afterAutospacing="0" w:line="276" w:lineRule="auto"/>
        <w:jc w:val="both"/>
        <w:rPr>
          <w:rFonts w:eastAsia="Times New Roman"/>
          <w:bCs/>
          <w:iCs/>
          <w:sz w:val="22"/>
          <w:szCs w:val="22"/>
          <w:lang w:val="en-US" w:eastAsia="en-US"/>
        </w:rPr>
      </w:pPr>
      <w:r w:rsidRPr="006D5565">
        <w:rPr>
          <w:rFonts w:eastAsia="Times New Roman"/>
          <w:bCs/>
          <w:iCs/>
          <w:sz w:val="22"/>
          <w:szCs w:val="22"/>
          <w:lang w:val="en-US" w:eastAsia="en-US"/>
        </w:rPr>
        <w:t> </w:t>
      </w:r>
    </w:p>
    <w:p w14:paraId="2F8CB556" w14:textId="64E2AEA7" w:rsidR="00A90290" w:rsidRPr="006D5565" w:rsidRDefault="004928E7" w:rsidP="0023210C">
      <w:pPr>
        <w:pStyle w:val="NormalWeb"/>
        <w:spacing w:before="0" w:beforeAutospacing="0" w:after="0" w:afterAutospacing="0" w:line="276" w:lineRule="auto"/>
        <w:jc w:val="both"/>
        <w:rPr>
          <w:rFonts w:eastAsia="Times New Roman"/>
          <w:bCs/>
          <w:iCs/>
          <w:sz w:val="22"/>
          <w:szCs w:val="22"/>
          <w:lang w:val="en-US" w:eastAsia="en-US"/>
        </w:rPr>
      </w:pPr>
      <w:r w:rsidRPr="006D5565">
        <w:rPr>
          <w:rFonts w:eastAsia="Times New Roman"/>
          <w:bCs/>
          <w:iCs/>
          <w:sz w:val="22"/>
          <w:szCs w:val="22"/>
          <w:lang w:val="en-US" w:eastAsia="en-US"/>
        </w:rPr>
        <w:t>We have some previous experience with managing development without an internal development resource under a similar “</w:t>
      </w:r>
      <w:proofErr w:type="gramStart"/>
      <w:r w:rsidRPr="006D5565">
        <w:rPr>
          <w:rFonts w:eastAsia="Times New Roman"/>
          <w:bCs/>
          <w:iCs/>
          <w:sz w:val="22"/>
          <w:szCs w:val="22"/>
          <w:lang w:val="en-US" w:eastAsia="en-US"/>
        </w:rPr>
        <w:t>fab-light</w:t>
      </w:r>
      <w:proofErr w:type="gramEnd"/>
      <w:r w:rsidRPr="006D5565">
        <w:rPr>
          <w:rFonts w:eastAsia="Times New Roman"/>
          <w:bCs/>
          <w:iCs/>
          <w:sz w:val="22"/>
          <w:szCs w:val="22"/>
          <w:lang w:val="en-US" w:eastAsia="en-US"/>
        </w:rPr>
        <w:t xml:space="preserve">” strategy which was not successful, and there is no guarantee that our new approach to operating a company with our chosen strategy will be successful. Further, our strategy will be solely dependent on the future market acceptance and sale of Optical Interposer-based solutions, which </w:t>
      </w:r>
      <w:r w:rsidR="001F674D">
        <w:rPr>
          <w:rFonts w:eastAsia="Times New Roman"/>
          <w:bCs/>
          <w:iCs/>
          <w:sz w:val="22"/>
          <w:szCs w:val="22"/>
          <w:lang w:val="en-US" w:eastAsia="en-US"/>
        </w:rPr>
        <w:t xml:space="preserve">in some cases </w:t>
      </w:r>
      <w:r w:rsidRPr="006D5565">
        <w:rPr>
          <w:rFonts w:eastAsia="Times New Roman"/>
          <w:bCs/>
          <w:iCs/>
          <w:sz w:val="22"/>
          <w:szCs w:val="22"/>
          <w:lang w:val="en-US" w:eastAsia="en-US"/>
        </w:rPr>
        <w:t xml:space="preserve">are </w:t>
      </w:r>
      <w:r w:rsidR="001F674D">
        <w:rPr>
          <w:rFonts w:eastAsia="Times New Roman"/>
          <w:bCs/>
          <w:iCs/>
          <w:sz w:val="22"/>
          <w:szCs w:val="22"/>
          <w:lang w:val="en-US" w:eastAsia="en-US"/>
        </w:rPr>
        <w:t>n</w:t>
      </w:r>
      <w:r w:rsidRPr="006D5565">
        <w:rPr>
          <w:rFonts w:eastAsia="Times New Roman"/>
          <w:bCs/>
          <w:iCs/>
          <w:sz w:val="22"/>
          <w:szCs w:val="22"/>
          <w:lang w:val="en-US" w:eastAsia="en-US"/>
        </w:rPr>
        <w:t xml:space="preserve">either fully developed </w:t>
      </w:r>
      <w:r w:rsidR="001F674D">
        <w:rPr>
          <w:rFonts w:eastAsia="Times New Roman"/>
          <w:bCs/>
          <w:iCs/>
          <w:sz w:val="22"/>
          <w:szCs w:val="22"/>
          <w:lang w:val="en-US" w:eastAsia="en-US"/>
        </w:rPr>
        <w:t>n</w:t>
      </w:r>
      <w:r w:rsidRPr="006D5565">
        <w:rPr>
          <w:rFonts w:eastAsia="Times New Roman"/>
          <w:bCs/>
          <w:iCs/>
          <w:sz w:val="22"/>
          <w:szCs w:val="22"/>
          <w:lang w:val="en-US" w:eastAsia="en-US"/>
        </w:rPr>
        <w:t>or in qualification stages</w:t>
      </w:r>
      <w:r w:rsidR="001F674D">
        <w:rPr>
          <w:rFonts w:eastAsia="Times New Roman"/>
          <w:bCs/>
          <w:iCs/>
          <w:sz w:val="22"/>
          <w:szCs w:val="22"/>
          <w:lang w:val="en-US" w:eastAsia="en-US"/>
        </w:rPr>
        <w:t xml:space="preserve">.  Customers are in the initial stages of </w:t>
      </w:r>
      <w:r w:rsidRPr="006D5565">
        <w:rPr>
          <w:rFonts w:eastAsia="Times New Roman"/>
          <w:bCs/>
          <w:iCs/>
          <w:sz w:val="22"/>
          <w:szCs w:val="22"/>
          <w:lang w:val="en-US" w:eastAsia="en-US"/>
        </w:rPr>
        <w:t>committ</w:t>
      </w:r>
      <w:r w:rsidR="001F674D">
        <w:rPr>
          <w:rFonts w:eastAsia="Times New Roman"/>
          <w:bCs/>
          <w:iCs/>
          <w:sz w:val="22"/>
          <w:szCs w:val="22"/>
          <w:lang w:val="en-US" w:eastAsia="en-US"/>
        </w:rPr>
        <w:t>ing</w:t>
      </w:r>
      <w:r w:rsidRPr="006D5565">
        <w:rPr>
          <w:rFonts w:eastAsia="Times New Roman"/>
          <w:bCs/>
          <w:iCs/>
          <w:sz w:val="22"/>
          <w:szCs w:val="22"/>
          <w:lang w:val="en-US" w:eastAsia="en-US"/>
        </w:rPr>
        <w:t xml:space="preserve"> to a production product.</w:t>
      </w:r>
    </w:p>
    <w:p w14:paraId="4415692D" w14:textId="77777777" w:rsidR="00A90290" w:rsidRPr="006D5565" w:rsidRDefault="004928E7" w:rsidP="0023210C">
      <w:pPr>
        <w:pStyle w:val="NormalWeb"/>
        <w:spacing w:before="0" w:beforeAutospacing="0" w:after="0" w:afterAutospacing="0" w:line="276" w:lineRule="auto"/>
        <w:jc w:val="both"/>
        <w:rPr>
          <w:rFonts w:eastAsia="Times New Roman"/>
          <w:bCs/>
          <w:iCs/>
          <w:sz w:val="22"/>
          <w:szCs w:val="22"/>
          <w:lang w:val="en-US" w:eastAsia="en-US"/>
        </w:rPr>
      </w:pPr>
      <w:r w:rsidRPr="006D5565">
        <w:rPr>
          <w:rFonts w:eastAsia="Times New Roman"/>
          <w:bCs/>
          <w:iCs/>
          <w:sz w:val="22"/>
          <w:szCs w:val="22"/>
          <w:lang w:val="en-US" w:eastAsia="en-US"/>
        </w:rPr>
        <w:t> </w:t>
      </w:r>
    </w:p>
    <w:p w14:paraId="0470C163" w14:textId="77777777" w:rsidR="00A90290" w:rsidRPr="006D5565" w:rsidRDefault="004928E7" w:rsidP="0023210C">
      <w:pPr>
        <w:pStyle w:val="NormalWeb"/>
        <w:spacing w:before="0" w:beforeAutospacing="0" w:after="0" w:afterAutospacing="0" w:line="276" w:lineRule="auto"/>
        <w:jc w:val="both"/>
        <w:rPr>
          <w:rFonts w:eastAsia="Times New Roman"/>
          <w:bCs/>
          <w:iCs/>
          <w:sz w:val="22"/>
          <w:szCs w:val="22"/>
          <w:lang w:val="en-US" w:eastAsia="en-US"/>
        </w:rPr>
      </w:pPr>
      <w:r w:rsidRPr="006D5565">
        <w:rPr>
          <w:rFonts w:eastAsia="Times New Roman"/>
          <w:bCs/>
          <w:iCs/>
          <w:sz w:val="22"/>
          <w:szCs w:val="22"/>
          <w:lang w:val="en-US" w:eastAsia="en-US"/>
        </w:rPr>
        <w:t xml:space="preserve">We have taken substantial measures to protect POET’s intellectual property in the Optical Interposer, including development and production with a separate third-party company which engaged no engineering personnel from our former subsidiary company </w:t>
      </w:r>
      <w:proofErr w:type="spellStart"/>
      <w:r w:rsidRPr="006D5565">
        <w:rPr>
          <w:rFonts w:eastAsia="Times New Roman"/>
          <w:bCs/>
          <w:iCs/>
          <w:sz w:val="22"/>
          <w:szCs w:val="22"/>
          <w:lang w:val="en-US" w:eastAsia="en-US"/>
        </w:rPr>
        <w:t>DenseLight</w:t>
      </w:r>
      <w:proofErr w:type="spellEnd"/>
      <w:r w:rsidRPr="006D5565">
        <w:rPr>
          <w:rFonts w:eastAsia="Times New Roman"/>
          <w:bCs/>
          <w:iCs/>
          <w:sz w:val="22"/>
          <w:szCs w:val="22"/>
          <w:lang w:val="en-US" w:eastAsia="en-US"/>
        </w:rPr>
        <w:t xml:space="preserve">. We conducted development of component devices with a segregated team at our </w:t>
      </w:r>
      <w:proofErr w:type="spellStart"/>
      <w:r w:rsidRPr="006D5565">
        <w:rPr>
          <w:rFonts w:eastAsia="Times New Roman"/>
          <w:bCs/>
          <w:iCs/>
          <w:sz w:val="22"/>
          <w:szCs w:val="22"/>
          <w:lang w:val="en-US" w:eastAsia="en-US"/>
        </w:rPr>
        <w:t>DenseLight</w:t>
      </w:r>
      <w:proofErr w:type="spellEnd"/>
      <w:r w:rsidRPr="006D5565">
        <w:rPr>
          <w:rFonts w:eastAsia="Times New Roman"/>
          <w:bCs/>
          <w:iCs/>
          <w:sz w:val="22"/>
          <w:szCs w:val="22"/>
          <w:lang w:val="en-US" w:eastAsia="en-US"/>
        </w:rPr>
        <w:t xml:space="preserve"> facility and took measures to protect POET’s intellectual property on those developments as well. However, we cannot guarantee that all our measures to protect our intellectual property on either the POET Optical Interposer or its component devices have been totally effective. In addition, we cannot guarantee that </w:t>
      </w:r>
      <w:proofErr w:type="spellStart"/>
      <w:r w:rsidRPr="006D5565">
        <w:rPr>
          <w:rFonts w:eastAsia="Times New Roman"/>
          <w:bCs/>
          <w:iCs/>
          <w:sz w:val="22"/>
          <w:szCs w:val="22"/>
          <w:lang w:val="en-US" w:eastAsia="en-US"/>
        </w:rPr>
        <w:t>DenseLight</w:t>
      </w:r>
      <w:proofErr w:type="spellEnd"/>
      <w:r w:rsidRPr="006D5565">
        <w:rPr>
          <w:rFonts w:eastAsia="Times New Roman"/>
          <w:bCs/>
          <w:iCs/>
          <w:sz w:val="22"/>
          <w:szCs w:val="22"/>
          <w:lang w:val="en-US" w:eastAsia="en-US"/>
        </w:rPr>
        <w:t xml:space="preserve"> or any other third-party that we rely on to perform development, manufacturing, packaging or testing services will perform as expected and produce the devices we will need to grow our Optical Interposer business.</w:t>
      </w:r>
    </w:p>
    <w:p w14:paraId="74B7A4DD" w14:textId="77777777" w:rsidR="00A90290" w:rsidRPr="006D5565" w:rsidRDefault="004928E7" w:rsidP="0023210C">
      <w:pPr>
        <w:pStyle w:val="NormalWeb"/>
        <w:spacing w:before="0" w:beforeAutospacing="0" w:after="0" w:afterAutospacing="0" w:line="276" w:lineRule="auto"/>
        <w:jc w:val="both"/>
        <w:rPr>
          <w:rFonts w:eastAsia="Times New Roman"/>
          <w:bCs/>
          <w:iCs/>
          <w:sz w:val="22"/>
          <w:szCs w:val="22"/>
          <w:lang w:val="en-US" w:eastAsia="en-US"/>
        </w:rPr>
      </w:pPr>
      <w:r w:rsidRPr="006D5565">
        <w:rPr>
          <w:rFonts w:eastAsia="Times New Roman"/>
          <w:bCs/>
          <w:iCs/>
          <w:sz w:val="22"/>
          <w:szCs w:val="22"/>
          <w:lang w:val="en-US" w:eastAsia="en-US"/>
        </w:rPr>
        <w:t> </w:t>
      </w:r>
    </w:p>
    <w:p w14:paraId="676FF8F7" w14:textId="0B9D0588" w:rsidR="00A90290" w:rsidRDefault="004928E7" w:rsidP="005E778E">
      <w:pPr>
        <w:pStyle w:val="NormalWeb"/>
        <w:spacing w:before="0" w:beforeAutospacing="0" w:after="0" w:afterAutospacing="0" w:line="276" w:lineRule="auto"/>
        <w:jc w:val="both"/>
        <w:rPr>
          <w:rFonts w:eastAsia="Times New Roman"/>
        </w:rPr>
      </w:pPr>
      <w:r w:rsidRPr="006D5565">
        <w:rPr>
          <w:rFonts w:eastAsia="Times New Roman"/>
          <w:bCs/>
          <w:iCs/>
          <w:sz w:val="22"/>
          <w:szCs w:val="22"/>
          <w:lang w:val="en-US" w:eastAsia="en-US"/>
        </w:rPr>
        <w:t xml:space="preserve">There can be no assurance that we will be successful in addressing these or any other significant risks we may encounter in the divestment of </w:t>
      </w:r>
      <w:proofErr w:type="spellStart"/>
      <w:r w:rsidRPr="006D5565">
        <w:rPr>
          <w:rFonts w:eastAsia="Times New Roman"/>
          <w:bCs/>
          <w:iCs/>
          <w:sz w:val="22"/>
          <w:szCs w:val="22"/>
          <w:lang w:val="en-US" w:eastAsia="en-US"/>
        </w:rPr>
        <w:t>DenseLight</w:t>
      </w:r>
      <w:proofErr w:type="spellEnd"/>
      <w:r w:rsidRPr="006D5565">
        <w:rPr>
          <w:rFonts w:eastAsia="Times New Roman"/>
          <w:bCs/>
          <w:iCs/>
          <w:sz w:val="22"/>
          <w:szCs w:val="22"/>
          <w:lang w:val="en-US" w:eastAsia="en-US"/>
        </w:rPr>
        <w:t>, the adoption of a “</w:t>
      </w:r>
      <w:proofErr w:type="gramStart"/>
      <w:r w:rsidRPr="006D5565">
        <w:rPr>
          <w:rFonts w:eastAsia="Times New Roman"/>
          <w:bCs/>
          <w:iCs/>
          <w:sz w:val="22"/>
          <w:szCs w:val="22"/>
          <w:lang w:val="en-US" w:eastAsia="en-US"/>
        </w:rPr>
        <w:t>fab-light</w:t>
      </w:r>
      <w:proofErr w:type="gramEnd"/>
      <w:r w:rsidRPr="006D5565">
        <w:rPr>
          <w:rFonts w:eastAsia="Times New Roman"/>
          <w:bCs/>
          <w:iCs/>
          <w:sz w:val="22"/>
          <w:szCs w:val="22"/>
          <w:lang w:val="en-US" w:eastAsia="en-US"/>
        </w:rPr>
        <w:t>” strategy or the focus of our business solely on the Optical Interposer.</w:t>
      </w:r>
    </w:p>
    <w:p w14:paraId="10414DD0" w14:textId="77777777" w:rsidR="005E778E" w:rsidRDefault="005E778E" w:rsidP="00B94315">
      <w:pPr>
        <w:pStyle w:val="NormalWeb"/>
        <w:spacing w:before="0" w:beforeAutospacing="0" w:after="0" w:afterAutospacing="0" w:line="276" w:lineRule="auto"/>
        <w:jc w:val="both"/>
        <w:rPr>
          <w:rFonts w:eastAsia="Times New Roman"/>
        </w:rPr>
      </w:pPr>
    </w:p>
    <w:p w14:paraId="0A326ADB" w14:textId="77777777" w:rsidR="002F372D" w:rsidRDefault="004928E7" w:rsidP="0023210C">
      <w:pPr>
        <w:widowControl/>
        <w:spacing w:after="180"/>
        <w:jc w:val="both"/>
        <w:rPr>
          <w:rFonts w:ascii="Times New Roman" w:eastAsia="Times New Roman" w:hAnsi="Times New Roman"/>
          <w:b/>
          <w:bCs/>
          <w:i/>
          <w:iCs/>
        </w:rPr>
      </w:pPr>
      <w:proofErr w:type="gramStart"/>
      <w:r>
        <w:rPr>
          <w:rFonts w:ascii="Times New Roman" w:eastAsia="Times New Roman" w:hAnsi="Times New Roman"/>
          <w:b/>
          <w:bCs/>
          <w:i/>
          <w:iCs/>
        </w:rPr>
        <w:t>In order to</w:t>
      </w:r>
      <w:proofErr w:type="gramEnd"/>
      <w:r>
        <w:rPr>
          <w:rFonts w:ascii="Times New Roman" w:eastAsia="Times New Roman" w:hAnsi="Times New Roman"/>
          <w:b/>
          <w:bCs/>
          <w:i/>
          <w:iCs/>
        </w:rPr>
        <w:t xml:space="preserve"> attract a wider investor audience for our shares and </w:t>
      </w:r>
      <w:proofErr w:type="gramStart"/>
      <w:r>
        <w:rPr>
          <w:rFonts w:ascii="Times New Roman" w:eastAsia="Times New Roman" w:hAnsi="Times New Roman"/>
          <w:b/>
          <w:bCs/>
          <w:i/>
          <w:iCs/>
        </w:rPr>
        <w:t>thereby</w:t>
      </w:r>
      <w:proofErr w:type="gramEnd"/>
      <w:r>
        <w:rPr>
          <w:rFonts w:ascii="Times New Roman" w:eastAsia="Times New Roman" w:hAnsi="Times New Roman"/>
          <w:b/>
          <w:bCs/>
          <w:i/>
          <w:iCs/>
        </w:rPr>
        <w:t xml:space="preserve"> to achieve a higher market value, we </w:t>
      </w:r>
      <w:r w:rsidR="009F6023">
        <w:rPr>
          <w:rFonts w:ascii="Times New Roman" w:eastAsia="Times New Roman" w:hAnsi="Times New Roman"/>
          <w:b/>
          <w:bCs/>
          <w:i/>
          <w:iCs/>
        </w:rPr>
        <w:t>have</w:t>
      </w:r>
      <w:r>
        <w:rPr>
          <w:rFonts w:ascii="Times New Roman" w:eastAsia="Times New Roman" w:hAnsi="Times New Roman"/>
          <w:b/>
          <w:bCs/>
          <w:i/>
          <w:iCs/>
        </w:rPr>
        <w:t xml:space="preserve"> listed on the Nasdaq Capital Market.  </w:t>
      </w:r>
    </w:p>
    <w:p w14:paraId="4B3A157F" w14:textId="77777777" w:rsidR="003602D7" w:rsidRPr="006D5565" w:rsidRDefault="004928E7" w:rsidP="0023210C">
      <w:pPr>
        <w:widowControl/>
        <w:spacing w:after="180"/>
        <w:jc w:val="both"/>
        <w:rPr>
          <w:rFonts w:ascii="Times New Roman" w:eastAsia="Times New Roman" w:hAnsi="Times New Roman"/>
        </w:rPr>
      </w:pPr>
      <w:r w:rsidRPr="006D5565">
        <w:rPr>
          <w:rFonts w:ascii="Times New Roman" w:eastAsia="Times New Roman" w:hAnsi="Times New Roman"/>
        </w:rPr>
        <w:lastRenderedPageBreak/>
        <w:t xml:space="preserve">Our participation in this new market for our shares involves several levels of uncertainty and additional costs, in both capital and management time and attention.  </w:t>
      </w:r>
      <w:r w:rsidR="00581CE5" w:rsidRPr="006D5565">
        <w:rPr>
          <w:rFonts w:ascii="Times New Roman" w:eastAsia="Times New Roman" w:hAnsi="Times New Roman"/>
        </w:rPr>
        <w:t>In addition, our D</w:t>
      </w:r>
      <w:r w:rsidRPr="006D5565">
        <w:rPr>
          <w:rFonts w:ascii="Times New Roman" w:eastAsia="Times New Roman" w:hAnsi="Times New Roman"/>
        </w:rPr>
        <w:t xml:space="preserve">irectors and </w:t>
      </w:r>
      <w:r w:rsidR="00581CE5" w:rsidRPr="006D5565">
        <w:rPr>
          <w:rFonts w:ascii="Times New Roman" w:eastAsia="Times New Roman" w:hAnsi="Times New Roman"/>
        </w:rPr>
        <w:t>O</w:t>
      </w:r>
      <w:r w:rsidRPr="006D5565">
        <w:rPr>
          <w:rFonts w:ascii="Times New Roman" w:eastAsia="Times New Roman" w:hAnsi="Times New Roman"/>
        </w:rPr>
        <w:t>fficers (D&amp;O) liability insurance</w:t>
      </w:r>
      <w:r w:rsidR="00581CE5" w:rsidRPr="006D5565">
        <w:rPr>
          <w:rFonts w:ascii="Times New Roman" w:eastAsia="Times New Roman" w:hAnsi="Times New Roman"/>
        </w:rPr>
        <w:t xml:space="preserve"> expense will increase dramatically</w:t>
      </w:r>
      <w:r w:rsidRPr="006D5565">
        <w:rPr>
          <w:rFonts w:ascii="Times New Roman" w:eastAsia="Times New Roman" w:hAnsi="Times New Roman"/>
        </w:rPr>
        <w:t>, reflecting an increased prevalence of derivative shareholder lawsuits in t</w:t>
      </w:r>
      <w:r w:rsidR="00581CE5" w:rsidRPr="006D5565">
        <w:rPr>
          <w:rFonts w:ascii="Times New Roman" w:eastAsia="Times New Roman" w:hAnsi="Times New Roman"/>
        </w:rPr>
        <w:t>h</w:t>
      </w:r>
      <w:r w:rsidRPr="006D5565">
        <w:rPr>
          <w:rFonts w:ascii="Times New Roman" w:eastAsia="Times New Roman" w:hAnsi="Times New Roman"/>
        </w:rPr>
        <w:t xml:space="preserve">e United States versus Canada. </w:t>
      </w:r>
      <w:r w:rsidR="002F372D">
        <w:rPr>
          <w:rFonts w:ascii="Times New Roman" w:eastAsia="Times New Roman" w:hAnsi="Times New Roman"/>
        </w:rPr>
        <w:t>W</w:t>
      </w:r>
      <w:r w:rsidRPr="006D5565">
        <w:rPr>
          <w:rFonts w:ascii="Times New Roman" w:eastAsia="Times New Roman" w:hAnsi="Times New Roman"/>
        </w:rPr>
        <w:t xml:space="preserve">e cannot guarantee that listing on the Nasdaq will improve our stock price or </w:t>
      </w:r>
      <w:proofErr w:type="gramStart"/>
      <w:r w:rsidRPr="006D5565">
        <w:rPr>
          <w:rFonts w:ascii="Times New Roman" w:eastAsia="Times New Roman" w:hAnsi="Times New Roman"/>
        </w:rPr>
        <w:t>liquidity, or</w:t>
      </w:r>
      <w:proofErr w:type="gramEnd"/>
      <w:r w:rsidRPr="006D5565">
        <w:rPr>
          <w:rFonts w:ascii="Times New Roman" w:eastAsia="Times New Roman" w:hAnsi="Times New Roman"/>
        </w:rPr>
        <w:t xml:space="preserve"> attract a wider investor audience for our shares.</w:t>
      </w:r>
    </w:p>
    <w:p w14:paraId="0E577CFC" w14:textId="77777777" w:rsidR="008A45CA" w:rsidRPr="003E79BA" w:rsidRDefault="004928E7" w:rsidP="0023210C">
      <w:pPr>
        <w:widowControl/>
        <w:spacing w:after="180"/>
        <w:jc w:val="both"/>
        <w:outlineLvl w:val="0"/>
        <w:rPr>
          <w:rFonts w:ascii="Times New Roman" w:eastAsia="Times New Roman" w:hAnsi="Times New Roman"/>
        </w:rPr>
      </w:pPr>
      <w:r w:rsidRPr="003E79BA">
        <w:rPr>
          <w:rFonts w:ascii="Times New Roman" w:eastAsia="Times New Roman" w:hAnsi="Times New Roman"/>
          <w:b/>
          <w:bCs/>
          <w:i/>
          <w:iCs/>
        </w:rPr>
        <w:t>We may not be able to obtain additional capital when desired, on favorable terms or at all.</w:t>
      </w:r>
    </w:p>
    <w:p w14:paraId="4D628CD6" w14:textId="77777777" w:rsidR="008A45CA" w:rsidRPr="00F34E52" w:rsidRDefault="004928E7" w:rsidP="0023210C">
      <w:pPr>
        <w:widowControl/>
        <w:spacing w:after="180"/>
        <w:jc w:val="both"/>
        <w:rPr>
          <w:rFonts w:ascii="Times New Roman" w:eastAsia="Times New Roman" w:hAnsi="Times New Roman"/>
        </w:rPr>
      </w:pPr>
      <w:r w:rsidRPr="003E79BA">
        <w:rPr>
          <w:rFonts w:ascii="Times New Roman" w:eastAsia="Times New Roman" w:hAnsi="Times New Roman"/>
        </w:rPr>
        <w:t>We</w:t>
      </w:r>
      <w:r w:rsidRPr="000A3A42">
        <w:rPr>
          <w:rFonts w:ascii="Times New Roman" w:eastAsia="Times New Roman" w:hAnsi="Times New Roman"/>
        </w:rPr>
        <w:t xml:space="preserve"> operate in a market that makes our prospects difficult to evaluate and, to remain competitive, we will be required to make continued investments in capital equipment, facilities and technology. We expect that substantial capital will be required to contin</w:t>
      </w:r>
      <w:r w:rsidRPr="00F34E52">
        <w:rPr>
          <w:rFonts w:ascii="Times New Roman" w:eastAsia="Times New Roman" w:hAnsi="Times New Roman"/>
        </w:rPr>
        <w:t xml:space="preserve">ue technology and product development, to expand our </w:t>
      </w:r>
      <w:r w:rsidR="00224A04">
        <w:rPr>
          <w:rFonts w:ascii="Times New Roman" w:eastAsia="Times New Roman" w:hAnsi="Times New Roman"/>
        </w:rPr>
        <w:t xml:space="preserve">contract </w:t>
      </w:r>
      <w:r w:rsidRPr="00F34E52">
        <w:rPr>
          <w:rFonts w:ascii="Times New Roman" w:eastAsia="Times New Roman" w:hAnsi="Times New Roman"/>
        </w:rPr>
        <w:t>manufacturing capacity if we need to do so and to fund working capital for anticipated growth. If we do not generate sufficient cash flow from operations or otherwise have the capital resources to meet our future capital needs, we may need additional financing to implement our business strategy.</w:t>
      </w:r>
    </w:p>
    <w:p w14:paraId="58C1DDE9" w14:textId="77777777" w:rsidR="008A45CA" w:rsidRDefault="004928E7" w:rsidP="0023210C">
      <w:pPr>
        <w:widowControl/>
        <w:spacing w:after="180"/>
        <w:jc w:val="both"/>
        <w:rPr>
          <w:rFonts w:ascii="Times New Roman" w:eastAsia="Times New Roman" w:hAnsi="Times New Roman"/>
        </w:rPr>
      </w:pPr>
      <w:r w:rsidRPr="00F34E52">
        <w:rPr>
          <w:rFonts w:ascii="Times New Roman" w:eastAsia="Times New Roman" w:hAnsi="Times New Roman"/>
        </w:rPr>
        <w:t xml:space="preserve">If we raise additional funds through the issuance of our common stock or convertible securities, the ownership interests of our stockholders could be significantly diluted. These newly issued securities may have rights, preferences or privileges senior to those of existing stockholders. Additional financing may not, however, be available on terms favorable to us, or at all, </w:t>
      </w:r>
      <w:proofErr w:type="gramStart"/>
      <w:r w:rsidRPr="00F34E52">
        <w:rPr>
          <w:rFonts w:ascii="Times New Roman" w:eastAsia="Times New Roman" w:hAnsi="Times New Roman"/>
        </w:rPr>
        <w:t>if and when</w:t>
      </w:r>
      <w:proofErr w:type="gramEnd"/>
      <w:r w:rsidRPr="00F34E52">
        <w:rPr>
          <w:rFonts w:ascii="Times New Roman" w:eastAsia="Times New Roman" w:hAnsi="Times New Roman"/>
        </w:rPr>
        <w:t xml:space="preserve"> needed, and our ability to fund our operations, take advantage of unanticipated opportunities, develop or enhance our infrastructure or respond to competitive pressures could be significantly limited. If we cannot raise required capital when needed we may be unable to continue technology and product development, meet the demands of existing and prospective customers, adversely affecting our sales and market opportunities and consequently our business, financial condition and results of operations.</w:t>
      </w:r>
    </w:p>
    <w:p w14:paraId="206B0A44" w14:textId="77777777" w:rsidR="00580F8F" w:rsidRPr="00F34E52" w:rsidRDefault="004928E7" w:rsidP="0023210C">
      <w:pPr>
        <w:widowControl/>
        <w:spacing w:after="180"/>
        <w:jc w:val="both"/>
        <w:rPr>
          <w:rFonts w:ascii="Times New Roman" w:eastAsia="Times New Roman" w:hAnsi="Times New Roman"/>
          <w:b/>
          <w:bCs/>
          <w:i/>
          <w:iCs/>
        </w:rPr>
      </w:pPr>
      <w:r w:rsidRPr="00F34E52">
        <w:rPr>
          <w:rFonts w:ascii="Times New Roman" w:eastAsia="Times New Roman" w:hAnsi="Times New Roman"/>
          <w:b/>
          <w:bCs/>
          <w:i/>
          <w:iCs/>
        </w:rPr>
        <w:t>The process of developing new, technologically advanced products in semiconductor manufacturing and photonics products is highly complex and uncertain, and we cannot guarantee a positive result.</w:t>
      </w:r>
    </w:p>
    <w:p w14:paraId="45758548" w14:textId="77777777" w:rsidR="00526229" w:rsidRPr="00F34E52" w:rsidRDefault="004928E7" w:rsidP="0023210C">
      <w:pPr>
        <w:widowControl/>
        <w:spacing w:after="180"/>
        <w:jc w:val="both"/>
        <w:rPr>
          <w:rFonts w:ascii="Times New Roman" w:eastAsia="Times New Roman" w:hAnsi="Times New Roman"/>
        </w:rPr>
      </w:pPr>
      <w:r w:rsidRPr="00F34E52">
        <w:rPr>
          <w:rFonts w:ascii="Times New Roman" w:eastAsia="Times New Roman" w:hAnsi="Times New Roman"/>
        </w:rPr>
        <w:t>The development of new, technologically advanced products is a complex and uncertain process requiring frequent innovation, highly</w:t>
      </w:r>
      <w:r w:rsidR="00224A04">
        <w:rPr>
          <w:rFonts w:ascii="Times New Roman" w:eastAsia="Times New Roman" w:hAnsi="Times New Roman"/>
        </w:rPr>
        <w:t xml:space="preserve"> </w:t>
      </w:r>
      <w:r w:rsidRPr="00F34E52">
        <w:rPr>
          <w:rFonts w:ascii="Times New Roman" w:eastAsia="Times New Roman" w:hAnsi="Times New Roman"/>
        </w:rPr>
        <w:t>skilled engineering and development personnel and significant capital, as well as the accurate anticipation of technological and market trends. We cannot assure you that we will be able to identify, develop, manufacture, market or support new or enhanced products successfully or on a timely basis. Further, we cannot assure you that our new products will gain market acceptance or that we will be able to respond effectively to product introductions by competitors, technological changes or emerging industry standards. We also may not be able to develop the underlying core technologies necessary to create new products and enhancements, license these technologies from third parties, or remain competitive in our markets.</w:t>
      </w:r>
    </w:p>
    <w:p w14:paraId="4886E5EF" w14:textId="77777777" w:rsidR="005B76EB" w:rsidRPr="00F34E52" w:rsidRDefault="004928E7" w:rsidP="0023210C">
      <w:pPr>
        <w:widowControl/>
        <w:spacing w:after="180"/>
        <w:jc w:val="both"/>
        <w:outlineLvl w:val="0"/>
        <w:rPr>
          <w:rFonts w:ascii="Times New Roman" w:eastAsia="Times New Roman" w:hAnsi="Times New Roman"/>
        </w:rPr>
      </w:pPr>
      <w:r w:rsidRPr="00F34E52">
        <w:rPr>
          <w:rFonts w:ascii="Times New Roman" w:eastAsia="Times New Roman" w:hAnsi="Times New Roman"/>
          <w:b/>
          <w:bCs/>
          <w:i/>
          <w:iCs/>
        </w:rPr>
        <w:t>If our customers do not qualify our products for use on a timely basis, our results of operations may suffer. </w:t>
      </w:r>
    </w:p>
    <w:p w14:paraId="7A2FE64D" w14:textId="77777777" w:rsidR="005B76EB" w:rsidRPr="00F34E52" w:rsidRDefault="004928E7" w:rsidP="0023210C">
      <w:pPr>
        <w:widowControl/>
        <w:spacing w:after="180"/>
        <w:jc w:val="both"/>
        <w:rPr>
          <w:rFonts w:ascii="Times New Roman" w:eastAsia="Times New Roman" w:hAnsi="Times New Roman"/>
        </w:rPr>
      </w:pPr>
      <w:r w:rsidRPr="00F34E52">
        <w:rPr>
          <w:rFonts w:ascii="Times New Roman" w:eastAsia="Times New Roman" w:hAnsi="Times New Roman"/>
        </w:rPr>
        <w:t xml:space="preserve">Prior to the sale of new products, our customers typically require us to “qualify” our products for use in their applications. At the successful completion of this qualification process, we refer to the resulting sales opportunity as a “design win.” Additionally, new customers often audit our manufacturing facilities and perform other evaluations during this qualification process. The qualification process involves product sampling and reliability testing and collaboration with our product management and engineering teams in the design and manufacturing stages. If we are unable to accurately predict the amount of time required to qualify our products with customers, or are unable to qualify our products with certain customers at all, then our ability to generate revenue could be delayed or our revenue would be lower than expected and we may not be able to recover the costs associated with </w:t>
      </w:r>
      <w:r w:rsidRPr="00F34E52">
        <w:rPr>
          <w:rFonts w:ascii="Times New Roman" w:eastAsia="Times New Roman" w:hAnsi="Times New Roman"/>
        </w:rPr>
        <w:lastRenderedPageBreak/>
        <w:t>the qualification process or with our product development efforts, which would have an adverse effect on our results of operations.</w:t>
      </w:r>
    </w:p>
    <w:p w14:paraId="1AA30811" w14:textId="77777777" w:rsidR="009E1ED3" w:rsidRPr="00F34E52" w:rsidRDefault="004928E7" w:rsidP="0023210C">
      <w:pPr>
        <w:widowControl/>
        <w:spacing w:after="180"/>
        <w:jc w:val="both"/>
        <w:rPr>
          <w:rFonts w:ascii="Times New Roman" w:eastAsia="Times New Roman" w:hAnsi="Times New Roman"/>
        </w:rPr>
      </w:pPr>
      <w:r w:rsidRPr="00F34E52">
        <w:rPr>
          <w:rFonts w:ascii="Times New Roman" w:eastAsia="Times New Roman" w:hAnsi="Times New Roman"/>
          <w:b/>
          <w:bCs/>
          <w:i/>
          <w:iCs/>
        </w:rPr>
        <w:t>We have limited operating history in the data</w:t>
      </w:r>
      <w:r>
        <w:rPr>
          <w:rFonts w:ascii="Times New Roman" w:eastAsia="Times New Roman" w:hAnsi="Times New Roman"/>
          <w:b/>
          <w:bCs/>
          <w:i/>
          <w:iCs/>
        </w:rPr>
        <w:t xml:space="preserve"> center</w:t>
      </w:r>
      <w:r w:rsidRPr="00F34E52">
        <w:rPr>
          <w:rFonts w:ascii="Times New Roman" w:eastAsia="Times New Roman" w:hAnsi="Times New Roman"/>
          <w:b/>
          <w:bCs/>
          <w:i/>
          <w:iCs/>
        </w:rPr>
        <w:t xml:space="preserve"> market, and our business could be harmed if t</w:t>
      </w:r>
      <w:r>
        <w:rPr>
          <w:rFonts w:ascii="Times New Roman" w:eastAsia="Times New Roman" w:hAnsi="Times New Roman"/>
          <w:b/>
          <w:bCs/>
          <w:i/>
          <w:iCs/>
        </w:rPr>
        <w:t>his</w:t>
      </w:r>
      <w:r w:rsidRPr="00F34E52">
        <w:rPr>
          <w:rFonts w:ascii="Times New Roman" w:eastAsia="Times New Roman" w:hAnsi="Times New Roman"/>
          <w:b/>
          <w:bCs/>
          <w:i/>
          <w:iCs/>
        </w:rPr>
        <w:t xml:space="preserve"> marke</w:t>
      </w:r>
      <w:r>
        <w:rPr>
          <w:rFonts w:ascii="Times New Roman" w:eastAsia="Times New Roman" w:hAnsi="Times New Roman"/>
          <w:b/>
          <w:bCs/>
          <w:i/>
          <w:iCs/>
        </w:rPr>
        <w:t>t</w:t>
      </w:r>
      <w:r w:rsidRPr="00F34E52">
        <w:rPr>
          <w:rFonts w:ascii="Times New Roman" w:eastAsia="Times New Roman" w:hAnsi="Times New Roman"/>
          <w:b/>
          <w:bCs/>
          <w:i/>
          <w:iCs/>
        </w:rPr>
        <w:t xml:space="preserve"> do</w:t>
      </w:r>
      <w:r>
        <w:rPr>
          <w:rFonts w:ascii="Times New Roman" w:eastAsia="Times New Roman" w:hAnsi="Times New Roman"/>
          <w:b/>
          <w:bCs/>
          <w:i/>
          <w:iCs/>
        </w:rPr>
        <w:t>es</w:t>
      </w:r>
      <w:r w:rsidRPr="00F34E52">
        <w:rPr>
          <w:rFonts w:ascii="Times New Roman" w:eastAsia="Times New Roman" w:hAnsi="Times New Roman"/>
          <w:b/>
          <w:bCs/>
          <w:i/>
          <w:iCs/>
        </w:rPr>
        <w:t xml:space="preserve"> not develop as we expect.</w:t>
      </w:r>
    </w:p>
    <w:p w14:paraId="7B7943D2" w14:textId="3B9F81C1" w:rsidR="009E1ED3" w:rsidRPr="00F34E52" w:rsidRDefault="004928E7" w:rsidP="0023210C">
      <w:pPr>
        <w:widowControl/>
        <w:spacing w:after="180"/>
        <w:jc w:val="both"/>
        <w:rPr>
          <w:rFonts w:ascii="Times New Roman" w:eastAsia="Times New Roman" w:hAnsi="Times New Roman"/>
        </w:rPr>
      </w:pPr>
      <w:r w:rsidRPr="00F34E52">
        <w:rPr>
          <w:rFonts w:ascii="Times New Roman" w:eastAsia="Times New Roman" w:hAnsi="Times New Roman"/>
        </w:rPr>
        <w:t xml:space="preserve">The initial target market for our Optical Interposer-based optical engine is the </w:t>
      </w:r>
      <w:r>
        <w:rPr>
          <w:rFonts w:ascii="Times New Roman" w:eastAsia="Times New Roman" w:hAnsi="Times New Roman"/>
        </w:rPr>
        <w:t>data center</w:t>
      </w:r>
      <w:r w:rsidRPr="00F34E52">
        <w:rPr>
          <w:rFonts w:ascii="Times New Roman" w:eastAsia="Times New Roman" w:hAnsi="Times New Roman"/>
        </w:rPr>
        <w:t xml:space="preserve"> market</w:t>
      </w:r>
      <w:r>
        <w:rPr>
          <w:rFonts w:ascii="Times New Roman" w:eastAsia="Times New Roman" w:hAnsi="Times New Roman"/>
        </w:rPr>
        <w:t xml:space="preserve"> for data</w:t>
      </w:r>
      <w:r w:rsidR="001D2769">
        <w:rPr>
          <w:rFonts w:ascii="Times New Roman" w:eastAsia="Times New Roman" w:hAnsi="Times New Roman"/>
        </w:rPr>
        <w:t xml:space="preserve"> </w:t>
      </w:r>
      <w:r>
        <w:rPr>
          <w:rFonts w:ascii="Times New Roman" w:eastAsia="Times New Roman" w:hAnsi="Times New Roman"/>
        </w:rPr>
        <w:t xml:space="preserve">communications within the data center and beyond.  We </w:t>
      </w:r>
      <w:r w:rsidRPr="00F34E52">
        <w:rPr>
          <w:rFonts w:ascii="Times New Roman" w:eastAsia="Times New Roman" w:hAnsi="Times New Roman"/>
        </w:rPr>
        <w:t xml:space="preserve">have </w:t>
      </w:r>
      <w:r>
        <w:rPr>
          <w:rFonts w:ascii="Times New Roman" w:eastAsia="Times New Roman" w:hAnsi="Times New Roman"/>
        </w:rPr>
        <w:t>limited</w:t>
      </w:r>
      <w:r w:rsidRPr="00F34E52">
        <w:rPr>
          <w:rFonts w:ascii="Times New Roman" w:eastAsia="Times New Roman" w:hAnsi="Times New Roman"/>
        </w:rPr>
        <w:t xml:space="preserve"> experience in selling products in this market.  We may not be successful in developing a product for this market and even if we do, it may never gain widespread acceptance by large data center operators.</w:t>
      </w:r>
      <w:r w:rsidR="005973BA">
        <w:rPr>
          <w:rFonts w:ascii="Times New Roman" w:eastAsia="Times New Roman" w:hAnsi="Times New Roman"/>
        </w:rPr>
        <w:t xml:space="preserve"> Recent growth in the data center market has been driven by the need to support the expanding use of Artificial Intelligence, which may not be sustainable.</w:t>
      </w:r>
      <w:r w:rsidRPr="00F34E52">
        <w:rPr>
          <w:rFonts w:ascii="Times New Roman" w:eastAsia="Times New Roman" w:hAnsi="Times New Roman"/>
        </w:rPr>
        <w:t xml:space="preserve"> If our expectations for the growth of the </w:t>
      </w:r>
      <w:r>
        <w:rPr>
          <w:rFonts w:ascii="Times New Roman" w:eastAsia="Times New Roman" w:hAnsi="Times New Roman"/>
        </w:rPr>
        <w:t xml:space="preserve">data center / </w:t>
      </w:r>
      <w:r w:rsidRPr="00F34E52">
        <w:rPr>
          <w:rFonts w:ascii="Times New Roman" w:eastAsia="Times New Roman" w:hAnsi="Times New Roman"/>
        </w:rPr>
        <w:t>datacom market are not realized, our financial condition or results of operations may be adversely affected.</w:t>
      </w:r>
    </w:p>
    <w:p w14:paraId="762BD2B6" w14:textId="77777777" w:rsidR="009E1ED3" w:rsidRPr="00F34E52" w:rsidRDefault="004928E7" w:rsidP="0023210C">
      <w:pPr>
        <w:widowControl/>
        <w:spacing w:after="180"/>
        <w:jc w:val="both"/>
        <w:rPr>
          <w:rFonts w:ascii="Times New Roman" w:eastAsia="Times New Roman" w:hAnsi="Times New Roman"/>
        </w:rPr>
      </w:pPr>
      <w:r w:rsidRPr="00F34E52">
        <w:rPr>
          <w:rFonts w:ascii="Times New Roman" w:eastAsia="Times New Roman" w:hAnsi="Times New Roman"/>
          <w:b/>
          <w:bCs/>
          <w:i/>
          <w:iCs/>
        </w:rPr>
        <w:t>Customer demand is difficult to forecast accurately and, as a result, we may be unable to match production with customer demand.</w:t>
      </w:r>
    </w:p>
    <w:p w14:paraId="0A3F810A" w14:textId="77777777" w:rsidR="009E1ED3" w:rsidRPr="00F34E52" w:rsidRDefault="004928E7" w:rsidP="0023210C">
      <w:pPr>
        <w:widowControl/>
        <w:spacing w:after="180"/>
        <w:jc w:val="both"/>
        <w:rPr>
          <w:rFonts w:ascii="Times New Roman" w:eastAsia="Times New Roman" w:hAnsi="Times New Roman"/>
        </w:rPr>
      </w:pPr>
      <w:r w:rsidRPr="00F34E52">
        <w:rPr>
          <w:rFonts w:ascii="Times New Roman" w:eastAsia="Times New Roman" w:hAnsi="Times New Roman"/>
        </w:rPr>
        <w:t xml:space="preserve">We make planning and spending decisions, including determining the levels of business that we will seek and accept, production schedules, component procurement commitments, personnel needs and other resource requirements, based on our estimates of product demand and customer requirements. Our products are typically sold pursuant to individual purchase orders. While our customers may provide us with their demand forecasts, they are typically not contractually committed to buy any quantity of products beyond firm purchase orders. Furthermore, many of our customers may increase, decrease, cancel or delay purchase orders already in place without significant penalty. The short-term nature of commitments by our </w:t>
      </w:r>
      <w:r>
        <w:rPr>
          <w:rFonts w:ascii="Times New Roman" w:eastAsia="Times New Roman" w:hAnsi="Times New Roman"/>
        </w:rPr>
        <w:t xml:space="preserve">expected </w:t>
      </w:r>
      <w:r w:rsidRPr="00F34E52">
        <w:rPr>
          <w:rFonts w:ascii="Times New Roman" w:eastAsia="Times New Roman" w:hAnsi="Times New Roman"/>
        </w:rPr>
        <w:t>customers and the possibility of unexpected changes in demand for their products reduce our ability to accurately estimate future customer requirements.  If any of our customers decrease, stop or delay purchasing our products for any reason, we will likely have excess manufacturing capacity or inventory and our business and results of operations would be harmed.  </w:t>
      </w:r>
    </w:p>
    <w:p w14:paraId="414605EB" w14:textId="77777777" w:rsidR="009E1ED3" w:rsidRPr="00F34E52" w:rsidRDefault="004928E7" w:rsidP="0023210C">
      <w:pPr>
        <w:widowControl/>
        <w:spacing w:after="180"/>
        <w:jc w:val="both"/>
        <w:outlineLvl w:val="0"/>
        <w:rPr>
          <w:rFonts w:ascii="Times New Roman" w:eastAsia="Times New Roman" w:hAnsi="Times New Roman"/>
        </w:rPr>
      </w:pPr>
      <w:r w:rsidRPr="00F34E52">
        <w:rPr>
          <w:rFonts w:ascii="Times New Roman" w:eastAsia="Times New Roman" w:hAnsi="Times New Roman"/>
          <w:b/>
          <w:bCs/>
          <w:i/>
          <w:iCs/>
        </w:rPr>
        <w:t>The markets in which we operate are highly competitive, which could result in lost sales and lower revenues.</w:t>
      </w:r>
    </w:p>
    <w:p w14:paraId="365DE56F" w14:textId="77777777" w:rsidR="009E1ED3" w:rsidRPr="00F34E52" w:rsidRDefault="004928E7" w:rsidP="0023210C">
      <w:pPr>
        <w:widowControl/>
        <w:spacing w:after="180"/>
        <w:jc w:val="both"/>
        <w:rPr>
          <w:rFonts w:ascii="Times New Roman" w:eastAsia="Times New Roman" w:hAnsi="Times New Roman"/>
        </w:rPr>
      </w:pPr>
      <w:r w:rsidRPr="00F34E52">
        <w:rPr>
          <w:rFonts w:ascii="Times New Roman" w:eastAsia="Times New Roman" w:hAnsi="Times New Roman"/>
        </w:rPr>
        <w:t xml:space="preserve">The market for optical components and modules is highly competitive and this competition could result in our existing customers moving their orders to our competitors. We are aware of </w:t>
      </w:r>
      <w:proofErr w:type="gramStart"/>
      <w:r w:rsidRPr="00F34E52">
        <w:rPr>
          <w:rFonts w:ascii="Times New Roman" w:eastAsia="Times New Roman" w:hAnsi="Times New Roman"/>
        </w:rPr>
        <w:t>a number of</w:t>
      </w:r>
      <w:proofErr w:type="gramEnd"/>
      <w:r w:rsidRPr="00F34E52">
        <w:rPr>
          <w:rFonts w:ascii="Times New Roman" w:eastAsia="Times New Roman" w:hAnsi="Times New Roman"/>
        </w:rPr>
        <w:t xml:space="preserve"> companies that have developed or are developing </w:t>
      </w:r>
      <w:r>
        <w:rPr>
          <w:rFonts w:ascii="Times New Roman" w:eastAsia="Times New Roman" w:hAnsi="Times New Roman"/>
        </w:rPr>
        <w:t xml:space="preserve">integrated </w:t>
      </w:r>
      <w:r w:rsidRPr="00F34E52">
        <w:rPr>
          <w:rFonts w:ascii="Times New Roman" w:eastAsia="Times New Roman" w:hAnsi="Times New Roman"/>
        </w:rPr>
        <w:t xml:space="preserve">optical products, including </w:t>
      </w:r>
      <w:r>
        <w:rPr>
          <w:rFonts w:ascii="Times New Roman" w:eastAsia="Times New Roman" w:hAnsi="Times New Roman"/>
        </w:rPr>
        <w:t>silicon photonics engines</w:t>
      </w:r>
      <w:r w:rsidRPr="00F34E52">
        <w:rPr>
          <w:rFonts w:ascii="Times New Roman" w:eastAsia="Times New Roman" w:hAnsi="Times New Roman"/>
        </w:rPr>
        <w:t xml:space="preserve">, </w:t>
      </w:r>
      <w:r>
        <w:rPr>
          <w:rFonts w:ascii="Times New Roman" w:eastAsia="Times New Roman" w:hAnsi="Times New Roman"/>
        </w:rPr>
        <w:t>remote light sources</w:t>
      </w:r>
      <w:r w:rsidRPr="00F34E52">
        <w:rPr>
          <w:rFonts w:ascii="Times New Roman" w:eastAsia="Times New Roman" w:hAnsi="Times New Roman"/>
        </w:rPr>
        <w:t xml:space="preserve">, pluggable components, modules and subsystems, photonic integrated </w:t>
      </w:r>
      <w:r w:rsidRPr="00F9165B">
        <w:rPr>
          <w:rFonts w:ascii="Times New Roman" w:eastAsia="Times New Roman" w:hAnsi="Times New Roman"/>
        </w:rPr>
        <w:t xml:space="preserve">circuits, </w:t>
      </w:r>
      <w:r w:rsidRPr="009367D9">
        <w:rPr>
          <w:rFonts w:ascii="Times New Roman" w:eastAsia="Times New Roman" w:hAnsi="Times New Roman"/>
        </w:rPr>
        <w:t xml:space="preserve">among others, that compete </w:t>
      </w:r>
      <w:r w:rsidRPr="000A3A42">
        <w:rPr>
          <w:rFonts w:ascii="Times New Roman" w:eastAsia="Times New Roman" w:hAnsi="Times New Roman"/>
        </w:rPr>
        <w:t xml:space="preserve">(or </w:t>
      </w:r>
      <w:proofErr w:type="gramStart"/>
      <w:r w:rsidRPr="000A3A42">
        <w:rPr>
          <w:rFonts w:ascii="Times New Roman" w:eastAsia="Times New Roman" w:hAnsi="Times New Roman"/>
        </w:rPr>
        <w:t>may in the future</w:t>
      </w:r>
      <w:proofErr w:type="gramEnd"/>
      <w:r w:rsidRPr="000A3A42">
        <w:rPr>
          <w:rFonts w:ascii="Times New Roman" w:eastAsia="Times New Roman" w:hAnsi="Times New Roman"/>
        </w:rPr>
        <w:t xml:space="preserve"> compete) directly with our current and proposed product offerings.</w:t>
      </w:r>
    </w:p>
    <w:p w14:paraId="4B379DBA" w14:textId="77777777" w:rsidR="009E1ED3" w:rsidRDefault="004928E7" w:rsidP="0023210C">
      <w:pPr>
        <w:widowControl/>
        <w:spacing w:after="180"/>
        <w:jc w:val="both"/>
        <w:rPr>
          <w:rFonts w:ascii="Times New Roman" w:eastAsia="Times New Roman" w:hAnsi="Times New Roman"/>
        </w:rPr>
      </w:pPr>
      <w:r w:rsidRPr="00F34E52">
        <w:rPr>
          <w:rFonts w:ascii="Times New Roman" w:eastAsia="Times New Roman" w:hAnsi="Times New Roman"/>
        </w:rPr>
        <w:t>Some of our current competitors, as well as some of our potential competitors, have longer operating histories, greater name recognition, broader customer relationships and industry alliances and substantially greater financial, technical and marketing resources than we do. We may not be able to compete successfully with our competitors and aggressive competition in the market may result in lower prices for our products and/or decreased gross margins. Any such development could have a material adverse effect on our business, financial condition and r</w:t>
      </w:r>
      <w:r>
        <w:rPr>
          <w:rFonts w:ascii="Times New Roman" w:eastAsia="Times New Roman" w:hAnsi="Times New Roman"/>
        </w:rPr>
        <w:t>e</w:t>
      </w:r>
      <w:r w:rsidRPr="00F34E52">
        <w:rPr>
          <w:rFonts w:ascii="Times New Roman" w:eastAsia="Times New Roman" w:hAnsi="Times New Roman"/>
        </w:rPr>
        <w:t>sults of operations.</w:t>
      </w:r>
    </w:p>
    <w:p w14:paraId="2FAAD092" w14:textId="77777777" w:rsidR="00065AD6" w:rsidRDefault="004928E7" w:rsidP="0023210C">
      <w:pPr>
        <w:widowControl/>
        <w:spacing w:after="180"/>
        <w:jc w:val="both"/>
        <w:rPr>
          <w:rFonts w:ascii="Times New Roman" w:eastAsia="Times New Roman" w:hAnsi="Times New Roman"/>
          <w:b/>
          <w:bCs/>
          <w:i/>
          <w:iCs/>
        </w:rPr>
      </w:pPr>
      <w:r w:rsidRPr="00416BA5">
        <w:rPr>
          <w:rFonts w:ascii="Times New Roman" w:eastAsia="Times New Roman" w:hAnsi="Times New Roman"/>
          <w:b/>
          <w:bCs/>
          <w:i/>
          <w:iCs/>
        </w:rPr>
        <w:t>We depend on a limited number of suppliers and key contract manufacturers who</w:t>
      </w:r>
      <w:r w:rsidRPr="00F34E52">
        <w:rPr>
          <w:rFonts w:ascii="Times New Roman" w:eastAsia="Times New Roman" w:hAnsi="Times New Roman"/>
          <w:b/>
          <w:bCs/>
          <w:i/>
          <w:iCs/>
        </w:rPr>
        <w:t xml:space="preserve"> could disrupt our business and technology development activities if they stopped, decreased, delayed or were unable to meet our demand for shipments of their products or manufacturing of our products</w:t>
      </w:r>
      <w:r w:rsidR="00D42EE7">
        <w:rPr>
          <w:rFonts w:ascii="Times New Roman" w:eastAsia="Times New Roman" w:hAnsi="Times New Roman"/>
          <w:b/>
          <w:bCs/>
          <w:i/>
          <w:iCs/>
        </w:rPr>
        <w:t>.</w:t>
      </w:r>
    </w:p>
    <w:p w14:paraId="47104F60" w14:textId="77777777" w:rsidR="004F1C7D" w:rsidRPr="00F34E52" w:rsidRDefault="004928E7" w:rsidP="0023210C">
      <w:pPr>
        <w:widowControl/>
        <w:spacing w:after="180"/>
        <w:jc w:val="both"/>
        <w:rPr>
          <w:rFonts w:ascii="Times New Roman" w:hAnsi="Times New Roman"/>
          <w:bCs/>
        </w:rPr>
      </w:pPr>
      <w:r w:rsidRPr="00F34E52">
        <w:rPr>
          <w:rFonts w:ascii="Times New Roman" w:eastAsia="Times New Roman" w:hAnsi="Times New Roman"/>
        </w:rPr>
        <w:lastRenderedPageBreak/>
        <w:t xml:space="preserve">We depend on a limited number of suppliers of epitaxial wafers and contract manufacturers for our Indium Phosphide (“InP”) </w:t>
      </w:r>
      <w:r w:rsidR="0060664B">
        <w:rPr>
          <w:rFonts w:ascii="Times New Roman" w:eastAsia="Times New Roman" w:hAnsi="Times New Roman"/>
        </w:rPr>
        <w:t xml:space="preserve">laser </w:t>
      </w:r>
      <w:r w:rsidRPr="00F34E52">
        <w:rPr>
          <w:rFonts w:ascii="Times New Roman" w:eastAsia="Times New Roman" w:hAnsi="Times New Roman"/>
        </w:rPr>
        <w:t>development</w:t>
      </w:r>
      <w:r w:rsidR="0060664B">
        <w:rPr>
          <w:rFonts w:ascii="Times New Roman" w:eastAsia="Times New Roman" w:hAnsi="Times New Roman"/>
        </w:rPr>
        <w:t>s</w:t>
      </w:r>
      <w:r w:rsidRPr="00F34E52">
        <w:rPr>
          <w:rFonts w:ascii="Times New Roman" w:eastAsia="Times New Roman" w:hAnsi="Times New Roman"/>
        </w:rPr>
        <w:t xml:space="preserve"> and </w:t>
      </w:r>
      <w:r w:rsidR="009E1ED3">
        <w:rPr>
          <w:rFonts w:ascii="Times New Roman" w:eastAsia="Times New Roman" w:hAnsi="Times New Roman"/>
        </w:rPr>
        <w:t xml:space="preserve">optical interposer </w:t>
      </w:r>
      <w:r w:rsidRPr="00F34E52">
        <w:rPr>
          <w:rFonts w:ascii="Times New Roman" w:eastAsia="Times New Roman" w:hAnsi="Times New Roman"/>
        </w:rPr>
        <w:t xml:space="preserve">production activities. Some of these suppliers are sole source suppliers. We typically have not entered into long-term agreements with our suppliers. As a result, these suppliers generally may stop supplying us materials and other components at any time. Our reliance on a sole supplier or limited number of suppliers could result in delivery problems, reduced control over technology development, product development, pricing and quality, and an inability to identify and qualify another supplier in a timely manner. Some of our suppliers that may be small or under-capitalized may experience financial difficulties that could prevent them from supplying us materials and other components. In addition, our suppliers, including our sole source suppliers, may experience manufacturing delays or shutdowns due to circumstances beyond their control such as </w:t>
      </w:r>
      <w:r w:rsidR="002A0F2A">
        <w:rPr>
          <w:rFonts w:ascii="Times New Roman" w:eastAsia="Times New Roman" w:hAnsi="Times New Roman"/>
        </w:rPr>
        <w:t xml:space="preserve">pandemics, </w:t>
      </w:r>
      <w:r w:rsidRPr="00F34E52">
        <w:rPr>
          <w:rFonts w:ascii="Times New Roman" w:eastAsia="Times New Roman" w:hAnsi="Times New Roman"/>
        </w:rPr>
        <w:t xml:space="preserve">earthquakes, floods, fires, labor unrest, political unrest or other natural disasters. </w:t>
      </w:r>
      <w:r w:rsidRPr="00F34E52">
        <w:rPr>
          <w:rFonts w:ascii="Times New Roman" w:hAnsi="Times New Roman"/>
          <w:bCs/>
        </w:rPr>
        <w:t xml:space="preserve">A </w:t>
      </w:r>
      <w:r w:rsidR="00F23ABA" w:rsidRPr="00F34E52">
        <w:rPr>
          <w:rFonts w:ascii="Times New Roman" w:hAnsi="Times New Roman"/>
          <w:bCs/>
        </w:rPr>
        <w:t xml:space="preserve">change </w:t>
      </w:r>
      <w:r w:rsidRPr="00F34E52">
        <w:rPr>
          <w:rFonts w:ascii="Times New Roman" w:hAnsi="Times New Roman"/>
          <w:bCs/>
        </w:rPr>
        <w:t>in supplier could require technology transfer that could require multiple iterations of test wafers. This could result in significant delays in resumption of production.</w:t>
      </w:r>
    </w:p>
    <w:p w14:paraId="57C1E3A6" w14:textId="77777777" w:rsidR="00580F8F" w:rsidRPr="00F34E52" w:rsidRDefault="004928E7" w:rsidP="0023210C">
      <w:pPr>
        <w:widowControl/>
        <w:spacing w:after="180"/>
        <w:jc w:val="both"/>
        <w:rPr>
          <w:rFonts w:ascii="Times New Roman" w:eastAsia="Times New Roman" w:hAnsi="Times New Roman"/>
        </w:rPr>
      </w:pPr>
      <w:r w:rsidRPr="00F34E52">
        <w:rPr>
          <w:rFonts w:ascii="Times New Roman" w:eastAsia="Times New Roman" w:hAnsi="Times New Roman"/>
        </w:rPr>
        <w:t xml:space="preserve">Any supply deficiencies relating to the quality or quantities of materials or equipment we use to manufacture our products could materially and adversely affect our ability to fulfill customer orders and our results of operations. Lead times for the purchase of certain materials and equipment from suppliers have increased </w:t>
      </w:r>
      <w:r w:rsidR="00A01D9F" w:rsidRPr="00F34E52">
        <w:rPr>
          <w:rFonts w:ascii="Times New Roman" w:eastAsia="Times New Roman" w:hAnsi="Times New Roman"/>
        </w:rPr>
        <w:t>and, in some cases,</w:t>
      </w:r>
      <w:r w:rsidRPr="00F34E52">
        <w:rPr>
          <w:rFonts w:ascii="Times New Roman" w:eastAsia="Times New Roman" w:hAnsi="Times New Roman"/>
        </w:rPr>
        <w:t xml:space="preserve"> have limited our ability to rapidly respond to increased demand, and may continue to do so in the future. To the extent we introduce additional contract manufacturing partners, introduce new products with new partners and/or move existing internal or external production lines to new partners, we could experience supply disruptions during the transition process. In addition, due to our customers’ requirements relating to the </w:t>
      </w:r>
      <w:proofErr w:type="gramStart"/>
      <w:r w:rsidRPr="00F34E52">
        <w:rPr>
          <w:rFonts w:ascii="Times New Roman" w:eastAsia="Times New Roman" w:hAnsi="Times New Roman"/>
        </w:rPr>
        <w:t>qualification</w:t>
      </w:r>
      <w:proofErr w:type="gramEnd"/>
      <w:r w:rsidRPr="00F34E52">
        <w:rPr>
          <w:rFonts w:ascii="Times New Roman" w:eastAsia="Times New Roman" w:hAnsi="Times New Roman"/>
        </w:rPr>
        <w:t xml:space="preserve"> of our suppliers and contract manufacturing facilities and operations, we cannot quickly </w:t>
      </w:r>
      <w:proofErr w:type="gramStart"/>
      <w:r w:rsidRPr="00F34E52">
        <w:rPr>
          <w:rFonts w:ascii="Times New Roman" w:eastAsia="Times New Roman" w:hAnsi="Times New Roman"/>
        </w:rPr>
        <w:t>enter into</w:t>
      </w:r>
      <w:proofErr w:type="gramEnd"/>
      <w:r w:rsidRPr="00F34E52">
        <w:rPr>
          <w:rFonts w:ascii="Times New Roman" w:eastAsia="Times New Roman" w:hAnsi="Times New Roman"/>
        </w:rPr>
        <w:t xml:space="preserve"> alternative supplier </w:t>
      </w:r>
      <w:r w:rsidR="00A063ED" w:rsidRPr="00F34E52">
        <w:rPr>
          <w:rFonts w:ascii="Times New Roman" w:eastAsia="Times New Roman" w:hAnsi="Times New Roman"/>
        </w:rPr>
        <w:t>relationships, which prevent</w:t>
      </w:r>
      <w:r w:rsidRPr="00F34E52">
        <w:rPr>
          <w:rFonts w:ascii="Times New Roman" w:eastAsia="Times New Roman" w:hAnsi="Times New Roman"/>
        </w:rPr>
        <w:t xml:space="preserve"> us from being able to respond immediately to adverse events affecting our suppliers.</w:t>
      </w:r>
    </w:p>
    <w:p w14:paraId="444745F9" w14:textId="77777777" w:rsidR="00580F8F" w:rsidRPr="00F34E52" w:rsidRDefault="004928E7" w:rsidP="0023210C">
      <w:pPr>
        <w:widowControl/>
        <w:spacing w:after="180"/>
        <w:jc w:val="both"/>
        <w:outlineLvl w:val="0"/>
        <w:rPr>
          <w:rFonts w:ascii="Times New Roman" w:eastAsia="Times New Roman" w:hAnsi="Times New Roman"/>
          <w:b/>
          <w:bCs/>
          <w:i/>
          <w:iCs/>
        </w:rPr>
      </w:pPr>
      <w:r w:rsidRPr="00F34E52">
        <w:rPr>
          <w:rFonts w:ascii="Times New Roman" w:eastAsia="Times New Roman" w:hAnsi="Times New Roman"/>
          <w:b/>
          <w:bCs/>
          <w:i/>
          <w:iCs/>
        </w:rPr>
        <w:t>Our international business and operations expose us to additional risks.</w:t>
      </w:r>
    </w:p>
    <w:p w14:paraId="7D544628" w14:textId="77777777" w:rsidR="00580F8F" w:rsidRPr="00F34E52" w:rsidRDefault="004928E7" w:rsidP="0023210C">
      <w:pPr>
        <w:widowControl/>
        <w:spacing w:after="180"/>
        <w:jc w:val="both"/>
        <w:rPr>
          <w:rFonts w:ascii="Times New Roman" w:eastAsia="Times New Roman" w:hAnsi="Times New Roman"/>
          <w:bCs/>
          <w:iCs/>
        </w:rPr>
      </w:pPr>
      <w:r w:rsidRPr="000F26A9">
        <w:rPr>
          <w:rFonts w:ascii="Times New Roman" w:eastAsia="Times New Roman" w:hAnsi="Times New Roman"/>
          <w:bCs/>
          <w:iCs/>
        </w:rPr>
        <w:t>W</w:t>
      </w:r>
      <w:r w:rsidRPr="00F34E52">
        <w:rPr>
          <w:rFonts w:ascii="Times New Roman" w:eastAsia="Times New Roman" w:hAnsi="Times New Roman"/>
          <w:bCs/>
          <w:iCs/>
        </w:rPr>
        <w:t>e have significant tangible assets located outside the United States</w:t>
      </w:r>
      <w:r>
        <w:rPr>
          <w:rFonts w:ascii="Times New Roman" w:eastAsia="Times New Roman" w:hAnsi="Times New Roman"/>
          <w:bCs/>
          <w:iCs/>
        </w:rPr>
        <w:t xml:space="preserve"> and Canada</w:t>
      </w:r>
      <w:r w:rsidRPr="00F34E52">
        <w:rPr>
          <w:rFonts w:ascii="Times New Roman" w:eastAsia="Times New Roman" w:hAnsi="Times New Roman"/>
          <w:bCs/>
          <w:iCs/>
        </w:rPr>
        <w:t xml:space="preserve">. Conducting business outside Canada and the United States subjects us to </w:t>
      </w:r>
      <w:proofErr w:type="gramStart"/>
      <w:r w:rsidRPr="00F34E52">
        <w:rPr>
          <w:rFonts w:ascii="Times New Roman" w:eastAsia="Times New Roman" w:hAnsi="Times New Roman"/>
          <w:bCs/>
          <w:iCs/>
        </w:rPr>
        <w:t>a number of</w:t>
      </w:r>
      <w:proofErr w:type="gramEnd"/>
      <w:r w:rsidRPr="00F34E52">
        <w:rPr>
          <w:rFonts w:ascii="Times New Roman" w:eastAsia="Times New Roman" w:hAnsi="Times New Roman"/>
          <w:bCs/>
          <w:iCs/>
        </w:rPr>
        <w:t xml:space="preserve"> additional risks and challenges, including:</w:t>
      </w:r>
    </w:p>
    <w:p w14:paraId="25147188" w14:textId="628A4351" w:rsidR="00580F8F" w:rsidRPr="00F34E52" w:rsidRDefault="004928E7" w:rsidP="00E169EB">
      <w:pPr>
        <w:widowControl/>
        <w:numPr>
          <w:ilvl w:val="0"/>
          <w:numId w:val="3"/>
        </w:numPr>
        <w:spacing w:after="180"/>
        <w:jc w:val="both"/>
        <w:rPr>
          <w:rFonts w:ascii="Times New Roman" w:eastAsia="Times New Roman" w:hAnsi="Times New Roman"/>
          <w:bCs/>
          <w:iCs/>
        </w:rPr>
      </w:pPr>
      <w:r w:rsidRPr="00F34E52">
        <w:rPr>
          <w:rFonts w:ascii="Times New Roman" w:eastAsia="Times New Roman" w:hAnsi="Times New Roman"/>
          <w:bCs/>
          <w:iCs/>
        </w:rPr>
        <w:t xml:space="preserve">periodic changes in a specific </w:t>
      </w:r>
      <w:proofErr w:type="gramStart"/>
      <w:r w:rsidRPr="00F34E52">
        <w:rPr>
          <w:rFonts w:ascii="Times New Roman" w:eastAsia="Times New Roman" w:hAnsi="Times New Roman"/>
          <w:bCs/>
          <w:iCs/>
        </w:rPr>
        <w:t>country</w:t>
      </w:r>
      <w:r w:rsidR="006E3065">
        <w:rPr>
          <w:rFonts w:ascii="Times New Roman" w:eastAsia="Times New Roman" w:hAnsi="Times New Roman"/>
          <w:bCs/>
          <w:iCs/>
        </w:rPr>
        <w:t>’</w:t>
      </w:r>
      <w:r w:rsidRPr="00F34E52">
        <w:rPr>
          <w:rFonts w:ascii="Times New Roman" w:eastAsia="Times New Roman" w:hAnsi="Times New Roman"/>
          <w:bCs/>
          <w:iCs/>
        </w:rPr>
        <w:t>s</w:t>
      </w:r>
      <w:proofErr w:type="gramEnd"/>
      <w:r w:rsidRPr="00F34E52">
        <w:rPr>
          <w:rFonts w:ascii="Times New Roman" w:eastAsia="Times New Roman" w:hAnsi="Times New Roman"/>
          <w:bCs/>
          <w:iCs/>
        </w:rPr>
        <w:t xml:space="preserve"> or region</w:t>
      </w:r>
      <w:r w:rsidR="006E3065">
        <w:rPr>
          <w:rFonts w:ascii="Times New Roman" w:eastAsia="Times New Roman" w:hAnsi="Times New Roman"/>
          <w:bCs/>
          <w:iCs/>
        </w:rPr>
        <w:t>’</w:t>
      </w:r>
      <w:r w:rsidRPr="00F34E52">
        <w:rPr>
          <w:rFonts w:ascii="Times New Roman" w:eastAsia="Times New Roman" w:hAnsi="Times New Roman"/>
          <w:bCs/>
          <w:iCs/>
        </w:rPr>
        <w:t xml:space="preserve">s economic conditions, such as </w:t>
      </w:r>
      <w:proofErr w:type="gramStart"/>
      <w:r w:rsidRPr="00F34E52">
        <w:rPr>
          <w:rFonts w:ascii="Times New Roman" w:eastAsia="Times New Roman" w:hAnsi="Times New Roman"/>
          <w:bCs/>
          <w:iCs/>
        </w:rPr>
        <w:t>recession;</w:t>
      </w:r>
      <w:proofErr w:type="gramEnd"/>
    </w:p>
    <w:p w14:paraId="1C5431C5" w14:textId="77777777" w:rsidR="00580F8F" w:rsidRPr="00F34E52" w:rsidRDefault="004928E7" w:rsidP="00E169EB">
      <w:pPr>
        <w:widowControl/>
        <w:numPr>
          <w:ilvl w:val="0"/>
          <w:numId w:val="3"/>
        </w:numPr>
        <w:spacing w:after="180"/>
        <w:jc w:val="both"/>
        <w:rPr>
          <w:rFonts w:ascii="Times New Roman" w:eastAsia="Times New Roman" w:hAnsi="Times New Roman"/>
          <w:bCs/>
          <w:iCs/>
        </w:rPr>
      </w:pPr>
      <w:r w:rsidRPr="00F34E52">
        <w:rPr>
          <w:rFonts w:ascii="Times New Roman" w:eastAsia="Times New Roman" w:hAnsi="Times New Roman"/>
          <w:bCs/>
          <w:iCs/>
        </w:rPr>
        <w:t xml:space="preserve">licenses and other trade </w:t>
      </w:r>
      <w:proofErr w:type="gramStart"/>
      <w:r w:rsidRPr="00F34E52">
        <w:rPr>
          <w:rFonts w:ascii="Times New Roman" w:eastAsia="Times New Roman" w:hAnsi="Times New Roman"/>
          <w:bCs/>
          <w:iCs/>
        </w:rPr>
        <w:t>barriers;</w:t>
      </w:r>
      <w:proofErr w:type="gramEnd"/>
      <w:r w:rsidRPr="00F34E52">
        <w:rPr>
          <w:rFonts w:ascii="Times New Roman" w:eastAsia="Times New Roman" w:hAnsi="Times New Roman"/>
          <w:bCs/>
          <w:iCs/>
        </w:rPr>
        <w:t xml:space="preserve"> </w:t>
      </w:r>
    </w:p>
    <w:p w14:paraId="6506115B" w14:textId="77777777" w:rsidR="00580F8F" w:rsidRPr="00F34E52" w:rsidRDefault="004928E7" w:rsidP="00E169EB">
      <w:pPr>
        <w:widowControl/>
        <w:numPr>
          <w:ilvl w:val="0"/>
          <w:numId w:val="3"/>
        </w:numPr>
        <w:spacing w:after="180"/>
        <w:jc w:val="both"/>
        <w:rPr>
          <w:rFonts w:ascii="Times New Roman" w:eastAsia="Times New Roman" w:hAnsi="Times New Roman"/>
          <w:bCs/>
          <w:iCs/>
        </w:rPr>
      </w:pPr>
      <w:r w:rsidRPr="00F34E52">
        <w:rPr>
          <w:rFonts w:ascii="Times New Roman" w:eastAsia="Times New Roman" w:hAnsi="Times New Roman"/>
          <w:bCs/>
          <w:iCs/>
        </w:rPr>
        <w:t xml:space="preserve">the provision of services may require export </w:t>
      </w:r>
      <w:proofErr w:type="gramStart"/>
      <w:r w:rsidRPr="00F34E52">
        <w:rPr>
          <w:rFonts w:ascii="Times New Roman" w:eastAsia="Times New Roman" w:hAnsi="Times New Roman"/>
          <w:bCs/>
          <w:iCs/>
        </w:rPr>
        <w:t>licenses;</w:t>
      </w:r>
      <w:proofErr w:type="gramEnd"/>
    </w:p>
    <w:p w14:paraId="34D4B224" w14:textId="77777777" w:rsidR="00580F8F" w:rsidRPr="00F34E52" w:rsidRDefault="004928E7" w:rsidP="00E169EB">
      <w:pPr>
        <w:widowControl/>
        <w:numPr>
          <w:ilvl w:val="0"/>
          <w:numId w:val="3"/>
        </w:numPr>
        <w:spacing w:after="180"/>
        <w:jc w:val="both"/>
        <w:rPr>
          <w:rFonts w:ascii="Times New Roman" w:eastAsia="Times New Roman" w:hAnsi="Times New Roman"/>
          <w:bCs/>
          <w:iCs/>
        </w:rPr>
      </w:pPr>
      <w:r w:rsidRPr="00F34E52">
        <w:rPr>
          <w:rFonts w:ascii="Times New Roman" w:eastAsia="Times New Roman" w:hAnsi="Times New Roman"/>
          <w:bCs/>
          <w:iCs/>
        </w:rPr>
        <w:t xml:space="preserve">environmental </w:t>
      </w:r>
      <w:proofErr w:type="gramStart"/>
      <w:r w:rsidR="00EE4046" w:rsidRPr="00F34E52">
        <w:rPr>
          <w:rFonts w:ascii="Times New Roman" w:eastAsia="Times New Roman" w:hAnsi="Times New Roman"/>
          <w:bCs/>
          <w:iCs/>
        </w:rPr>
        <w:t>regulations;</w:t>
      </w:r>
      <w:proofErr w:type="gramEnd"/>
    </w:p>
    <w:p w14:paraId="5EC2E000" w14:textId="77777777" w:rsidR="00580F8F" w:rsidRPr="00F34E52" w:rsidRDefault="004928E7" w:rsidP="00E169EB">
      <w:pPr>
        <w:widowControl/>
        <w:numPr>
          <w:ilvl w:val="0"/>
          <w:numId w:val="3"/>
        </w:numPr>
        <w:spacing w:after="180"/>
        <w:jc w:val="both"/>
        <w:rPr>
          <w:rFonts w:ascii="Times New Roman" w:eastAsia="Times New Roman" w:hAnsi="Times New Roman"/>
          <w:bCs/>
          <w:iCs/>
        </w:rPr>
      </w:pPr>
      <w:r w:rsidRPr="00F34E52">
        <w:rPr>
          <w:rFonts w:ascii="Times New Roman" w:eastAsia="Times New Roman" w:hAnsi="Times New Roman"/>
          <w:bCs/>
          <w:iCs/>
        </w:rPr>
        <w:t xml:space="preserve">certification </w:t>
      </w:r>
      <w:proofErr w:type="gramStart"/>
      <w:r w:rsidRPr="00F34E52">
        <w:rPr>
          <w:rFonts w:ascii="Times New Roman" w:eastAsia="Times New Roman" w:hAnsi="Times New Roman"/>
          <w:bCs/>
          <w:iCs/>
        </w:rPr>
        <w:t>requirements;</w:t>
      </w:r>
      <w:proofErr w:type="gramEnd"/>
    </w:p>
    <w:p w14:paraId="7518406E" w14:textId="77777777" w:rsidR="00580F8F" w:rsidRPr="00F34E52" w:rsidRDefault="004928E7" w:rsidP="00E169EB">
      <w:pPr>
        <w:widowControl/>
        <w:numPr>
          <w:ilvl w:val="0"/>
          <w:numId w:val="3"/>
        </w:numPr>
        <w:spacing w:after="180"/>
        <w:jc w:val="both"/>
        <w:rPr>
          <w:rFonts w:ascii="Times New Roman" w:eastAsia="Times New Roman" w:hAnsi="Times New Roman"/>
          <w:bCs/>
          <w:iCs/>
        </w:rPr>
      </w:pPr>
      <w:r w:rsidRPr="00F34E52">
        <w:rPr>
          <w:rFonts w:ascii="Times New Roman" w:eastAsia="Times New Roman" w:hAnsi="Times New Roman"/>
          <w:bCs/>
          <w:iCs/>
        </w:rPr>
        <w:t xml:space="preserve">fluctuations in foreign currency exchange </w:t>
      </w:r>
      <w:proofErr w:type="gramStart"/>
      <w:r w:rsidRPr="00F34E52">
        <w:rPr>
          <w:rFonts w:ascii="Times New Roman" w:eastAsia="Times New Roman" w:hAnsi="Times New Roman"/>
          <w:bCs/>
          <w:iCs/>
        </w:rPr>
        <w:t>rates;</w:t>
      </w:r>
      <w:proofErr w:type="gramEnd"/>
    </w:p>
    <w:p w14:paraId="3E6CB366" w14:textId="77777777" w:rsidR="00580F8F" w:rsidRPr="00F34E52" w:rsidRDefault="004928E7" w:rsidP="00E169EB">
      <w:pPr>
        <w:widowControl/>
        <w:numPr>
          <w:ilvl w:val="0"/>
          <w:numId w:val="3"/>
        </w:numPr>
        <w:spacing w:after="180"/>
        <w:jc w:val="both"/>
        <w:rPr>
          <w:rFonts w:ascii="Times New Roman" w:eastAsia="Times New Roman" w:hAnsi="Times New Roman"/>
          <w:bCs/>
          <w:iCs/>
        </w:rPr>
      </w:pPr>
      <w:r w:rsidRPr="00F34E52">
        <w:rPr>
          <w:rFonts w:ascii="Times New Roman" w:eastAsia="Times New Roman" w:hAnsi="Times New Roman"/>
          <w:bCs/>
          <w:iCs/>
        </w:rPr>
        <w:t xml:space="preserve">inadequate protection of intellectual property rights in some </w:t>
      </w:r>
      <w:proofErr w:type="gramStart"/>
      <w:r w:rsidRPr="00F34E52">
        <w:rPr>
          <w:rFonts w:ascii="Times New Roman" w:eastAsia="Times New Roman" w:hAnsi="Times New Roman"/>
          <w:bCs/>
          <w:iCs/>
        </w:rPr>
        <w:t>countries;</w:t>
      </w:r>
      <w:proofErr w:type="gramEnd"/>
    </w:p>
    <w:p w14:paraId="6B2B1835" w14:textId="77777777" w:rsidR="00580F8F" w:rsidRPr="00F34E52" w:rsidRDefault="004928E7" w:rsidP="00E169EB">
      <w:pPr>
        <w:widowControl/>
        <w:numPr>
          <w:ilvl w:val="0"/>
          <w:numId w:val="3"/>
        </w:numPr>
        <w:spacing w:after="180"/>
        <w:jc w:val="both"/>
        <w:rPr>
          <w:rFonts w:ascii="Times New Roman" w:eastAsia="Times New Roman" w:hAnsi="Times New Roman"/>
          <w:bCs/>
          <w:iCs/>
        </w:rPr>
      </w:pPr>
      <w:r w:rsidRPr="00F34E52">
        <w:rPr>
          <w:rFonts w:ascii="Times New Roman" w:eastAsia="Times New Roman" w:hAnsi="Times New Roman"/>
          <w:bCs/>
          <w:iCs/>
        </w:rPr>
        <w:t xml:space="preserve">preferences of certain customers for locally produced </w:t>
      </w:r>
      <w:proofErr w:type="gramStart"/>
      <w:r w:rsidRPr="00F34E52">
        <w:rPr>
          <w:rFonts w:ascii="Times New Roman" w:eastAsia="Times New Roman" w:hAnsi="Times New Roman"/>
          <w:bCs/>
          <w:iCs/>
        </w:rPr>
        <w:t>products;</w:t>
      </w:r>
      <w:proofErr w:type="gramEnd"/>
    </w:p>
    <w:p w14:paraId="6F4CA662" w14:textId="77777777" w:rsidR="00580F8F" w:rsidRPr="00F34E52" w:rsidRDefault="004928E7" w:rsidP="00E169EB">
      <w:pPr>
        <w:widowControl/>
        <w:numPr>
          <w:ilvl w:val="0"/>
          <w:numId w:val="3"/>
        </w:numPr>
        <w:spacing w:after="180"/>
        <w:jc w:val="both"/>
        <w:rPr>
          <w:rFonts w:ascii="Times New Roman" w:eastAsia="Times New Roman" w:hAnsi="Times New Roman"/>
          <w:bCs/>
          <w:iCs/>
        </w:rPr>
      </w:pPr>
      <w:r w:rsidRPr="00F34E52">
        <w:rPr>
          <w:rFonts w:ascii="Times New Roman" w:eastAsia="Times New Roman" w:hAnsi="Times New Roman"/>
          <w:bCs/>
          <w:iCs/>
        </w:rPr>
        <w:t xml:space="preserve">potential political, legal and economic instability, foreign conflicts, and the impact of regional and global infectious illnesses in the countries in which we and our customers, suppliers and contract manufacturers are </w:t>
      </w:r>
      <w:proofErr w:type="gramStart"/>
      <w:r w:rsidRPr="00F34E52">
        <w:rPr>
          <w:rFonts w:ascii="Times New Roman" w:eastAsia="Times New Roman" w:hAnsi="Times New Roman"/>
          <w:bCs/>
          <w:iCs/>
        </w:rPr>
        <w:t>located;</w:t>
      </w:r>
      <w:proofErr w:type="gramEnd"/>
    </w:p>
    <w:p w14:paraId="6A97E4A0" w14:textId="77777777" w:rsidR="00580F8F" w:rsidRPr="00F34E52" w:rsidRDefault="004928E7" w:rsidP="00E169EB">
      <w:pPr>
        <w:widowControl/>
        <w:numPr>
          <w:ilvl w:val="0"/>
          <w:numId w:val="3"/>
        </w:numPr>
        <w:spacing w:after="180"/>
        <w:jc w:val="both"/>
        <w:rPr>
          <w:rFonts w:ascii="Times New Roman" w:eastAsia="Times New Roman" w:hAnsi="Times New Roman"/>
          <w:bCs/>
          <w:iCs/>
        </w:rPr>
      </w:pPr>
      <w:r w:rsidRPr="00F34E52">
        <w:rPr>
          <w:rFonts w:ascii="Times New Roman" w:eastAsia="Times New Roman" w:hAnsi="Times New Roman"/>
          <w:bCs/>
          <w:iCs/>
        </w:rPr>
        <w:t xml:space="preserve">Canadian and U. S. and foreign anticorruption </w:t>
      </w:r>
      <w:proofErr w:type="gramStart"/>
      <w:r w:rsidRPr="00F34E52">
        <w:rPr>
          <w:rFonts w:ascii="Times New Roman" w:eastAsia="Times New Roman" w:hAnsi="Times New Roman"/>
          <w:bCs/>
          <w:iCs/>
        </w:rPr>
        <w:t>laws;</w:t>
      </w:r>
      <w:proofErr w:type="gramEnd"/>
    </w:p>
    <w:p w14:paraId="602AC509" w14:textId="77777777" w:rsidR="00580F8F" w:rsidRPr="00F34E52" w:rsidRDefault="004928E7" w:rsidP="00E169EB">
      <w:pPr>
        <w:widowControl/>
        <w:numPr>
          <w:ilvl w:val="0"/>
          <w:numId w:val="3"/>
        </w:numPr>
        <w:spacing w:after="180"/>
        <w:jc w:val="both"/>
        <w:rPr>
          <w:rFonts w:ascii="Times New Roman" w:eastAsia="Times New Roman" w:hAnsi="Times New Roman"/>
          <w:bCs/>
          <w:iCs/>
        </w:rPr>
      </w:pPr>
      <w:r w:rsidRPr="00F34E52">
        <w:rPr>
          <w:rFonts w:ascii="Times New Roman" w:eastAsia="Times New Roman" w:hAnsi="Times New Roman"/>
          <w:bCs/>
          <w:iCs/>
        </w:rPr>
        <w:lastRenderedPageBreak/>
        <w:t>seasonal reductions in business activities in certain countries or regions; and</w:t>
      </w:r>
    </w:p>
    <w:p w14:paraId="63D5CE39" w14:textId="77777777" w:rsidR="00580F8F" w:rsidRPr="00F34E52" w:rsidRDefault="004928E7" w:rsidP="00E169EB">
      <w:pPr>
        <w:widowControl/>
        <w:numPr>
          <w:ilvl w:val="0"/>
          <w:numId w:val="3"/>
        </w:numPr>
        <w:spacing w:after="180"/>
        <w:jc w:val="both"/>
        <w:rPr>
          <w:rFonts w:ascii="Times New Roman" w:eastAsia="Times New Roman" w:hAnsi="Times New Roman"/>
          <w:bCs/>
          <w:iCs/>
        </w:rPr>
      </w:pPr>
      <w:r w:rsidRPr="00F34E52">
        <w:rPr>
          <w:rFonts w:ascii="Times New Roman" w:eastAsia="Times New Roman" w:hAnsi="Times New Roman"/>
          <w:bCs/>
          <w:iCs/>
        </w:rPr>
        <w:t>fluctuations in freight rates and transportation disruptions.</w:t>
      </w:r>
    </w:p>
    <w:p w14:paraId="1C554663" w14:textId="77777777" w:rsidR="00580F8F" w:rsidRPr="00F34E52" w:rsidRDefault="004928E7" w:rsidP="0023210C">
      <w:pPr>
        <w:widowControl/>
        <w:spacing w:after="180"/>
        <w:jc w:val="both"/>
        <w:rPr>
          <w:rFonts w:ascii="Times New Roman" w:eastAsia="Times New Roman" w:hAnsi="Times New Roman"/>
          <w:bCs/>
          <w:iCs/>
        </w:rPr>
      </w:pPr>
      <w:r w:rsidRPr="00F34E52">
        <w:rPr>
          <w:rFonts w:ascii="Times New Roman" w:eastAsia="Times New Roman" w:hAnsi="Times New Roman"/>
          <w:bCs/>
          <w:iCs/>
        </w:rPr>
        <w:t>These factors, individually or in combination, could impair our ability to effectively operate one or more of our foreign facilities or deliver our products, result in unexpected and material expenses, or cause an unexpected decline in the demand for our products in certain countries or regions. Our failure to manage the risks and challenges associated with our international business and operations could have a material adverse effect on our business.</w:t>
      </w:r>
    </w:p>
    <w:p w14:paraId="0E7A0A1A" w14:textId="77777777" w:rsidR="00580F8F" w:rsidRPr="00F34E52" w:rsidRDefault="004928E7" w:rsidP="0023210C">
      <w:pPr>
        <w:widowControl/>
        <w:spacing w:after="180"/>
        <w:jc w:val="both"/>
        <w:outlineLvl w:val="0"/>
        <w:rPr>
          <w:rFonts w:ascii="Times New Roman" w:eastAsia="Times New Roman" w:hAnsi="Times New Roman"/>
        </w:rPr>
      </w:pPr>
      <w:r w:rsidRPr="00F34E52">
        <w:rPr>
          <w:rFonts w:ascii="Times New Roman" w:eastAsia="Times New Roman" w:hAnsi="Times New Roman"/>
          <w:b/>
          <w:bCs/>
          <w:i/>
          <w:iCs/>
        </w:rPr>
        <w:t>If we fail to attract and retain key personnel, our business could suffer.</w:t>
      </w:r>
    </w:p>
    <w:p w14:paraId="7AE23B84" w14:textId="77777777" w:rsidR="00145985" w:rsidRDefault="004928E7" w:rsidP="0023210C">
      <w:pPr>
        <w:widowControl/>
        <w:spacing w:after="180"/>
        <w:jc w:val="both"/>
        <w:rPr>
          <w:rFonts w:ascii="Times New Roman" w:eastAsia="Times New Roman" w:hAnsi="Times New Roman"/>
          <w:b/>
          <w:bCs/>
          <w:i/>
          <w:iCs/>
        </w:rPr>
      </w:pPr>
      <w:r w:rsidRPr="00F34E52">
        <w:rPr>
          <w:rFonts w:ascii="Times New Roman" w:eastAsia="Times New Roman" w:hAnsi="Times New Roman"/>
        </w:rPr>
        <w:t>Our future success depends, in part, on our ability to attract and retain key personnel, including executive management. Competition for highly skilled technical personnel is extremely intense and we may face difficulty identifying and hiring qualified engineers in many areas of our business. We may not be able to hire and retain such personnel at compensation levels consistent with our existing compensation and salary structure. Our future success also depends on the continued contributions of our executive management team and other key management and technical personnel, each of whom would be difficult to replace. The loss of services of these or other executive officers or key personnel or the inability to continue to attract qualified personnel could have a material adverse effect on our business.</w:t>
      </w:r>
    </w:p>
    <w:p w14:paraId="5412405F" w14:textId="77777777" w:rsidR="009E1ED3" w:rsidRPr="00F34E52" w:rsidRDefault="004928E7" w:rsidP="0023210C">
      <w:pPr>
        <w:widowControl/>
        <w:spacing w:after="180"/>
        <w:jc w:val="both"/>
        <w:rPr>
          <w:rFonts w:ascii="Times New Roman" w:eastAsia="Times New Roman" w:hAnsi="Times New Roman"/>
          <w:b/>
          <w:bCs/>
          <w:i/>
          <w:iCs/>
        </w:rPr>
      </w:pPr>
      <w:r w:rsidRPr="00F34E52">
        <w:rPr>
          <w:rFonts w:ascii="Times New Roman" w:eastAsia="Times New Roman" w:hAnsi="Times New Roman"/>
          <w:b/>
          <w:bCs/>
          <w:i/>
          <w:iCs/>
        </w:rPr>
        <w:t>Our predecessor company received subsidies and other types of funding from government agencies.</w:t>
      </w:r>
      <w:r>
        <w:rPr>
          <w:rFonts w:ascii="Times New Roman" w:eastAsia="Times New Roman" w:hAnsi="Times New Roman"/>
          <w:b/>
          <w:bCs/>
          <w:i/>
          <w:iCs/>
        </w:rPr>
        <w:t xml:space="preserve"> </w:t>
      </w:r>
      <w:r w:rsidRPr="00F34E52">
        <w:rPr>
          <w:rFonts w:ascii="Times New Roman" w:eastAsia="Times New Roman" w:hAnsi="Times New Roman"/>
          <w:b/>
          <w:bCs/>
          <w:i/>
          <w:iCs/>
        </w:rPr>
        <w:t xml:space="preserve">The funding agreements stipulate that if we do not comply with various covenants, including eligibility requirements, and/or do not achieve certain pre-defined objectives, those government agencies may reclaim all or a portion of the funding provided. </w:t>
      </w:r>
      <w:r>
        <w:rPr>
          <w:rFonts w:ascii="Times New Roman" w:eastAsia="Times New Roman" w:hAnsi="Times New Roman"/>
          <w:b/>
          <w:bCs/>
          <w:i/>
          <w:iCs/>
        </w:rPr>
        <w:t xml:space="preserve">If they find that we were ineligible for such funding, then they may both reclaim the funds and add penalties and interest. </w:t>
      </w:r>
      <w:r w:rsidRPr="00F34E52">
        <w:rPr>
          <w:rFonts w:ascii="Times New Roman" w:eastAsia="Times New Roman" w:hAnsi="Times New Roman"/>
          <w:b/>
          <w:bCs/>
          <w:i/>
          <w:iCs/>
        </w:rPr>
        <w:t xml:space="preserve">If this were to occur, we would either not be </w:t>
      </w:r>
      <w:proofErr w:type="gramStart"/>
      <w:r w:rsidRPr="00F34E52">
        <w:rPr>
          <w:rFonts w:ascii="Times New Roman" w:eastAsia="Times New Roman" w:hAnsi="Times New Roman"/>
          <w:b/>
          <w:bCs/>
          <w:i/>
          <w:iCs/>
        </w:rPr>
        <w:t>in a position</w:t>
      </w:r>
      <w:proofErr w:type="gramEnd"/>
      <w:r w:rsidRPr="00F34E52">
        <w:rPr>
          <w:rFonts w:ascii="Times New Roman" w:eastAsia="Times New Roman" w:hAnsi="Times New Roman"/>
          <w:b/>
          <w:bCs/>
          <w:i/>
          <w:iCs/>
        </w:rPr>
        <w:t xml:space="preserve"> to repay the claimed amounts or would have to borrow large sums </w:t>
      </w:r>
      <w:proofErr w:type="gramStart"/>
      <w:r w:rsidRPr="00F34E52">
        <w:rPr>
          <w:rFonts w:ascii="Times New Roman" w:eastAsia="Times New Roman" w:hAnsi="Times New Roman"/>
          <w:b/>
          <w:bCs/>
          <w:i/>
          <w:iCs/>
        </w:rPr>
        <w:t>in order to</w:t>
      </w:r>
      <w:proofErr w:type="gramEnd"/>
      <w:r w:rsidRPr="00F34E52">
        <w:rPr>
          <w:rFonts w:ascii="Times New Roman" w:eastAsia="Times New Roman" w:hAnsi="Times New Roman"/>
          <w:b/>
          <w:bCs/>
          <w:i/>
          <w:iCs/>
        </w:rPr>
        <w:t xml:space="preserve"> do so or refinance with dilutive financing, which could adversely affect our financial condition.</w:t>
      </w:r>
    </w:p>
    <w:p w14:paraId="5B3C5B72" w14:textId="77777777" w:rsidR="009E1ED3" w:rsidRDefault="004928E7" w:rsidP="0023210C">
      <w:pPr>
        <w:widowControl/>
        <w:spacing w:after="180"/>
        <w:jc w:val="both"/>
        <w:rPr>
          <w:rFonts w:ascii="Times New Roman" w:eastAsia="Times New Roman" w:hAnsi="Times New Roman"/>
        </w:rPr>
      </w:pPr>
      <w:r w:rsidRPr="00233B8E">
        <w:rPr>
          <w:rFonts w:ascii="Times New Roman" w:eastAsia="Times New Roman" w:hAnsi="Times New Roman"/>
        </w:rPr>
        <w:t>Our predecessor company, Opel Solar and an affiliated company, ODIS, now a wholly</w:t>
      </w:r>
      <w:r w:rsidR="00EF0702">
        <w:rPr>
          <w:rFonts w:ascii="Times New Roman" w:eastAsia="Times New Roman" w:hAnsi="Times New Roman"/>
        </w:rPr>
        <w:t xml:space="preserve"> </w:t>
      </w:r>
      <w:r w:rsidRPr="00233B8E">
        <w:rPr>
          <w:rFonts w:ascii="Times New Roman" w:eastAsia="Times New Roman" w:hAnsi="Times New Roman"/>
        </w:rPr>
        <w:t>owned subsidiary, received research and development grants from the United States Air Force and from NASA</w:t>
      </w:r>
      <w:r>
        <w:rPr>
          <w:rFonts w:ascii="Times New Roman" w:eastAsia="Times New Roman" w:hAnsi="Times New Roman"/>
        </w:rPr>
        <w:t>.</w:t>
      </w:r>
      <w:r w:rsidRPr="00233B8E">
        <w:rPr>
          <w:rFonts w:ascii="Times New Roman" w:eastAsia="Times New Roman" w:hAnsi="Times New Roman"/>
        </w:rPr>
        <w:t xml:space="preserve"> The rules for eligibility vary widely across government agencies, are complex and may be subject to different interpretations. We cannot guarantee that one or more agencies will not seek repayment of all or a portion of the funds provided</w:t>
      </w:r>
      <w:r>
        <w:rPr>
          <w:rFonts w:ascii="Times New Roman" w:eastAsia="Times New Roman" w:hAnsi="Times New Roman"/>
        </w:rPr>
        <w:t xml:space="preserve"> or make claims that we were ineligible to receive such funds,</w:t>
      </w:r>
      <w:r w:rsidRPr="00233B8E">
        <w:rPr>
          <w:rFonts w:ascii="Times New Roman" w:eastAsia="Times New Roman" w:hAnsi="Times New Roman"/>
        </w:rPr>
        <w:t xml:space="preserve"> and if this were to occur, we could have to borrow large sums or refinance with dilutive financing in order to make the repayments, which would adversely affect our financial condition.</w:t>
      </w:r>
    </w:p>
    <w:p w14:paraId="358D0393" w14:textId="7B50E250" w:rsidR="00580F8F" w:rsidRPr="00F34E52" w:rsidRDefault="004928E7" w:rsidP="0023210C">
      <w:pPr>
        <w:widowControl/>
        <w:spacing w:after="180"/>
        <w:jc w:val="both"/>
        <w:rPr>
          <w:rFonts w:ascii="Times New Roman" w:eastAsia="Times New Roman" w:hAnsi="Times New Roman"/>
        </w:rPr>
      </w:pPr>
      <w:r w:rsidRPr="00F34E52">
        <w:rPr>
          <w:rFonts w:ascii="Times New Roman" w:eastAsia="Times New Roman" w:hAnsi="Times New Roman"/>
          <w:b/>
          <w:bCs/>
          <w:i/>
          <w:iCs/>
        </w:rPr>
        <w:t xml:space="preserve">If we fail to </w:t>
      </w:r>
      <w:proofErr w:type="gramStart"/>
      <w:r w:rsidRPr="00F34E52">
        <w:rPr>
          <w:rFonts w:ascii="Times New Roman" w:eastAsia="Times New Roman" w:hAnsi="Times New Roman"/>
          <w:b/>
          <w:bCs/>
          <w:i/>
          <w:iCs/>
        </w:rPr>
        <w:t>protect, or</w:t>
      </w:r>
      <w:proofErr w:type="gramEnd"/>
      <w:r w:rsidRPr="00F34E52">
        <w:rPr>
          <w:rFonts w:ascii="Times New Roman" w:eastAsia="Times New Roman" w:hAnsi="Times New Roman"/>
          <w:b/>
          <w:bCs/>
          <w:i/>
          <w:iCs/>
        </w:rPr>
        <w:t xml:space="preserve"> incur significant costs in defending our intellectual property and other proprietary rights, our business and results of operations could be materially harmed.</w:t>
      </w:r>
      <w:r w:rsidRPr="00F34E52">
        <w:rPr>
          <w:rFonts w:ascii="Times New Roman" w:eastAsia="Times New Roman" w:hAnsi="Times New Roman"/>
        </w:rPr>
        <w:t xml:space="preserve"> </w:t>
      </w:r>
    </w:p>
    <w:p w14:paraId="7DCEEC19" w14:textId="77777777" w:rsidR="00580F8F" w:rsidRPr="00F34E52" w:rsidRDefault="004928E7" w:rsidP="0023210C">
      <w:pPr>
        <w:widowControl/>
        <w:spacing w:after="180"/>
        <w:jc w:val="both"/>
        <w:rPr>
          <w:rFonts w:ascii="Times New Roman" w:eastAsia="Times New Roman" w:hAnsi="Times New Roman"/>
        </w:rPr>
      </w:pPr>
      <w:r w:rsidRPr="00F34E52">
        <w:rPr>
          <w:rFonts w:ascii="Times New Roman" w:eastAsia="Times New Roman" w:hAnsi="Times New Roman"/>
        </w:rPr>
        <w:t xml:space="preserve">Our success depends on our ability to protect our intellectual property and other proprietary rights. We rely on a combination of patent, trademark, copyright, trade secret and unfair competition laws, as well as license agreements and other contractual provisions, to establish and protect our intellectual property and other proprietary rights. We have applied for patent registrations in the U.S. and in foreign countries, some of which have been issued. We cannot guarantee that our pending applications will be approved by the applicable governmental authorities. Moreover, our existing and future patents and trademarks may not be sufficiently broad to protect our proprietary rights or may be held invalid or unenforceable in court. A failure to obtain patents or trademark </w:t>
      </w:r>
      <w:r w:rsidRPr="00F34E52">
        <w:rPr>
          <w:rFonts w:ascii="Times New Roman" w:eastAsia="Times New Roman" w:hAnsi="Times New Roman"/>
        </w:rPr>
        <w:lastRenderedPageBreak/>
        <w:t>registrations or a successful challenge to our registrations in the U.S. or foreign countries may limit our ability to protect the intellectual property rights that these applications and registrations intended to cover.</w:t>
      </w:r>
    </w:p>
    <w:p w14:paraId="06448926" w14:textId="77777777" w:rsidR="00580F8F" w:rsidRPr="00F34E52" w:rsidRDefault="004928E7" w:rsidP="0023210C">
      <w:pPr>
        <w:widowControl/>
        <w:spacing w:after="180"/>
        <w:jc w:val="both"/>
        <w:rPr>
          <w:rFonts w:ascii="Times New Roman" w:eastAsia="Times New Roman" w:hAnsi="Times New Roman"/>
        </w:rPr>
      </w:pPr>
      <w:r w:rsidRPr="00F34E52">
        <w:rPr>
          <w:rFonts w:ascii="Times New Roman" w:eastAsia="Times New Roman" w:hAnsi="Times New Roman"/>
        </w:rPr>
        <w:t xml:space="preserve">Policing unauthorized use of our technology is </w:t>
      </w:r>
      <w:proofErr w:type="gramStart"/>
      <w:r w:rsidRPr="00F34E52">
        <w:rPr>
          <w:rFonts w:ascii="Times New Roman" w:eastAsia="Times New Roman" w:hAnsi="Times New Roman"/>
        </w:rPr>
        <w:t>difficult</w:t>
      </w:r>
      <w:proofErr w:type="gramEnd"/>
      <w:r w:rsidRPr="00F34E52">
        <w:rPr>
          <w:rFonts w:ascii="Times New Roman" w:eastAsia="Times New Roman" w:hAnsi="Times New Roman"/>
        </w:rPr>
        <w:t xml:space="preserve"> and we cannot be certain that the steps we have taken will prevent the misappropriation, unauthorized use or other infringement of our intellectual property rights. Further, we may not be able to effectively protect our intellectual property rights from misappropriation or other infringement in foreign countries where we have not applied for patent protections, and where effective patent, trademark, trade secret and other intellectual property laws may be </w:t>
      </w:r>
      <w:r w:rsidR="00A01D9F" w:rsidRPr="00F34E52">
        <w:rPr>
          <w:rFonts w:ascii="Times New Roman" w:eastAsia="Times New Roman" w:hAnsi="Times New Roman"/>
        </w:rPr>
        <w:t>unavailable or</w:t>
      </w:r>
      <w:r w:rsidRPr="00F34E52">
        <w:rPr>
          <w:rFonts w:ascii="Times New Roman" w:eastAsia="Times New Roman" w:hAnsi="Times New Roman"/>
        </w:rPr>
        <w:t xml:space="preserve"> may not protect our proprietary rights as fully as Canadian or U.S. law. We may seek to secure comparable intellectual property protections in other countries. However, the level of protection afforded by patent and other laws in other countries may not be comparable to that afforded in Canada and the U.S.</w:t>
      </w:r>
    </w:p>
    <w:p w14:paraId="0E4E3945" w14:textId="77777777" w:rsidR="00580F8F" w:rsidRPr="00F34E52" w:rsidRDefault="004928E7" w:rsidP="0023210C">
      <w:pPr>
        <w:widowControl/>
        <w:spacing w:after="180"/>
        <w:jc w:val="both"/>
        <w:rPr>
          <w:rFonts w:ascii="Times New Roman" w:eastAsia="Times New Roman" w:hAnsi="Times New Roman"/>
        </w:rPr>
      </w:pPr>
      <w:r w:rsidRPr="00F34E52">
        <w:rPr>
          <w:rFonts w:ascii="Times New Roman" w:eastAsia="Times New Roman" w:hAnsi="Times New Roman"/>
        </w:rPr>
        <w:t xml:space="preserve">We also attempt to protect our intellectual property, including our trade secrets and know-how, </w:t>
      </w:r>
      <w:proofErr w:type="gramStart"/>
      <w:r w:rsidRPr="00F34E52">
        <w:rPr>
          <w:rFonts w:ascii="Times New Roman" w:eastAsia="Times New Roman" w:hAnsi="Times New Roman"/>
        </w:rPr>
        <w:t>through the use of</w:t>
      </w:r>
      <w:proofErr w:type="gramEnd"/>
      <w:r w:rsidRPr="00F34E52">
        <w:rPr>
          <w:rFonts w:ascii="Times New Roman" w:eastAsia="Times New Roman" w:hAnsi="Times New Roman"/>
        </w:rPr>
        <w:t xml:space="preserve"> trade </w:t>
      </w:r>
      <w:proofErr w:type="gramStart"/>
      <w:r w:rsidRPr="00F34E52">
        <w:rPr>
          <w:rFonts w:ascii="Times New Roman" w:eastAsia="Times New Roman" w:hAnsi="Times New Roman"/>
        </w:rPr>
        <w:t>secret</w:t>
      </w:r>
      <w:proofErr w:type="gramEnd"/>
      <w:r w:rsidRPr="00F34E52">
        <w:rPr>
          <w:rFonts w:ascii="Times New Roman" w:eastAsia="Times New Roman" w:hAnsi="Times New Roman"/>
        </w:rPr>
        <w:t xml:space="preserve"> and other intellectual property laws, and contractual provisions. We enter into confidentiality and invention assignment agreements with our employees and independent consultants. We also use non-disclosure agreements with other third parties who may have access to our proprietary technologies and information. Such measures, however, provide only limited protection, and there can be no assurance that our confidentiality and non-disclosure agreements will not be breached, especially after our employees end their employment, and that our trade secrets will not otherwise become known by competitors or that we will have adequate remedies in the event of unauthorized use or disclosure of proprietary information. Unauthorized third parties may try to copy or reverse engineer our products or portions of our products, otherwise obtain and use our intellectual property, or may independently develop similar or equivalent trade secrets or know-how. If we fail to protect our intellectual property and other proprietary rights, or if such intellectual property and proprietary rights are infringed or misappropriated, our business, results of operations or financial condition could be materially harmed.</w:t>
      </w:r>
    </w:p>
    <w:p w14:paraId="69F7C3F6" w14:textId="77777777" w:rsidR="00580F8F" w:rsidRPr="00F34E52" w:rsidRDefault="004928E7" w:rsidP="0023210C">
      <w:pPr>
        <w:widowControl/>
        <w:spacing w:after="180"/>
        <w:jc w:val="both"/>
        <w:rPr>
          <w:rFonts w:ascii="Times New Roman" w:eastAsia="Times New Roman" w:hAnsi="Times New Roman"/>
        </w:rPr>
      </w:pPr>
      <w:r w:rsidRPr="00F34E52">
        <w:rPr>
          <w:rFonts w:ascii="Times New Roman" w:eastAsia="Times New Roman" w:hAnsi="Times New Roman"/>
        </w:rPr>
        <w:t>In the future, we may need to take legal actions to prevent third parties from infringing upon or misappropriating our intellectual property or from otherwise gaining access to our technology. Protecting and enforcing our intellectual property rights and determining their validity and scope could result in significant litigation costs and require significant time and attention from our technical and management personnel, which could significantly harm our business. We may not prevail in such proceedings, and an adverse outcome may adversely impact our competitive advantage or otherwise harm our financial condition and our business.   </w:t>
      </w:r>
    </w:p>
    <w:p w14:paraId="6125A189" w14:textId="77777777" w:rsidR="00580F8F" w:rsidRPr="00F34E52" w:rsidRDefault="004928E7" w:rsidP="0023210C">
      <w:pPr>
        <w:widowControl/>
        <w:spacing w:after="180"/>
        <w:jc w:val="both"/>
        <w:rPr>
          <w:rFonts w:ascii="Times New Roman" w:eastAsia="Times New Roman" w:hAnsi="Times New Roman"/>
          <w:b/>
          <w:bCs/>
          <w:i/>
          <w:iCs/>
        </w:rPr>
      </w:pPr>
      <w:r w:rsidRPr="00F34E52">
        <w:rPr>
          <w:rFonts w:ascii="Times New Roman" w:eastAsia="Times New Roman" w:hAnsi="Times New Roman"/>
          <w:b/>
          <w:bCs/>
          <w:i/>
          <w:iCs/>
        </w:rPr>
        <w:t>We may be involved in intellectual property disputes in the future, which could divert management’s attention, cause us to incur significant costs and prevent us from selling or using the challenged technology.</w:t>
      </w:r>
    </w:p>
    <w:p w14:paraId="7BB2F78E" w14:textId="77777777" w:rsidR="009640CC" w:rsidRPr="00F34E52" w:rsidRDefault="004928E7" w:rsidP="0023210C">
      <w:pPr>
        <w:widowControl/>
        <w:spacing w:after="180"/>
        <w:jc w:val="both"/>
        <w:rPr>
          <w:rFonts w:ascii="Times New Roman" w:eastAsia="Times New Roman" w:hAnsi="Times New Roman"/>
          <w:bCs/>
          <w:iCs/>
        </w:rPr>
      </w:pPr>
      <w:r w:rsidRPr="00F34E52">
        <w:rPr>
          <w:rFonts w:ascii="Times New Roman" w:eastAsia="Times New Roman" w:hAnsi="Times New Roman"/>
          <w:bCs/>
          <w:iCs/>
        </w:rPr>
        <w:t xml:space="preserve">Participants in the markets in which we sell our products have experienced frequent litigation regarding patent and other intellectual property rights. There can be no assurance that third parties will not assert infringement claims against us, and we cannot be certain that our products would not be found infringing on the intellectual property rights of others. Regardless of their merit, responding to such claims can be time consuming, divert management’s attention and resources and may cause us to incur significant expenses. Intellectual property claims against us could result in a requirement to license technology from others, discontinue manufacturing or selling the infringing products, or pay substantial monetary damages, each </w:t>
      </w:r>
      <w:proofErr w:type="gramStart"/>
      <w:r w:rsidRPr="00F34E52">
        <w:rPr>
          <w:rFonts w:ascii="Times New Roman" w:eastAsia="Times New Roman" w:hAnsi="Times New Roman"/>
          <w:bCs/>
          <w:iCs/>
        </w:rPr>
        <w:t>of</w:t>
      </w:r>
      <w:proofErr w:type="gramEnd"/>
      <w:r w:rsidRPr="00F34E52">
        <w:rPr>
          <w:rFonts w:ascii="Times New Roman" w:eastAsia="Times New Roman" w:hAnsi="Times New Roman"/>
          <w:bCs/>
          <w:iCs/>
        </w:rPr>
        <w:t xml:space="preserve"> could result in a substantial reduction in our revenue and could result in losses over an extended </w:t>
      </w:r>
      <w:proofErr w:type="gramStart"/>
      <w:r w:rsidRPr="00F34E52">
        <w:rPr>
          <w:rFonts w:ascii="Times New Roman" w:eastAsia="Times New Roman" w:hAnsi="Times New Roman"/>
          <w:bCs/>
          <w:iCs/>
        </w:rPr>
        <w:t>period of time</w:t>
      </w:r>
      <w:proofErr w:type="gramEnd"/>
      <w:r w:rsidRPr="00F34E52">
        <w:rPr>
          <w:rFonts w:ascii="Times New Roman" w:eastAsia="Times New Roman" w:hAnsi="Times New Roman"/>
          <w:bCs/>
          <w:iCs/>
        </w:rPr>
        <w:t>.</w:t>
      </w:r>
    </w:p>
    <w:p w14:paraId="1BD00D48" w14:textId="77777777" w:rsidR="00580F8F" w:rsidRPr="00F34E52" w:rsidRDefault="004928E7" w:rsidP="0023210C">
      <w:pPr>
        <w:widowControl/>
        <w:spacing w:after="180"/>
        <w:jc w:val="both"/>
        <w:rPr>
          <w:rFonts w:ascii="Times New Roman" w:eastAsia="Times New Roman" w:hAnsi="Times New Roman"/>
          <w:b/>
          <w:bCs/>
          <w:i/>
          <w:iCs/>
        </w:rPr>
      </w:pPr>
      <w:r w:rsidRPr="00F34E52">
        <w:rPr>
          <w:rFonts w:ascii="Times New Roman" w:eastAsia="Times New Roman" w:hAnsi="Times New Roman"/>
          <w:b/>
          <w:bCs/>
          <w:i/>
          <w:iCs/>
        </w:rPr>
        <w:t>If we fail to obtain the right to use the intellectual property rights of others that are necessary to operate our business, and to protect their intellectual property, our business and results of operations will be adversely affected.</w:t>
      </w:r>
    </w:p>
    <w:p w14:paraId="179A3F07" w14:textId="77777777" w:rsidR="00580F8F" w:rsidRPr="00F34E52" w:rsidRDefault="004928E7" w:rsidP="0023210C">
      <w:pPr>
        <w:widowControl/>
        <w:spacing w:after="180"/>
        <w:jc w:val="both"/>
        <w:rPr>
          <w:rFonts w:ascii="Times New Roman" w:eastAsia="Times New Roman" w:hAnsi="Times New Roman"/>
          <w:bCs/>
          <w:iCs/>
        </w:rPr>
      </w:pPr>
      <w:r w:rsidRPr="00F34E52">
        <w:rPr>
          <w:rFonts w:ascii="Times New Roman" w:eastAsia="Times New Roman" w:hAnsi="Times New Roman"/>
          <w:bCs/>
          <w:iCs/>
        </w:rPr>
        <w:lastRenderedPageBreak/>
        <w:t xml:space="preserve">From time to </w:t>
      </w:r>
      <w:r w:rsidR="00A063ED" w:rsidRPr="00F34E52">
        <w:rPr>
          <w:rFonts w:ascii="Times New Roman" w:eastAsia="Times New Roman" w:hAnsi="Times New Roman"/>
          <w:bCs/>
          <w:iCs/>
        </w:rPr>
        <w:t>time,</w:t>
      </w:r>
      <w:r w:rsidRPr="00F34E52">
        <w:rPr>
          <w:rFonts w:ascii="Times New Roman" w:eastAsia="Times New Roman" w:hAnsi="Times New Roman"/>
          <w:bCs/>
          <w:iCs/>
        </w:rPr>
        <w:t xml:space="preserve"> we may choose to or be required to license technology or intellectual property from third parties in connection with the development of our products. We cannot assure you that third party licenses will be available to us on commercially reasonable terms, if at all. Generally, a license, if granted, would include payments of up-front fees, ongoing royalties or both. These payments or other terms could have a significant adverse impact on our results of operations. Our inability to obtain a necessary third</w:t>
      </w:r>
      <w:r w:rsidR="000068E9" w:rsidRPr="00F34E52">
        <w:rPr>
          <w:rFonts w:ascii="Times New Roman" w:eastAsia="Times New Roman" w:hAnsi="Times New Roman"/>
          <w:bCs/>
          <w:iCs/>
        </w:rPr>
        <w:t>-</w:t>
      </w:r>
      <w:r w:rsidRPr="00F34E52">
        <w:rPr>
          <w:rFonts w:ascii="Times New Roman" w:eastAsia="Times New Roman" w:hAnsi="Times New Roman"/>
          <w:bCs/>
          <w:iCs/>
        </w:rPr>
        <w:t>party license required for our product offerings or to develop new products and product enhancements could require us to substitute technology of lower quality or performance standards, or of greater cost, either of which could adversely affect our business. If we are not able to obtain licenses from third parties, if necessary, then we may also be subject to litigation to defend against infringement claims from these third parties. Our competitors may be able to obtain licenses or cross-license their technology on better terms than we can, which could put us at a competitive disadvantage.</w:t>
      </w:r>
    </w:p>
    <w:p w14:paraId="5C6086EA" w14:textId="5415EEC8" w:rsidR="00D213EB" w:rsidRPr="00444D66" w:rsidRDefault="00D213EB" w:rsidP="0023210C">
      <w:pPr>
        <w:widowControl/>
        <w:spacing w:after="180"/>
        <w:jc w:val="both"/>
        <w:rPr>
          <w:rFonts w:ascii="Times New Roman" w:eastAsiaTheme="minorEastAsia" w:hAnsi="Times New Roman"/>
          <w:b/>
          <w:i/>
          <w:lang w:eastAsia="en-CA"/>
        </w:rPr>
      </w:pPr>
      <w:r w:rsidRPr="00444D66">
        <w:rPr>
          <w:rFonts w:ascii="Times New Roman" w:eastAsiaTheme="minorEastAsia" w:hAnsi="Times New Roman"/>
          <w:b/>
          <w:i/>
          <w:lang w:eastAsia="en-CA"/>
        </w:rPr>
        <w:t xml:space="preserve">Failure to comply with requirements to design, implement and maintain effective internal control over financial reporting could have a materially adverse impact on </w:t>
      </w:r>
      <w:r w:rsidRPr="00444D66">
        <w:rPr>
          <w:rFonts w:ascii="Times New Roman" w:eastAsiaTheme="minorEastAsia" w:hAnsi="Times New Roman"/>
          <w:b/>
          <w:bCs/>
          <w:i/>
          <w:iCs/>
          <w:lang w:eastAsia="en-CA"/>
        </w:rPr>
        <w:t>our financial reporting and</w:t>
      </w:r>
      <w:r w:rsidRPr="00444D66">
        <w:rPr>
          <w:rFonts w:ascii="Times New Roman" w:eastAsiaTheme="minorEastAsia" w:hAnsi="Times New Roman"/>
          <w:b/>
          <w:i/>
          <w:lang w:eastAsia="en-CA"/>
        </w:rPr>
        <w:t xml:space="preserve"> our business. </w:t>
      </w:r>
      <w:r w:rsidR="0003585C">
        <w:rPr>
          <w:rFonts w:ascii="Times New Roman" w:eastAsiaTheme="minorEastAsia" w:hAnsi="Times New Roman"/>
          <w:b/>
          <w:i/>
          <w:lang w:eastAsia="en-CA"/>
        </w:rPr>
        <w:t>We</w:t>
      </w:r>
      <w:r w:rsidRPr="00444D66">
        <w:rPr>
          <w:rFonts w:ascii="Times New Roman" w:eastAsiaTheme="minorEastAsia" w:hAnsi="Times New Roman"/>
          <w:b/>
          <w:i/>
          <w:lang w:eastAsia="en-CA"/>
        </w:rPr>
        <w:t xml:space="preserve"> are required </w:t>
      </w:r>
      <w:r w:rsidRPr="00444D66">
        <w:rPr>
          <w:rFonts w:ascii="Times New Roman" w:eastAsiaTheme="minorEastAsia" w:hAnsi="Times New Roman"/>
          <w:b/>
          <w:bCs/>
          <w:i/>
          <w:iCs/>
          <w:lang w:eastAsia="en-CA"/>
        </w:rPr>
        <w:t>to have our internal controls over financial reporting audited under Section 404(b) of the Sarbanes-Oxley Act.</w:t>
      </w:r>
      <w:r w:rsidRPr="00444D66">
        <w:rPr>
          <w:rFonts w:ascii="Times New Roman" w:eastAsiaTheme="minorEastAsia" w:hAnsi="Times New Roman"/>
          <w:b/>
          <w:i/>
          <w:lang w:eastAsia="en-CA"/>
        </w:rPr>
        <w:t xml:space="preserve"> </w:t>
      </w:r>
    </w:p>
    <w:p w14:paraId="7E24ADD3" w14:textId="77777777" w:rsidR="00D213EB" w:rsidRPr="00444D66" w:rsidRDefault="00D213EB" w:rsidP="0023210C">
      <w:pPr>
        <w:widowControl/>
        <w:spacing w:after="180"/>
        <w:jc w:val="both"/>
        <w:rPr>
          <w:rFonts w:ascii="Times New Roman" w:eastAsiaTheme="minorEastAsia" w:hAnsi="Times New Roman"/>
          <w:b/>
          <w:i/>
          <w:lang w:eastAsia="en-CA"/>
        </w:rPr>
      </w:pPr>
      <w:r w:rsidRPr="00444D66">
        <w:rPr>
          <w:rFonts w:ascii="Times New Roman" w:eastAsiaTheme="minorEastAsia" w:hAnsi="Times New Roman"/>
          <w:b/>
          <w:i/>
          <w:lang w:eastAsia="en-CA"/>
        </w:rPr>
        <w:t> </w:t>
      </w:r>
    </w:p>
    <w:p w14:paraId="602D6A4A" w14:textId="1AB6C11B" w:rsidR="00D213EB" w:rsidRPr="00444D66" w:rsidRDefault="00D213EB" w:rsidP="0023210C">
      <w:pPr>
        <w:widowControl/>
        <w:spacing w:after="180"/>
        <w:jc w:val="both"/>
        <w:rPr>
          <w:rFonts w:ascii="Times New Roman" w:eastAsiaTheme="minorEastAsia" w:hAnsi="Times New Roman"/>
          <w:bCs/>
          <w:iCs/>
          <w:lang w:eastAsia="en-CA"/>
        </w:rPr>
      </w:pPr>
      <w:r w:rsidRPr="00444D66">
        <w:rPr>
          <w:rFonts w:ascii="Times New Roman" w:eastAsiaTheme="minorEastAsia" w:hAnsi="Times New Roman"/>
          <w:bCs/>
          <w:iCs/>
          <w:lang w:eastAsia="en-CA"/>
        </w:rPr>
        <w:t xml:space="preserve">Preparing our consolidated financial statements involves </w:t>
      </w:r>
      <w:proofErr w:type="gramStart"/>
      <w:r w:rsidRPr="00444D66">
        <w:rPr>
          <w:rFonts w:ascii="Times New Roman" w:eastAsiaTheme="minorEastAsia" w:hAnsi="Times New Roman"/>
          <w:bCs/>
          <w:iCs/>
          <w:lang w:eastAsia="en-CA"/>
        </w:rPr>
        <w:t>a number of</w:t>
      </w:r>
      <w:proofErr w:type="gramEnd"/>
      <w:r w:rsidRPr="00444D66">
        <w:rPr>
          <w:rFonts w:ascii="Times New Roman" w:eastAsiaTheme="minorEastAsia" w:hAnsi="Times New Roman"/>
          <w:bCs/>
          <w:iCs/>
          <w:lang w:eastAsia="en-CA"/>
        </w:rPr>
        <w:t xml:space="preserve"> complex manual and automated processes, which are dependent upon individual data input or review and require significant management judgment. One or more of these elements may result in errors that may not be detected and could result in a material misstatement of our consolidated financial statements. The Sarbanes-Oxley Act in the U.S. requires, among other things, that as a publicly traded company we disclose whether our internal control over financial reporting and disclosure controls and procedures are effective. Until December 31, </w:t>
      </w:r>
      <w:proofErr w:type="gramStart"/>
      <w:r w:rsidRPr="00444D66">
        <w:rPr>
          <w:rFonts w:ascii="Times New Roman" w:eastAsiaTheme="minorEastAsia" w:hAnsi="Times New Roman"/>
          <w:bCs/>
          <w:iCs/>
          <w:lang w:eastAsia="en-CA"/>
        </w:rPr>
        <w:t>2021</w:t>
      </w:r>
      <w:proofErr w:type="gramEnd"/>
      <w:r w:rsidRPr="00444D66">
        <w:rPr>
          <w:rFonts w:ascii="Times New Roman" w:eastAsiaTheme="minorEastAsia" w:hAnsi="Times New Roman"/>
          <w:bCs/>
          <w:iCs/>
          <w:lang w:eastAsia="en-CA"/>
        </w:rPr>
        <w:t xml:space="preserve"> we qualified as an “emerging growth company” under the JOBS Act, and, as a result, were exempted from certain SEC reporting requirements, including those requiring registrants to include an auditor’s report regarding the Company’s internal controls as part of such registrant’s periodic reports. Our “emerging growth company” status expired on December 31, 2021</w:t>
      </w:r>
      <w:r w:rsidR="0003585C">
        <w:rPr>
          <w:rFonts w:ascii="Times New Roman" w:eastAsiaTheme="minorEastAsia" w:hAnsi="Times New Roman"/>
          <w:bCs/>
          <w:iCs/>
          <w:lang w:eastAsia="en-CA"/>
        </w:rPr>
        <w:t>.</w:t>
      </w:r>
      <w:r w:rsidRPr="00444D66">
        <w:rPr>
          <w:rFonts w:ascii="Times New Roman" w:eastAsiaTheme="minorEastAsia" w:hAnsi="Times New Roman"/>
          <w:bCs/>
          <w:iCs/>
          <w:lang w:eastAsia="en-CA"/>
        </w:rPr>
        <w:t xml:space="preserve"> </w:t>
      </w:r>
      <w:r w:rsidR="0003585C">
        <w:rPr>
          <w:rFonts w:ascii="Times New Roman" w:eastAsiaTheme="minorEastAsia" w:hAnsi="Times New Roman"/>
          <w:bCs/>
          <w:iCs/>
          <w:lang w:eastAsia="en-CA"/>
        </w:rPr>
        <w:t>T</w:t>
      </w:r>
      <w:r w:rsidRPr="00444D66">
        <w:rPr>
          <w:rFonts w:ascii="Times New Roman" w:eastAsiaTheme="minorEastAsia" w:hAnsi="Times New Roman"/>
          <w:bCs/>
          <w:iCs/>
          <w:lang w:eastAsia="en-CA"/>
        </w:rPr>
        <w:t xml:space="preserve">he report of our auditors regarding the effectiveness of our internal controls over disclosure and financial reporting as of </w:t>
      </w:r>
      <w:r w:rsidRPr="00E138CA">
        <w:rPr>
          <w:rFonts w:ascii="Times New Roman" w:eastAsiaTheme="minorEastAsia" w:hAnsi="Times New Roman"/>
          <w:bCs/>
          <w:iCs/>
          <w:lang w:eastAsia="en-CA"/>
        </w:rPr>
        <w:t xml:space="preserve">December 31, </w:t>
      </w:r>
      <w:proofErr w:type="gramStart"/>
      <w:r w:rsidRPr="00E138CA">
        <w:rPr>
          <w:rFonts w:ascii="Times New Roman" w:eastAsiaTheme="minorEastAsia" w:hAnsi="Times New Roman"/>
          <w:bCs/>
          <w:iCs/>
          <w:lang w:eastAsia="en-CA"/>
        </w:rPr>
        <w:t>202</w:t>
      </w:r>
      <w:r w:rsidR="006B4BBC">
        <w:rPr>
          <w:rFonts w:ascii="Times New Roman" w:eastAsiaTheme="minorEastAsia" w:hAnsi="Times New Roman"/>
          <w:bCs/>
          <w:iCs/>
          <w:lang w:eastAsia="en-CA"/>
        </w:rPr>
        <w:t>4</w:t>
      </w:r>
      <w:proofErr w:type="gramEnd"/>
      <w:r w:rsidRPr="00E138CA">
        <w:rPr>
          <w:rFonts w:ascii="Times New Roman" w:eastAsiaTheme="minorEastAsia" w:hAnsi="Times New Roman"/>
          <w:bCs/>
          <w:iCs/>
          <w:lang w:eastAsia="en-CA"/>
        </w:rPr>
        <w:t xml:space="preserve"> is attached</w:t>
      </w:r>
      <w:r w:rsidRPr="00444D66">
        <w:rPr>
          <w:rFonts w:ascii="Times New Roman" w:eastAsiaTheme="minorEastAsia" w:hAnsi="Times New Roman"/>
          <w:bCs/>
          <w:iCs/>
          <w:lang w:eastAsia="en-CA"/>
        </w:rPr>
        <w:t xml:space="preserve"> </w:t>
      </w:r>
      <w:r>
        <w:rPr>
          <w:rFonts w:ascii="Times New Roman" w:eastAsiaTheme="minorEastAsia" w:hAnsi="Times New Roman"/>
          <w:bCs/>
          <w:iCs/>
          <w:lang w:eastAsia="en-CA"/>
        </w:rPr>
        <w:t>to our</w:t>
      </w:r>
      <w:r w:rsidR="0089006A">
        <w:rPr>
          <w:rFonts w:ascii="Times New Roman" w:eastAsiaTheme="minorEastAsia" w:hAnsi="Times New Roman"/>
          <w:bCs/>
          <w:iCs/>
          <w:lang w:eastAsia="en-CA"/>
        </w:rPr>
        <w:t xml:space="preserve"> audited consolidated financial statements</w:t>
      </w:r>
      <w:r w:rsidRPr="00444D66">
        <w:rPr>
          <w:rFonts w:ascii="Times New Roman" w:eastAsiaTheme="minorEastAsia" w:hAnsi="Times New Roman"/>
          <w:bCs/>
          <w:iCs/>
          <w:lang w:eastAsia="en-CA"/>
        </w:rPr>
        <w:t>.</w:t>
      </w:r>
    </w:p>
    <w:p w14:paraId="26A6385B" w14:textId="77777777" w:rsidR="00D213EB" w:rsidRPr="00444D66" w:rsidRDefault="00D213EB" w:rsidP="0023210C">
      <w:pPr>
        <w:widowControl/>
        <w:spacing w:after="180"/>
        <w:jc w:val="both"/>
        <w:rPr>
          <w:rFonts w:ascii="Times New Roman" w:eastAsiaTheme="minorEastAsia" w:hAnsi="Times New Roman"/>
          <w:bCs/>
          <w:iCs/>
          <w:lang w:eastAsia="en-CA"/>
        </w:rPr>
      </w:pPr>
      <w:r w:rsidRPr="00444D66">
        <w:rPr>
          <w:rFonts w:ascii="Times New Roman" w:eastAsiaTheme="minorEastAsia" w:hAnsi="Times New Roman"/>
          <w:bCs/>
          <w:iCs/>
          <w:lang w:eastAsia="en-CA"/>
        </w:rPr>
        <w:t>Our internal control over financial reporting cannot guarantee that no accounting errors exist or that all accounting errors, no matter how immaterial, will be detected because a control system, no matter how well designed and operated, can provide only reasonable, but not absolute assurance that the control system’s objectives will be met. If we are unable to implement and maintain effective internal control over financial reporting, our ability to accurately and timely report our financial results could be adversely impacted. This could result in late filings of our annual and quarterly reports under the Securities Act (Ontario) and the Securities Exchange Act of 1934 (the “Exchange Act”), restatements of our consolidated financial statements, a decline in our stock price, suspension or delisting of our common stock by the TSX Venture Exchange, or other material adverse effects on our business, reputation, results of operations or financial condition.</w:t>
      </w:r>
    </w:p>
    <w:p w14:paraId="51CCC9F5" w14:textId="77777777" w:rsidR="00D213EB" w:rsidRPr="00444D66" w:rsidRDefault="00D213EB" w:rsidP="0023210C">
      <w:pPr>
        <w:widowControl/>
        <w:spacing w:after="180"/>
        <w:jc w:val="both"/>
        <w:rPr>
          <w:rFonts w:ascii="Times New Roman" w:eastAsiaTheme="minorEastAsia" w:hAnsi="Times New Roman"/>
          <w:bCs/>
          <w:iCs/>
          <w:lang w:eastAsia="en-CA"/>
        </w:rPr>
      </w:pPr>
      <w:r w:rsidRPr="00444D66">
        <w:rPr>
          <w:rFonts w:ascii="Times New Roman" w:eastAsiaTheme="minorEastAsia" w:hAnsi="Times New Roman"/>
          <w:bCs/>
          <w:iCs/>
          <w:lang w:eastAsia="en-CA"/>
        </w:rPr>
        <w:t xml:space="preserve">The process of designing and implementing effective internal control over financial reporting is a continuous effort that requires us to anticipate and react to changes in our business and the economic and regulatory environments and to expend significant resources to maintain a system of internal control that is adequate to satisfy our reporting obligations as a public company. In addition, we are required, pursuant to Section 404(a) of the Sarbanes-Oxley Act, to furnish a report by management on, among other things, the effectiveness of our internal control over financial reporting. This assessment must include disclosure of any material weaknesses identified by our management in our internal control over financial reporting. The rules governing the standards that must be met for our management to assess our internal control over financial reporting are complex and require </w:t>
      </w:r>
      <w:r w:rsidRPr="00444D66">
        <w:rPr>
          <w:rFonts w:ascii="Times New Roman" w:eastAsiaTheme="minorEastAsia" w:hAnsi="Times New Roman"/>
          <w:bCs/>
          <w:iCs/>
          <w:lang w:eastAsia="en-CA"/>
        </w:rPr>
        <w:lastRenderedPageBreak/>
        <w:t xml:space="preserve">significant documentation, testing and possible remediation. Testing and maintaining our internal control over financial reporting may divert our management’s attention from other matters that are important to our business. In connection with the implementation of the necessary procedures and practices related to our internal control over financial reporting, we and/or our independent registered accounting firm may identify material weaknesses and other deficiencies that may require significant effort and expense to remediate. We may encounter problems or delays in completing the remediation of any such weaknesses or other deficiencies. </w:t>
      </w:r>
    </w:p>
    <w:p w14:paraId="386CA01C" w14:textId="77777777" w:rsidR="00D213EB" w:rsidRDefault="00D213EB" w:rsidP="0023210C">
      <w:pPr>
        <w:widowControl/>
        <w:spacing w:after="180"/>
        <w:jc w:val="both"/>
        <w:rPr>
          <w:rFonts w:ascii="Times New Roman" w:eastAsiaTheme="minorEastAsia" w:hAnsi="Times New Roman"/>
          <w:bCs/>
          <w:iCs/>
          <w:lang w:eastAsia="en-CA"/>
        </w:rPr>
      </w:pPr>
      <w:r w:rsidRPr="00444D66">
        <w:rPr>
          <w:rFonts w:ascii="Times New Roman" w:eastAsiaTheme="minorEastAsia" w:hAnsi="Times New Roman"/>
          <w:bCs/>
          <w:iCs/>
          <w:lang w:eastAsia="en-CA"/>
        </w:rPr>
        <w:t>If there is a change in conditions, or the degree of compliance with policies or procedure deteriorates, internal review of our internal control over financial reporting or the subsequent testing by our independent registered public accounting firm may reveal deficiencies in our internal control over financial reporting that are deemed material weaknesses. If this occurs, our consolidated financial statements or disclosures may contain material misstatements and we could be required to restate our financial results. Additionally, we may not be able to conclude on an ongoing basis that we have effective internal control over financial reporting or our independent registered public accounting firm may not in future issue an unqualified opinion, each of which could lead to investors losing confidence in our reported financial information, which could have a material adverse effect on the trading price of our common stock, and we may be unable to maintain compliance with applicable stock exchange listing requirements.</w:t>
      </w:r>
    </w:p>
    <w:p w14:paraId="48612B03" w14:textId="77777777" w:rsidR="00C56BC7" w:rsidRDefault="00C56BC7" w:rsidP="0023210C">
      <w:pPr>
        <w:widowControl/>
        <w:spacing w:after="180"/>
        <w:jc w:val="both"/>
        <w:rPr>
          <w:rFonts w:ascii="Times New Roman" w:eastAsiaTheme="minorEastAsia" w:hAnsi="Times New Roman"/>
          <w:bCs/>
          <w:iCs/>
          <w:lang w:eastAsia="en-CA"/>
        </w:rPr>
      </w:pPr>
    </w:p>
    <w:p w14:paraId="358929FB" w14:textId="77777777" w:rsidR="00C56BC7" w:rsidRPr="00C56BC7" w:rsidRDefault="00C56BC7" w:rsidP="00C56BC7">
      <w:pPr>
        <w:widowControl/>
        <w:spacing w:after="180"/>
        <w:jc w:val="both"/>
        <w:rPr>
          <w:rFonts w:ascii="Times New Roman" w:eastAsiaTheme="minorEastAsia" w:hAnsi="Times New Roman"/>
          <w:bCs/>
          <w:iCs/>
          <w:lang w:eastAsia="en-CA"/>
        </w:rPr>
      </w:pPr>
      <w:r w:rsidRPr="00C56BC7">
        <w:rPr>
          <w:rFonts w:ascii="Times New Roman" w:eastAsiaTheme="minorEastAsia" w:hAnsi="Times New Roman"/>
          <w:b/>
          <w:bCs/>
          <w:i/>
          <w:iCs/>
          <w:lang w:eastAsia="en-CA"/>
        </w:rPr>
        <w:t>Our management has identified a material weakness in the Company’s internal control over financial reporting and may identify additional material weaknesses in the future. If we fail to remediate the material weakness or if we otherwise fail to establish and maintain effective control over financial reporting, our ability to accurately and timely report our financial results may be affected, and such failure may adversely affect investor confidence and business operations.</w:t>
      </w:r>
    </w:p>
    <w:p w14:paraId="58965659" w14:textId="5FB0CF93" w:rsidR="00C56BC7" w:rsidRPr="00C56BC7" w:rsidRDefault="00C56BC7" w:rsidP="00C56BC7">
      <w:pPr>
        <w:widowControl/>
        <w:spacing w:after="180"/>
        <w:jc w:val="both"/>
        <w:rPr>
          <w:rFonts w:ascii="Times New Roman" w:eastAsiaTheme="minorEastAsia" w:hAnsi="Times New Roman"/>
          <w:bCs/>
          <w:iCs/>
          <w:lang w:eastAsia="en-CA"/>
        </w:rPr>
      </w:pPr>
      <w:r w:rsidRPr="00C56BC7">
        <w:rPr>
          <w:rFonts w:ascii="Times New Roman" w:eastAsiaTheme="minorEastAsia" w:hAnsi="Times New Roman"/>
          <w:bCs/>
          <w:iCs/>
          <w:lang w:eastAsia="en-CA"/>
        </w:rPr>
        <w:t> In connection with the audit of our financial statements for the fiscal years ended December 31, 2024, a material weakness in our internal control over financial reporting was identified related to insufficient resources to perform an effective review of certain controls related to the financial close process. </w:t>
      </w:r>
    </w:p>
    <w:p w14:paraId="40963DBA" w14:textId="2432DDAF" w:rsidR="00C56BC7" w:rsidRPr="00444D66" w:rsidRDefault="00C56BC7" w:rsidP="0023210C">
      <w:pPr>
        <w:widowControl/>
        <w:spacing w:after="180"/>
        <w:jc w:val="both"/>
        <w:rPr>
          <w:rFonts w:ascii="Times New Roman" w:eastAsiaTheme="minorEastAsia" w:hAnsi="Times New Roman"/>
          <w:bCs/>
          <w:iCs/>
          <w:lang w:eastAsia="en-CA"/>
        </w:rPr>
      </w:pPr>
      <w:r w:rsidRPr="00C56BC7">
        <w:rPr>
          <w:rFonts w:ascii="Times New Roman" w:eastAsiaTheme="minorEastAsia" w:hAnsi="Times New Roman"/>
          <w:bCs/>
          <w:iCs/>
          <w:lang w:eastAsia="en-CA"/>
        </w:rPr>
        <w:t>The identified material weakness, if not corrected, could result in a material misstatement to our consolidated financial statements that may not be prevented or detected. In addition, even if we remediate our material weakness, we may be required to expend significant time and resources to further improve our internal control over financial reporting. If we fail to remediate our material weakness or fail to maintain adequate internal control over financial reporting, any new or recurring material weaknesses could prevent us from concluding that our internal control over financial reporting is effective and impair our ability to prevent material misstatements in our consolidated financial statements, which could cause our business to suffer.</w:t>
      </w:r>
    </w:p>
    <w:p w14:paraId="516949D7" w14:textId="77777777" w:rsidR="00580F8F" w:rsidRPr="00F34E52" w:rsidRDefault="004928E7" w:rsidP="0023210C">
      <w:pPr>
        <w:pStyle w:val="NormalWeb"/>
        <w:spacing w:line="276" w:lineRule="auto"/>
        <w:jc w:val="both"/>
        <w:rPr>
          <w:rFonts w:eastAsia="Times New Roman"/>
        </w:rPr>
      </w:pPr>
      <w:r w:rsidRPr="00F34E52">
        <w:rPr>
          <w:rFonts w:eastAsia="Times New Roman"/>
          <w:b/>
          <w:bCs/>
          <w:i/>
          <w:iCs/>
        </w:rPr>
        <w:t>Our ability to use our net operating losses and certain other tax attributes may be limited.</w:t>
      </w:r>
    </w:p>
    <w:p w14:paraId="4F429C30" w14:textId="663F8B34" w:rsidR="00507E1F" w:rsidRPr="00F34E52" w:rsidRDefault="004928E7" w:rsidP="0023210C">
      <w:pPr>
        <w:widowControl/>
        <w:spacing w:after="180"/>
        <w:jc w:val="both"/>
        <w:rPr>
          <w:rFonts w:ascii="Times New Roman" w:eastAsia="Times New Roman" w:hAnsi="Times New Roman"/>
        </w:rPr>
      </w:pPr>
      <w:r w:rsidRPr="00F34E52">
        <w:rPr>
          <w:rFonts w:ascii="Times New Roman" w:eastAsia="Times New Roman" w:hAnsi="Times New Roman"/>
        </w:rPr>
        <w:t>As</w:t>
      </w:r>
      <w:r w:rsidR="007E3FA5">
        <w:rPr>
          <w:rFonts w:ascii="Times New Roman" w:eastAsia="Times New Roman" w:hAnsi="Times New Roman"/>
        </w:rPr>
        <w:t xml:space="preserve"> of </w:t>
      </w:r>
      <w:r w:rsidR="00584EB8">
        <w:rPr>
          <w:rFonts w:ascii="Times New Roman" w:eastAsia="Times New Roman" w:hAnsi="Times New Roman"/>
        </w:rPr>
        <w:t>December 31, 202</w:t>
      </w:r>
      <w:r w:rsidR="00095351">
        <w:rPr>
          <w:rFonts w:ascii="Times New Roman" w:eastAsia="Times New Roman" w:hAnsi="Times New Roman"/>
        </w:rPr>
        <w:t>4</w:t>
      </w:r>
      <w:r w:rsidRPr="00F34E52">
        <w:rPr>
          <w:rFonts w:ascii="Times New Roman" w:eastAsia="Times New Roman" w:hAnsi="Times New Roman"/>
        </w:rPr>
        <w:t>, we had accumulated net operating losses (“NOLs</w:t>
      </w:r>
      <w:r w:rsidRPr="00970E60">
        <w:rPr>
          <w:rFonts w:ascii="Times New Roman" w:eastAsia="Times New Roman" w:hAnsi="Times New Roman"/>
        </w:rPr>
        <w:t xml:space="preserve">”), </w:t>
      </w:r>
      <w:r w:rsidRPr="00B94315">
        <w:rPr>
          <w:rFonts w:ascii="Times New Roman" w:eastAsia="Times New Roman" w:hAnsi="Times New Roman"/>
        </w:rPr>
        <w:t>of approximately $</w:t>
      </w:r>
      <w:r w:rsidR="00072650" w:rsidRPr="00B94315">
        <w:rPr>
          <w:rFonts w:ascii="Times New Roman" w:eastAsia="Times New Roman" w:hAnsi="Times New Roman"/>
        </w:rPr>
        <w:t>1</w:t>
      </w:r>
      <w:r w:rsidR="00970E60" w:rsidRPr="00B94315">
        <w:rPr>
          <w:rFonts w:ascii="Times New Roman" w:eastAsia="Times New Roman" w:hAnsi="Times New Roman"/>
        </w:rPr>
        <w:t>6</w:t>
      </w:r>
      <w:r w:rsidR="00D6621F" w:rsidRPr="00B94315">
        <w:rPr>
          <w:rFonts w:ascii="Times New Roman" w:eastAsia="Times New Roman" w:hAnsi="Times New Roman"/>
        </w:rPr>
        <w:t>0</w:t>
      </w:r>
      <w:r w:rsidR="00382E2E" w:rsidRPr="00B94315">
        <w:rPr>
          <w:rFonts w:ascii="Times New Roman" w:eastAsia="Times New Roman" w:hAnsi="Times New Roman"/>
        </w:rPr>
        <w:t xml:space="preserve"> </w:t>
      </w:r>
      <w:r w:rsidRPr="00B94315">
        <w:rPr>
          <w:rFonts w:ascii="Times New Roman" w:eastAsia="Times New Roman" w:hAnsi="Times New Roman"/>
        </w:rPr>
        <w:t>million</w:t>
      </w:r>
      <w:r w:rsidR="00514013" w:rsidRPr="00B94315">
        <w:rPr>
          <w:rFonts w:ascii="Times New Roman" w:eastAsia="Times New Roman" w:hAnsi="Times New Roman"/>
        </w:rPr>
        <w:t>.</w:t>
      </w:r>
      <w:r w:rsidR="00D6621F">
        <w:rPr>
          <w:rFonts w:ascii="Times New Roman" w:eastAsia="Times New Roman" w:hAnsi="Times New Roman"/>
        </w:rPr>
        <w:t xml:space="preserve"> Losses for the current period will be evaluated when the tax returns are prepared.</w:t>
      </w:r>
      <w:r w:rsidRPr="00F34E52">
        <w:rPr>
          <w:rFonts w:ascii="Times New Roman" w:eastAsia="Times New Roman" w:hAnsi="Times New Roman"/>
        </w:rPr>
        <w:t xml:space="preserve"> Varying jurisdictional tax codes have restrictions on the use of NOLs, if a corporation undergoes an “ownership change,” the Company’s ability to use its pre-change NOLs, R&amp;D credits and other pre-change tax attributes to offset its post-change income may be limited. An ownership change is generally defined as a greater than 50% change in equity ownership. Based upon an analysis of our equity ownership, we do not believe that we have experienced such ownership changes </w:t>
      </w:r>
      <w:r w:rsidRPr="00F34E52">
        <w:rPr>
          <w:rFonts w:ascii="Times New Roman" w:eastAsia="Times New Roman" w:hAnsi="Times New Roman"/>
        </w:rPr>
        <w:lastRenderedPageBreak/>
        <w:t>and therefore our annual utilization of our NOLs is not limited. However, should we experience additional ownership changes, our NOL carry forwards may be limited.</w:t>
      </w:r>
    </w:p>
    <w:p w14:paraId="496ECA88" w14:textId="77777777" w:rsidR="007964F7" w:rsidRPr="00F34E52" w:rsidRDefault="004928E7" w:rsidP="0023210C">
      <w:pPr>
        <w:widowControl/>
        <w:spacing w:after="180"/>
        <w:jc w:val="both"/>
        <w:rPr>
          <w:rFonts w:ascii="Times New Roman" w:eastAsia="Times New Roman" w:hAnsi="Times New Roman"/>
        </w:rPr>
      </w:pPr>
      <w:r w:rsidRPr="00F34E52">
        <w:rPr>
          <w:rFonts w:ascii="Times New Roman" w:eastAsia="Times New Roman" w:hAnsi="Times New Roman"/>
          <w:b/>
          <w:bCs/>
          <w:i/>
          <w:iCs/>
        </w:rPr>
        <w:t>We are subject to governmental export and import controls that could subject us to liability or impair our ability to compete in international markets.</w:t>
      </w:r>
      <w:r>
        <w:rPr>
          <w:rFonts w:ascii="Times New Roman" w:eastAsia="Times New Roman" w:hAnsi="Times New Roman"/>
          <w:b/>
          <w:bCs/>
          <w:i/>
          <w:iCs/>
        </w:rPr>
        <w:t xml:space="preserve">  Such controls have recently increased for companies in China under the US government’s “control list”, and may further limit or impair our ability to use certain sub-contractors or to sell directly to companies on the list</w:t>
      </w:r>
    </w:p>
    <w:p w14:paraId="3A5CAF3B" w14:textId="77777777" w:rsidR="00580F8F" w:rsidRPr="00F34E52" w:rsidRDefault="004928E7" w:rsidP="0023210C">
      <w:pPr>
        <w:widowControl/>
        <w:spacing w:after="180"/>
        <w:jc w:val="both"/>
        <w:rPr>
          <w:rFonts w:ascii="Times New Roman" w:eastAsia="Times New Roman" w:hAnsi="Times New Roman"/>
        </w:rPr>
      </w:pPr>
      <w:r w:rsidRPr="00F34E52">
        <w:rPr>
          <w:rFonts w:ascii="Times New Roman" w:eastAsia="Times New Roman" w:hAnsi="Times New Roman"/>
        </w:rPr>
        <w:t>We are subject to export and import control laws, trade regulations and other trade requirements that limit which raw materials and technology we can import or export and which products we sell and where and to whom we sell our products. Specifically, the Bureau of Industry and Security of the U.S. Department of Commerce is responsible for regulating the export of most commercial items that are so called dual-use goods that may have both commercial and military applications. A limited number of our products are exported by license under certain classifications. Export Control Classification requirements are dependent upon an item’s technical characteristics, the destination, the end-use, and the end-user, and other activities of the end-user. Should the regulations applicable to our products change, or the restrictions applicable to countries to which we ship our products change, then the export of our products to such countries could be restricted. As a result, our ability to export or sell our products to certain countries could be restricted, which could adversely affect our business, financial condition and results of operations. Changes in our products or any change in export or import regulations or related legislation, shift in approach to the enforcement or scope of existing regulations, or change in the countries, persons or technologies targeted by such regulations, could result in delayed or decreased sales of our products to existing or potential customers. In such event, our business and results of operations could be adversely affected.</w:t>
      </w:r>
    </w:p>
    <w:p w14:paraId="10BB2C86" w14:textId="77777777" w:rsidR="00580F8F" w:rsidRPr="00F34E52" w:rsidRDefault="004928E7" w:rsidP="0023210C">
      <w:pPr>
        <w:widowControl/>
        <w:spacing w:after="180"/>
        <w:jc w:val="both"/>
        <w:rPr>
          <w:rFonts w:ascii="Times New Roman" w:eastAsia="Times New Roman" w:hAnsi="Times New Roman"/>
        </w:rPr>
      </w:pPr>
      <w:r w:rsidRPr="00F34E52">
        <w:rPr>
          <w:rFonts w:ascii="Times New Roman" w:eastAsia="Times New Roman" w:hAnsi="Times New Roman"/>
          <w:b/>
          <w:bCs/>
          <w:i/>
          <w:iCs/>
        </w:rPr>
        <w:t>Our manufacturing operations are subject to environmental regulation that could limit our growth or impose substantial costs, adversely affecting our financial condition and results of operations.</w:t>
      </w:r>
    </w:p>
    <w:p w14:paraId="77A7CC18" w14:textId="77777777" w:rsidR="00580F8F" w:rsidRPr="00F34E52" w:rsidRDefault="004928E7" w:rsidP="0023210C">
      <w:pPr>
        <w:widowControl/>
        <w:spacing w:after="180"/>
        <w:jc w:val="both"/>
        <w:rPr>
          <w:rFonts w:ascii="Times New Roman" w:eastAsia="Times New Roman" w:hAnsi="Times New Roman"/>
        </w:rPr>
      </w:pPr>
      <w:r w:rsidRPr="00F34E52">
        <w:rPr>
          <w:rFonts w:ascii="Times New Roman" w:eastAsia="Times New Roman" w:hAnsi="Times New Roman"/>
        </w:rPr>
        <w:t xml:space="preserve">Our properties, operations and products are subject to the environmental laws and regulations of the jurisdictions in which we operate and sell products. These laws and regulations govern, among other things, air emissions, wastewater discharges, the management and disposal of hazardous materials, the contamination of soil and groundwater, employee health and safety and the content, performance, packaging and disposal of products. Our failure to comply with current and future environmental laws and regulations, or the identification of contamination for which we are liable, could subject us to substantial costs, including fines, </w:t>
      </w:r>
      <w:r w:rsidR="00A063ED" w:rsidRPr="00F34E52">
        <w:rPr>
          <w:rFonts w:ascii="Times New Roman" w:eastAsia="Times New Roman" w:hAnsi="Times New Roman"/>
        </w:rPr>
        <w:t>cleanup</w:t>
      </w:r>
      <w:r w:rsidRPr="00F34E52">
        <w:rPr>
          <w:rFonts w:ascii="Times New Roman" w:eastAsia="Times New Roman" w:hAnsi="Times New Roman"/>
        </w:rPr>
        <w:t xml:space="preserve"> costs, third-party property damages or personal injury claims, and make significant investments to upgrade our facilities or curtail our operations. Identification of presently unidentified environmental conditions, more vigorous enforcement by a governmental authority, enactment of more stringent legal requirements or other unanticipated events could give rise to adverse publicity, restrict our operations, affect the design or marketability of our products or otherwise cause us to incur material environmental costs, adversely affecting our financial condition and results of operations.  </w:t>
      </w:r>
    </w:p>
    <w:p w14:paraId="7B4DB67E" w14:textId="77777777" w:rsidR="00580F8F" w:rsidRPr="00F34E52" w:rsidRDefault="004928E7" w:rsidP="0023210C">
      <w:pPr>
        <w:widowControl/>
        <w:spacing w:after="180"/>
        <w:jc w:val="both"/>
        <w:rPr>
          <w:rFonts w:ascii="Times New Roman" w:eastAsia="Times New Roman" w:hAnsi="Times New Roman"/>
        </w:rPr>
      </w:pPr>
      <w:r w:rsidRPr="00F34E52">
        <w:rPr>
          <w:rFonts w:ascii="Times New Roman" w:eastAsia="Times New Roman" w:hAnsi="Times New Roman"/>
          <w:b/>
          <w:bCs/>
          <w:i/>
          <w:iCs/>
        </w:rPr>
        <w:t xml:space="preserve">We are exposed to risks and increased expenses and business risk </w:t>
      </w:r>
      <w:proofErr w:type="gramStart"/>
      <w:r w:rsidRPr="00F34E52">
        <w:rPr>
          <w:rFonts w:ascii="Times New Roman" w:eastAsia="Times New Roman" w:hAnsi="Times New Roman"/>
          <w:b/>
          <w:bCs/>
          <w:i/>
          <w:iCs/>
        </w:rPr>
        <w:t>as a result of</w:t>
      </w:r>
      <w:proofErr w:type="gramEnd"/>
      <w:r w:rsidRPr="00F34E52">
        <w:rPr>
          <w:rFonts w:ascii="Times New Roman" w:eastAsia="Times New Roman" w:hAnsi="Times New Roman"/>
          <w:b/>
          <w:bCs/>
          <w:i/>
          <w:iCs/>
        </w:rPr>
        <w:t xml:space="preserve"> Restriction on Hazardous Substances, or RoHS directives</w:t>
      </w:r>
      <w:r w:rsidR="007964F7">
        <w:rPr>
          <w:rFonts w:ascii="Times New Roman" w:eastAsia="Times New Roman" w:hAnsi="Times New Roman"/>
          <w:b/>
          <w:bCs/>
          <w:i/>
          <w:iCs/>
        </w:rPr>
        <w:t>, which have been amended but are still in effect.</w:t>
      </w:r>
    </w:p>
    <w:p w14:paraId="6F5EF0B0" w14:textId="6C72A44C" w:rsidR="00580F8F" w:rsidRPr="00F34E52" w:rsidRDefault="004928E7" w:rsidP="0023210C">
      <w:pPr>
        <w:widowControl/>
        <w:spacing w:after="180"/>
        <w:jc w:val="both"/>
        <w:rPr>
          <w:rFonts w:ascii="Times New Roman" w:eastAsia="Times New Roman" w:hAnsi="Times New Roman"/>
        </w:rPr>
      </w:pPr>
      <w:r w:rsidRPr="00F34E52">
        <w:rPr>
          <w:rFonts w:ascii="Times New Roman" w:eastAsia="Times New Roman" w:hAnsi="Times New Roman"/>
        </w:rPr>
        <w:t xml:space="preserve">Following the lead of the European Union, or EU, various governmental agencies have either already put into place or are planning to introduce regulations that regulate the permissible levels of hazardous substances in products sold in various regions of the world. For example, the RoHS directive for EU took effect on July 1, 2006. The labeling provisions of similar legislation in China went into effect on March 1, </w:t>
      </w:r>
      <w:proofErr w:type="gramStart"/>
      <w:r w:rsidRPr="00F34E52">
        <w:rPr>
          <w:rFonts w:ascii="Times New Roman" w:eastAsia="Times New Roman" w:hAnsi="Times New Roman"/>
        </w:rPr>
        <w:t>2007</w:t>
      </w:r>
      <w:proofErr w:type="gramEnd"/>
      <w:r w:rsidR="007964F7">
        <w:rPr>
          <w:rFonts w:ascii="Times New Roman" w:eastAsia="Times New Roman" w:hAnsi="Times New Roman"/>
        </w:rPr>
        <w:t xml:space="preserve"> and is still in effect, as amended</w:t>
      </w:r>
      <w:r w:rsidRPr="00F34E52">
        <w:rPr>
          <w:rFonts w:ascii="Times New Roman" w:eastAsia="Times New Roman" w:hAnsi="Times New Roman"/>
        </w:rPr>
        <w:t xml:space="preserve">. Consequently, many suppliers of products sold into the EU have required their suppliers to be compliant </w:t>
      </w:r>
      <w:r w:rsidRPr="00F34E52">
        <w:rPr>
          <w:rFonts w:ascii="Times New Roman" w:eastAsia="Times New Roman" w:hAnsi="Times New Roman"/>
        </w:rPr>
        <w:lastRenderedPageBreak/>
        <w:t xml:space="preserve">with the new directive. We anticipate that our customers may adopt this approach and will require our full compliance, which will require a significant </w:t>
      </w:r>
      <w:r w:rsidR="009A2D28">
        <w:rPr>
          <w:rFonts w:ascii="Times New Roman" w:eastAsia="Times New Roman" w:hAnsi="Times New Roman"/>
        </w:rPr>
        <w:t>number</w:t>
      </w:r>
      <w:r w:rsidRPr="00F34E52">
        <w:rPr>
          <w:rFonts w:ascii="Times New Roman" w:eastAsia="Times New Roman" w:hAnsi="Times New Roman"/>
        </w:rPr>
        <w:t xml:space="preserve"> of resources and effort in planning and executing our RoHS program, it is possible that some of our products might be incompatible with such regulations. In such events, we could experience the following consequences: loss of revenue, damages reputation, diversion of resources, monetary penalties, and legal action.  </w:t>
      </w:r>
    </w:p>
    <w:p w14:paraId="284485F4" w14:textId="77777777" w:rsidR="00580F8F" w:rsidRPr="00F34E52" w:rsidRDefault="004928E7" w:rsidP="0023210C">
      <w:pPr>
        <w:widowControl/>
        <w:spacing w:after="180"/>
        <w:jc w:val="both"/>
        <w:rPr>
          <w:rFonts w:ascii="Times New Roman" w:eastAsia="Times New Roman" w:hAnsi="Times New Roman"/>
        </w:rPr>
      </w:pPr>
      <w:r w:rsidRPr="00F34E52">
        <w:rPr>
          <w:rFonts w:ascii="Times New Roman" w:eastAsia="Times New Roman" w:hAnsi="Times New Roman"/>
          <w:b/>
          <w:bCs/>
          <w:i/>
          <w:iCs/>
        </w:rPr>
        <w:t>Failure to comply with the U.S. Foreign Corrupt Practices Act could subject us to penalties and other adverse consequences.</w:t>
      </w:r>
    </w:p>
    <w:p w14:paraId="67D39869" w14:textId="77777777" w:rsidR="00580F8F" w:rsidRPr="00F34E52" w:rsidRDefault="004928E7" w:rsidP="0023210C">
      <w:pPr>
        <w:widowControl/>
        <w:spacing w:after="180"/>
        <w:jc w:val="both"/>
        <w:rPr>
          <w:rFonts w:ascii="Times New Roman" w:eastAsia="Times New Roman" w:hAnsi="Times New Roman"/>
        </w:rPr>
      </w:pPr>
      <w:r w:rsidRPr="00F34E52">
        <w:rPr>
          <w:rFonts w:ascii="Times New Roman" w:eastAsia="Times New Roman" w:hAnsi="Times New Roman"/>
        </w:rPr>
        <w:t>We are subject to the U.S. Foreign Corrupt Practices Act, which generally prohibits companies operating in the U.S. from engaging in bribery or other prohibited payments to foreign officials for the purpose of obtaining or retaining business. In addition, we are required to maintain records that accurately and fairly represent our transactions and have an adequate system of internal accounting controls.</w:t>
      </w:r>
      <w:r w:rsidR="00507E1F" w:rsidRPr="00F34E52">
        <w:rPr>
          <w:rFonts w:ascii="Times New Roman" w:eastAsia="Times New Roman" w:hAnsi="Times New Roman"/>
        </w:rPr>
        <w:t xml:space="preserve"> Non-U.S</w:t>
      </w:r>
      <w:r w:rsidR="00E61FD1" w:rsidRPr="00F34E52">
        <w:rPr>
          <w:rFonts w:ascii="Times New Roman" w:eastAsia="Times New Roman" w:hAnsi="Times New Roman"/>
        </w:rPr>
        <w:t>.</w:t>
      </w:r>
      <w:r w:rsidRPr="00F34E52">
        <w:rPr>
          <w:rFonts w:ascii="Times New Roman" w:eastAsia="Times New Roman" w:hAnsi="Times New Roman"/>
        </w:rPr>
        <w:t xml:space="preserve"> companies, including some that may compete with us, may not be subject to these prohibitions, and therefore may have a competitive advantage over us. If we are not successful in implementing and maintaining adequate preventative measures, we may be responsible for acts of our employees or other agents engaging in such conduct. We could suffer severe penalties and other consequences that may have a material adverse effect on our financial condition and results of operations. </w:t>
      </w:r>
    </w:p>
    <w:p w14:paraId="3B8AEBE1" w14:textId="77777777" w:rsidR="00580F8F" w:rsidRPr="00F34E52" w:rsidRDefault="004928E7" w:rsidP="0023210C">
      <w:pPr>
        <w:widowControl/>
        <w:spacing w:after="180"/>
        <w:jc w:val="both"/>
        <w:outlineLvl w:val="0"/>
        <w:rPr>
          <w:rFonts w:ascii="Times New Roman" w:eastAsia="Times New Roman" w:hAnsi="Times New Roman"/>
        </w:rPr>
      </w:pPr>
      <w:r w:rsidRPr="00F34E52">
        <w:rPr>
          <w:rFonts w:ascii="Times New Roman" w:eastAsia="Times New Roman" w:hAnsi="Times New Roman"/>
          <w:b/>
          <w:bCs/>
          <w:i/>
          <w:iCs/>
        </w:rPr>
        <w:t>Natural disasters or other catastrophic events could harm our operations.</w:t>
      </w:r>
    </w:p>
    <w:p w14:paraId="5B87FA9E" w14:textId="77777777" w:rsidR="00580F8F" w:rsidRPr="00F34E52" w:rsidRDefault="004928E7" w:rsidP="0023210C">
      <w:pPr>
        <w:widowControl/>
        <w:spacing w:after="180"/>
        <w:jc w:val="both"/>
        <w:rPr>
          <w:rFonts w:ascii="Times New Roman" w:eastAsia="Times New Roman" w:hAnsi="Times New Roman"/>
        </w:rPr>
      </w:pPr>
      <w:r w:rsidRPr="00F34E52">
        <w:rPr>
          <w:rFonts w:ascii="Times New Roman" w:eastAsia="Times New Roman" w:hAnsi="Times New Roman"/>
        </w:rPr>
        <w:t>Our operations in the U.S., Canada</w:t>
      </w:r>
      <w:r w:rsidR="007964F7">
        <w:rPr>
          <w:rFonts w:ascii="Times New Roman" w:eastAsia="Times New Roman" w:hAnsi="Times New Roman"/>
        </w:rPr>
        <w:t>,</w:t>
      </w:r>
      <w:r w:rsidRPr="00F34E52">
        <w:rPr>
          <w:rFonts w:ascii="Times New Roman" w:eastAsia="Times New Roman" w:hAnsi="Times New Roman"/>
        </w:rPr>
        <w:t xml:space="preserve"> Singapore</w:t>
      </w:r>
      <w:r w:rsidR="007964F7">
        <w:rPr>
          <w:rFonts w:ascii="Times New Roman" w:eastAsia="Times New Roman" w:hAnsi="Times New Roman"/>
        </w:rPr>
        <w:t xml:space="preserve"> and China</w:t>
      </w:r>
      <w:r w:rsidRPr="00F34E52">
        <w:rPr>
          <w:rFonts w:ascii="Times New Roman" w:eastAsia="Times New Roman" w:hAnsi="Times New Roman"/>
        </w:rPr>
        <w:t xml:space="preserve"> could be subject to significant risk of natural disasters, including earthquakes, hurricanes, typhoons, flooding and tornadoes, as well as other catastrophic events, such as epidemics, terrorist attacks or wars. For example, our </w:t>
      </w:r>
      <w:r w:rsidR="007964F7">
        <w:rPr>
          <w:rFonts w:ascii="Times New Roman" w:eastAsia="Times New Roman" w:hAnsi="Times New Roman"/>
        </w:rPr>
        <w:t>testing</w:t>
      </w:r>
      <w:r w:rsidRPr="00F34E52">
        <w:rPr>
          <w:rFonts w:ascii="Times New Roman" w:eastAsia="Times New Roman" w:hAnsi="Times New Roman"/>
        </w:rPr>
        <w:t xml:space="preserve"> facility in Singapore is in an area that is susceptible to hurricanes. Any disruption in </w:t>
      </w:r>
      <w:r w:rsidR="007964F7">
        <w:rPr>
          <w:rFonts w:ascii="Times New Roman" w:eastAsia="Times New Roman" w:hAnsi="Times New Roman"/>
        </w:rPr>
        <w:t xml:space="preserve">our </w:t>
      </w:r>
      <w:r w:rsidRPr="00F34E52">
        <w:rPr>
          <w:rFonts w:ascii="Times New Roman" w:eastAsia="Times New Roman" w:hAnsi="Times New Roman"/>
        </w:rPr>
        <w:t xml:space="preserve">facilities </w:t>
      </w:r>
      <w:r w:rsidR="007964F7">
        <w:rPr>
          <w:rFonts w:ascii="Times New Roman" w:eastAsia="Times New Roman" w:hAnsi="Times New Roman"/>
        </w:rPr>
        <w:t xml:space="preserve">or those of our contractors and suppliers </w:t>
      </w:r>
      <w:r w:rsidRPr="00F34E52">
        <w:rPr>
          <w:rFonts w:ascii="Times New Roman" w:eastAsia="Times New Roman" w:hAnsi="Times New Roman"/>
        </w:rPr>
        <w:t>arising from these and other natural disasters or other catastrophic events could cause significant delays in the production or shipment of our products until we are able to arrange for third parties to manufacture our products. We may not be able to obtain alternate capacity on favorable terms or at all. Our property insurance coverage with respect to natural disaster is limited and is subject to deductible and coverage limits. Such coverage may not be adequate or continue to be available at commercially reasonable rates and terms. The occurrence of any of these circumstances may adversely affect our financial condition and results of operation. </w:t>
      </w:r>
    </w:p>
    <w:p w14:paraId="0AA65E1D" w14:textId="77777777" w:rsidR="00606D6D" w:rsidRPr="00F34E52" w:rsidRDefault="004928E7" w:rsidP="0023210C">
      <w:pPr>
        <w:widowControl/>
        <w:spacing w:after="180"/>
        <w:jc w:val="both"/>
        <w:rPr>
          <w:rFonts w:ascii="Times New Roman" w:eastAsia="Times New Roman" w:hAnsi="Times New Roman"/>
        </w:rPr>
      </w:pPr>
      <w:r w:rsidRPr="00F34E52">
        <w:rPr>
          <w:rFonts w:ascii="Times New Roman" w:eastAsia="Times New Roman" w:hAnsi="Times New Roman"/>
          <w:b/>
          <w:bCs/>
          <w:i/>
          <w:iCs/>
        </w:rPr>
        <w:t>We may be subject to disruptions or failures in information technology systems and network infrastructures that could have a material adverse effect on our business and financial condition.</w:t>
      </w:r>
    </w:p>
    <w:p w14:paraId="2B75226D" w14:textId="77777777" w:rsidR="00606D6D" w:rsidRPr="00F34E52" w:rsidRDefault="004928E7" w:rsidP="0023210C">
      <w:pPr>
        <w:widowControl/>
        <w:spacing w:after="180"/>
        <w:jc w:val="both"/>
        <w:rPr>
          <w:rFonts w:ascii="Times New Roman" w:eastAsia="Times New Roman" w:hAnsi="Times New Roman"/>
        </w:rPr>
      </w:pPr>
      <w:r w:rsidRPr="00F34E52">
        <w:rPr>
          <w:rFonts w:ascii="Times New Roman" w:eastAsia="Times New Roman" w:hAnsi="Times New Roman"/>
        </w:rPr>
        <w:t xml:space="preserve">We rely on the efficient and uninterrupted operation of complex information technology systems and network infrastructures to operate our business. A disruption, infiltration or failure of our information technology systems as a result of software or hardware malfunctions, system implementations or upgrades, computer viruses, third-party security breaches, employee error, theft or misuse, malfeasance, power disruptions, natural disasters or accidents could cause a breach of data security, loss of intellectual property and critical data and the release and misappropriation of sensitive competitive information and partner, customer, and employee personal data. Any of these events could harm our competitive position, result in a loss of customer confidence, cause us to incur significant costs to remedy any damages </w:t>
      </w:r>
      <w:r w:rsidR="00C7688E">
        <w:rPr>
          <w:rFonts w:ascii="Times New Roman" w:eastAsia="Times New Roman" w:hAnsi="Times New Roman"/>
        </w:rPr>
        <w:t>f</w:t>
      </w:r>
      <w:r w:rsidRPr="00F34E52">
        <w:rPr>
          <w:rFonts w:ascii="Times New Roman" w:eastAsia="Times New Roman" w:hAnsi="Times New Roman"/>
        </w:rPr>
        <w:t>and ultimately materially adversely affect our business and financial condition.</w:t>
      </w:r>
    </w:p>
    <w:p w14:paraId="47B689A9" w14:textId="77777777" w:rsidR="00422912" w:rsidRPr="00F34E52" w:rsidRDefault="004928E7" w:rsidP="0023210C">
      <w:pPr>
        <w:widowControl/>
        <w:spacing w:after="180"/>
        <w:jc w:val="both"/>
        <w:rPr>
          <w:rFonts w:ascii="Times New Roman" w:eastAsia="Times New Roman" w:hAnsi="Times New Roman"/>
          <w:b/>
          <w:i/>
        </w:rPr>
      </w:pPr>
      <w:r w:rsidRPr="00F34E52">
        <w:rPr>
          <w:rFonts w:ascii="Times New Roman" w:eastAsia="Times New Roman" w:hAnsi="Times New Roman"/>
          <w:b/>
          <w:i/>
        </w:rPr>
        <w:t>A significant disruption in, or breach in security of, our information technology systems or violations of data protection laws could materially adversely affect our business and reputation.</w:t>
      </w:r>
    </w:p>
    <w:p w14:paraId="40CBFEF9" w14:textId="77777777" w:rsidR="00422912" w:rsidRDefault="004928E7" w:rsidP="0023210C">
      <w:pPr>
        <w:widowControl/>
        <w:spacing w:after="180"/>
        <w:jc w:val="both"/>
        <w:rPr>
          <w:rFonts w:ascii="Times New Roman" w:eastAsia="Times New Roman" w:hAnsi="Times New Roman"/>
        </w:rPr>
      </w:pPr>
      <w:r w:rsidRPr="00F34E52">
        <w:rPr>
          <w:rFonts w:ascii="Times New Roman" w:eastAsia="Times New Roman" w:hAnsi="Times New Roman"/>
        </w:rPr>
        <w:lastRenderedPageBreak/>
        <w:t>In the ordinary course of business, we collect and store confidential information, including proprietary business information belonging to us, our customers, suppliers, business partners and other third parties and personally identifiable information of our employees. We rely on information technology systems to protect this information and to keep financial records, process orders, manage inventory, coordinate shipments to customers, and operate other critical functions. Our information technology systems may be susceptible to damage, disruptions or shutdowns due to power outages, hardware failures, telecommunication failures and user errors. If we experience a disruption in our information technology systems, it could result in the loss of sales and customers and significant incremental costs, which could materially adversely affect our business. We may also be subject to security breaches caused by computer viruses, illegal break-ins or hacking, sabotage, or acts of vandalism by disgruntled employees or third parties. The risk of a security breach or disruption, particularly through cyberattack or cyber intrusion, including by computer hackers, foreign governments and cyber terrorists, has increased as the number, intensity and sophistication of attempted attacks and intrusions from around the world have increased. Our information technology network and systems have been and, we believe, continue to be under constant attack. Accordingly, despite our security measures or those of our third-party service providers, a security breach may occur, including breaches that we may not be able to detect. Security breaches of our information technology systems could result in the misappropriation or unauthorized disclosure of confidential</w:t>
      </w:r>
      <w:r w:rsidR="00205456" w:rsidRPr="00F34E52">
        <w:rPr>
          <w:rFonts w:ascii="Times New Roman" w:eastAsia="Times New Roman" w:hAnsi="Times New Roman"/>
        </w:rPr>
        <w:t xml:space="preserve"> information.</w:t>
      </w:r>
      <w:r w:rsidR="00FE3A5F">
        <w:rPr>
          <w:rFonts w:ascii="Times New Roman" w:eastAsia="Times New Roman" w:hAnsi="Times New Roman"/>
        </w:rPr>
        <w:t xml:space="preserve"> </w:t>
      </w:r>
      <w:r w:rsidR="00FE3A5F" w:rsidRPr="00FE3A5F">
        <w:rPr>
          <w:rFonts w:ascii="Times New Roman" w:eastAsia="Times New Roman" w:hAnsi="Times New Roman"/>
        </w:rPr>
        <w:t>Such breaches could also result in legal action against us by third parties.</w:t>
      </w:r>
    </w:p>
    <w:p w14:paraId="48266D8B" w14:textId="26515E25" w:rsidR="00F174F4" w:rsidRPr="00420B8B" w:rsidRDefault="00F174F4" w:rsidP="0023210C">
      <w:pPr>
        <w:widowControl/>
        <w:spacing w:after="180"/>
        <w:jc w:val="both"/>
        <w:rPr>
          <w:rFonts w:ascii="Times New Roman" w:hAnsi="Times New Roman"/>
          <w:b/>
          <w:bCs/>
          <w:i/>
          <w:iCs/>
        </w:rPr>
      </w:pPr>
      <w:r w:rsidRPr="00420B8B">
        <w:rPr>
          <w:rFonts w:ascii="Times New Roman" w:hAnsi="Times New Roman"/>
          <w:b/>
          <w:bCs/>
          <w:i/>
          <w:iCs/>
        </w:rPr>
        <w:t>Impact of New Tariffs on Supply Chain and Cost Structure</w:t>
      </w:r>
    </w:p>
    <w:p w14:paraId="0439677F" w14:textId="171E2E61" w:rsidR="00F174F4" w:rsidRPr="00F174F4" w:rsidRDefault="00F174F4" w:rsidP="0023210C">
      <w:pPr>
        <w:widowControl/>
        <w:spacing w:after="180"/>
        <w:jc w:val="both"/>
        <w:rPr>
          <w:rFonts w:ascii="Times New Roman" w:eastAsia="Times New Roman" w:hAnsi="Times New Roman"/>
        </w:rPr>
      </w:pPr>
      <w:r w:rsidRPr="00F174F4">
        <w:rPr>
          <w:rFonts w:ascii="Times New Roman" w:eastAsia="Times New Roman" w:hAnsi="Times New Roman"/>
          <w:lang w:val="en-CA"/>
        </w:rPr>
        <w:t>The implementation of new tariffs or changes to existing trade policies, particularly in the United States, may negatively affect POET Technologies’ global supply chain and cost structure. Tariffs on imported components or finished goods could increase the cost of materials and manufacturing, leading to higher overall production expenses. This could impact the company’s profitability, pricing strategies, and competitive positioning in key markets. While POET Technologies continues to evaluate strategies to mitigate these risks, including potential alternative sourcing options, the unpredictability of future trade policies presents a significant challenge that could adversely affect the company’s financial performance.</w:t>
      </w:r>
    </w:p>
    <w:p w14:paraId="6D01637B" w14:textId="29FE1D3A" w:rsidR="007964F7" w:rsidRPr="0023210C" w:rsidRDefault="005833FA" w:rsidP="0023210C">
      <w:pPr>
        <w:pStyle w:val="NormalWeb"/>
        <w:spacing w:before="0" w:line="276" w:lineRule="auto"/>
        <w:ind w:right="149"/>
        <w:jc w:val="both"/>
        <w:rPr>
          <w:b/>
          <w:bCs/>
          <w:i/>
          <w:iCs/>
          <w:sz w:val="22"/>
          <w:szCs w:val="22"/>
          <w:lang w:val="en-US"/>
        </w:rPr>
      </w:pPr>
      <w:r>
        <w:rPr>
          <w:b/>
          <w:bCs/>
          <w:i/>
          <w:iCs/>
          <w:sz w:val="22"/>
          <w:szCs w:val="22"/>
          <w:lang w:val="en-US"/>
        </w:rPr>
        <w:t xml:space="preserve">Outbreaks of diseases and public health crises </w:t>
      </w:r>
      <w:r w:rsidR="004928E7" w:rsidRPr="0023210C">
        <w:rPr>
          <w:b/>
          <w:bCs/>
          <w:i/>
          <w:iCs/>
          <w:sz w:val="22"/>
          <w:szCs w:val="22"/>
          <w:lang w:val="en-US"/>
        </w:rPr>
        <w:t>could delay our development activities and adversely affect our results of operations.</w:t>
      </w:r>
    </w:p>
    <w:p w14:paraId="702CCFD2" w14:textId="77777777" w:rsidR="00162E8D" w:rsidRPr="002658E0" w:rsidRDefault="004928E7" w:rsidP="00162E8D">
      <w:pPr>
        <w:pStyle w:val="NormalWeb"/>
        <w:spacing w:line="276" w:lineRule="auto"/>
        <w:ind w:right="149"/>
        <w:jc w:val="both"/>
        <w:rPr>
          <w:rFonts w:eastAsia="Times New Roman"/>
          <w:sz w:val="22"/>
          <w:szCs w:val="22"/>
          <w:lang w:val="en-US" w:eastAsia="en-US"/>
        </w:rPr>
      </w:pPr>
      <w:r w:rsidRPr="002658E0">
        <w:rPr>
          <w:rFonts w:eastAsia="Times New Roman"/>
          <w:sz w:val="22"/>
          <w:szCs w:val="22"/>
          <w:lang w:val="en-US" w:eastAsia="en-US"/>
        </w:rPr>
        <w:t>T</w:t>
      </w:r>
      <w:r w:rsidR="005833FA" w:rsidRPr="002658E0">
        <w:rPr>
          <w:rFonts w:eastAsia="Times New Roman"/>
          <w:sz w:val="22"/>
          <w:szCs w:val="22"/>
          <w:lang w:val="en-US" w:eastAsia="en-US"/>
        </w:rPr>
        <w:t xml:space="preserve">he Company faces risks related to health epidemics and other outbreaks of communicable diseases, which could significantly disrupt its operations and may materially and adversely affect its business and financial conditions. </w:t>
      </w:r>
    </w:p>
    <w:p w14:paraId="17891952" w14:textId="56B17044" w:rsidR="007964F7" w:rsidRPr="002658E0" w:rsidRDefault="005833FA" w:rsidP="00162E8D">
      <w:pPr>
        <w:pStyle w:val="NormalWeb"/>
        <w:spacing w:line="276" w:lineRule="auto"/>
        <w:ind w:right="149"/>
        <w:jc w:val="both"/>
        <w:rPr>
          <w:rFonts w:eastAsia="Times New Roman"/>
          <w:sz w:val="22"/>
          <w:szCs w:val="22"/>
          <w:lang w:val="en-US" w:eastAsia="en-US"/>
        </w:rPr>
      </w:pPr>
      <w:r w:rsidRPr="002658E0">
        <w:rPr>
          <w:rFonts w:eastAsia="Times New Roman"/>
          <w:sz w:val="22"/>
          <w:szCs w:val="22"/>
          <w:lang w:val="en-US" w:eastAsia="en-US"/>
        </w:rPr>
        <w:t xml:space="preserve">The Company continues to monitor the developments and impacts of any health crises and pandemic diseases as they may arise. The Company cannot estimate whether, or to what extent, any future outbreak of epidemics or pandemics or other health crises may have an impact on the business, operations and financial condition of the </w:t>
      </w:r>
      <w:r w:rsidR="004928E7" w:rsidRPr="002658E0">
        <w:rPr>
          <w:rFonts w:eastAsia="Times New Roman"/>
          <w:sz w:val="22"/>
          <w:szCs w:val="22"/>
          <w:lang w:val="en-US" w:eastAsia="en-US"/>
        </w:rPr>
        <w:t>Company</w:t>
      </w:r>
      <w:r w:rsidRPr="002658E0">
        <w:rPr>
          <w:rFonts w:eastAsia="Times New Roman"/>
          <w:sz w:val="22"/>
          <w:szCs w:val="22"/>
          <w:lang w:val="en-US" w:eastAsia="en-US"/>
        </w:rPr>
        <w:t xml:space="preserve">. </w:t>
      </w:r>
      <w:r w:rsidR="004928E7" w:rsidRPr="002658E0">
        <w:rPr>
          <w:rFonts w:eastAsia="Times New Roman"/>
          <w:sz w:val="22"/>
          <w:szCs w:val="22"/>
          <w:lang w:val="en-US" w:eastAsia="en-US"/>
        </w:rPr>
        <w:t xml:space="preserve"> </w:t>
      </w:r>
      <w:r w:rsidRPr="002658E0">
        <w:rPr>
          <w:rFonts w:eastAsia="Times New Roman"/>
          <w:sz w:val="22"/>
          <w:szCs w:val="22"/>
          <w:lang w:val="en-US" w:eastAsia="en-US"/>
        </w:rPr>
        <w:t>The outbreak of epidemics, pandemics or other public health crises, such as COVID-19 pandemic, may result in volatility and disruptions global supply chains and financial markets, as well as declining trade and market sentiment and reduced mobility of people, all of which could affect prices, interest rates, credit ratings, credit risk, share prices and inflation. The risks to the Company of such public health crises also include risks to employee health and safety, a slowdown or temporary suspension of operations in geographic locations impacted by an outbreak, increased labor costs, regulatory changes, political or economic instabilities or civil unrest as well as the Company</w:t>
      </w:r>
      <w:r w:rsidR="00F312A7" w:rsidRPr="002658E0">
        <w:rPr>
          <w:rFonts w:eastAsia="Times New Roman"/>
          <w:sz w:val="22"/>
          <w:szCs w:val="22"/>
          <w:lang w:val="en-US" w:eastAsia="en-US"/>
        </w:rPr>
        <w:t>’</w:t>
      </w:r>
      <w:r w:rsidRPr="002658E0">
        <w:rPr>
          <w:rFonts w:eastAsia="Times New Roman"/>
          <w:sz w:val="22"/>
          <w:szCs w:val="22"/>
          <w:lang w:val="en-US" w:eastAsia="en-US"/>
        </w:rPr>
        <w:t>s ability to service its obligations as they arise. As such, the impacts of such crises may have a material adverse effect on the Company</w:t>
      </w:r>
      <w:r w:rsidR="00F312A7" w:rsidRPr="002658E0">
        <w:rPr>
          <w:rFonts w:eastAsia="Times New Roman"/>
          <w:sz w:val="22"/>
          <w:szCs w:val="22"/>
          <w:lang w:val="en-US" w:eastAsia="en-US"/>
        </w:rPr>
        <w:t>’</w:t>
      </w:r>
      <w:r w:rsidRPr="002658E0">
        <w:rPr>
          <w:rFonts w:eastAsia="Times New Roman"/>
          <w:sz w:val="22"/>
          <w:szCs w:val="22"/>
          <w:lang w:val="en-US" w:eastAsia="en-US"/>
        </w:rPr>
        <w:t xml:space="preserve">s business, results of operations and </w:t>
      </w:r>
      <w:r w:rsidRPr="002658E0">
        <w:rPr>
          <w:rFonts w:eastAsia="Times New Roman"/>
          <w:sz w:val="22"/>
          <w:szCs w:val="22"/>
          <w:lang w:val="en-US" w:eastAsia="en-US"/>
        </w:rPr>
        <w:lastRenderedPageBreak/>
        <w:t>financial condition and the market price of the Common Shares. There can be no assurance that the Company</w:t>
      </w:r>
      <w:r w:rsidR="00F312A7" w:rsidRPr="002658E0">
        <w:rPr>
          <w:rFonts w:eastAsia="Times New Roman"/>
          <w:sz w:val="22"/>
          <w:szCs w:val="22"/>
          <w:lang w:val="en-US" w:eastAsia="en-US"/>
        </w:rPr>
        <w:t>’</w:t>
      </w:r>
      <w:r w:rsidRPr="002658E0">
        <w:rPr>
          <w:rFonts w:eastAsia="Times New Roman"/>
          <w:sz w:val="22"/>
          <w:szCs w:val="22"/>
          <w:lang w:val="en-US" w:eastAsia="en-US"/>
        </w:rPr>
        <w:t>s personnel or its contractors</w:t>
      </w:r>
      <w:r w:rsidR="00F312A7" w:rsidRPr="002658E0">
        <w:rPr>
          <w:rFonts w:eastAsia="Times New Roman"/>
          <w:sz w:val="22"/>
          <w:szCs w:val="22"/>
          <w:lang w:val="en-US" w:eastAsia="en-US"/>
        </w:rPr>
        <w:t>’</w:t>
      </w:r>
      <w:r w:rsidRPr="002658E0">
        <w:rPr>
          <w:rFonts w:eastAsia="Times New Roman"/>
          <w:sz w:val="22"/>
          <w:szCs w:val="22"/>
          <w:lang w:val="en-US" w:eastAsia="en-US"/>
        </w:rPr>
        <w:t xml:space="preserve"> personnel will not be impacted by these pandemic diseases and ultimately see its workforce productivity reduced or incur increased safety and medical costs / insurance premiums </w:t>
      </w:r>
      <w:proofErr w:type="gramStart"/>
      <w:r w:rsidRPr="002658E0">
        <w:rPr>
          <w:rFonts w:eastAsia="Times New Roman"/>
          <w:sz w:val="22"/>
          <w:szCs w:val="22"/>
          <w:lang w:val="en-US" w:eastAsia="en-US"/>
        </w:rPr>
        <w:t>as a result of</w:t>
      </w:r>
      <w:proofErr w:type="gramEnd"/>
      <w:r w:rsidRPr="002658E0">
        <w:rPr>
          <w:rFonts w:eastAsia="Times New Roman"/>
          <w:sz w:val="22"/>
          <w:szCs w:val="22"/>
          <w:lang w:val="en-US" w:eastAsia="en-US"/>
        </w:rPr>
        <w:t xml:space="preserve"> these health risks.</w:t>
      </w:r>
    </w:p>
    <w:p w14:paraId="019D1A49" w14:textId="2A04C71E" w:rsidR="007964F7" w:rsidRPr="007F2A0C" w:rsidRDefault="004928E7" w:rsidP="0023210C">
      <w:pPr>
        <w:widowControl/>
        <w:spacing w:after="180"/>
        <w:jc w:val="both"/>
        <w:rPr>
          <w:rFonts w:ascii="Times New Roman" w:eastAsia="Times New Roman" w:hAnsi="Times New Roman"/>
          <w:b/>
          <w:bCs/>
        </w:rPr>
      </w:pPr>
      <w:r w:rsidRPr="007F2A0C">
        <w:rPr>
          <w:rFonts w:ascii="Times New Roman" w:eastAsia="Times New Roman" w:hAnsi="Times New Roman"/>
        </w:rPr>
        <w:t>Please refer to the Company</w:t>
      </w:r>
      <w:r w:rsidR="006E3065" w:rsidRPr="007F2A0C">
        <w:rPr>
          <w:rFonts w:ascii="Times New Roman" w:eastAsia="Times New Roman" w:hAnsi="Times New Roman"/>
        </w:rPr>
        <w:t>’</w:t>
      </w:r>
      <w:r w:rsidRPr="007F2A0C">
        <w:rPr>
          <w:rFonts w:ascii="Times New Roman" w:eastAsia="Times New Roman" w:hAnsi="Times New Roman"/>
        </w:rPr>
        <w:t xml:space="preserve">s </w:t>
      </w:r>
      <w:r w:rsidR="005833FA" w:rsidRPr="007F2A0C">
        <w:rPr>
          <w:rFonts w:ascii="Times New Roman" w:eastAsia="Times New Roman" w:hAnsi="Times New Roman"/>
        </w:rPr>
        <w:t xml:space="preserve">most recent </w:t>
      </w:r>
      <w:r w:rsidRPr="007F2A0C">
        <w:rPr>
          <w:rFonts w:ascii="Times New Roman" w:eastAsia="Times New Roman" w:hAnsi="Times New Roman"/>
        </w:rPr>
        <w:t>Annual Information Form filed on SEDAR</w:t>
      </w:r>
      <w:r w:rsidR="00660662" w:rsidRPr="007F2A0C">
        <w:rPr>
          <w:rFonts w:ascii="Times New Roman" w:eastAsia="Times New Roman" w:hAnsi="Times New Roman"/>
        </w:rPr>
        <w:t>+</w:t>
      </w:r>
      <w:r w:rsidRPr="007F2A0C">
        <w:rPr>
          <w:rFonts w:ascii="Times New Roman" w:eastAsia="Times New Roman" w:hAnsi="Times New Roman"/>
        </w:rPr>
        <w:t xml:space="preserve"> </w:t>
      </w:r>
      <w:r w:rsidR="005833FA" w:rsidRPr="007F2A0C">
        <w:rPr>
          <w:rFonts w:ascii="Times New Roman" w:eastAsia="Times New Roman" w:hAnsi="Times New Roman"/>
        </w:rPr>
        <w:t xml:space="preserve">at </w:t>
      </w:r>
      <w:hyperlink r:id="rId16" w:history="1">
        <w:r w:rsidR="005833FA" w:rsidRPr="007F2A0C">
          <w:rPr>
            <w:rStyle w:val="Hyperlink"/>
            <w:rFonts w:ascii="Times New Roman" w:eastAsia="Times New Roman" w:hAnsi="Times New Roman"/>
          </w:rPr>
          <w:t>www.sedarplus.ca</w:t>
        </w:r>
      </w:hyperlink>
      <w:r w:rsidR="005833FA" w:rsidRPr="007F2A0C">
        <w:rPr>
          <w:rFonts w:ascii="Times New Roman" w:eastAsia="Times New Roman" w:hAnsi="Times New Roman"/>
        </w:rPr>
        <w:t xml:space="preserve"> </w:t>
      </w:r>
      <w:r w:rsidRPr="007F2A0C">
        <w:rPr>
          <w:rFonts w:ascii="Times New Roman" w:eastAsia="Times New Roman" w:hAnsi="Times New Roman"/>
        </w:rPr>
        <w:t>for a detailed discussion of</w:t>
      </w:r>
      <w:r w:rsidR="005833FA" w:rsidRPr="007F2A0C">
        <w:rPr>
          <w:rFonts w:ascii="Times New Roman" w:eastAsia="Times New Roman" w:hAnsi="Times New Roman"/>
        </w:rPr>
        <w:t xml:space="preserve"> the risks facing the Company. </w:t>
      </w:r>
    </w:p>
    <w:p w14:paraId="03061E8B" w14:textId="77777777" w:rsidR="000F0A0B" w:rsidRPr="00233B8E" w:rsidRDefault="004928E7" w:rsidP="0023210C">
      <w:pPr>
        <w:keepNext/>
        <w:widowControl/>
        <w:spacing w:after="50"/>
        <w:jc w:val="both"/>
        <w:outlineLvl w:val="0"/>
        <w:rPr>
          <w:rFonts w:ascii="Times New Roman" w:eastAsia="Times New Roman" w:hAnsi="Times New Roman"/>
          <w:b/>
          <w:i/>
        </w:rPr>
      </w:pPr>
      <w:r w:rsidRPr="00233B8E">
        <w:rPr>
          <w:rFonts w:ascii="Times New Roman" w:eastAsia="Times New Roman" w:hAnsi="Times New Roman"/>
          <w:b/>
          <w:i/>
        </w:rPr>
        <w:t>Additional Information</w:t>
      </w:r>
    </w:p>
    <w:p w14:paraId="1CCE5A92" w14:textId="4E23638C" w:rsidR="00D36138" w:rsidRPr="00DB0E97" w:rsidRDefault="004928E7" w:rsidP="0023210C">
      <w:pPr>
        <w:widowControl/>
        <w:spacing w:after="240"/>
        <w:jc w:val="both"/>
        <w:rPr>
          <w:rFonts w:ascii="Times New Roman" w:eastAsia="Times New Roman" w:hAnsi="Times New Roman"/>
        </w:rPr>
      </w:pPr>
      <w:r w:rsidRPr="00F34E52">
        <w:rPr>
          <w:rFonts w:ascii="Times New Roman" w:eastAsia="Times New Roman" w:hAnsi="Times New Roman"/>
        </w:rPr>
        <w:t>Additional information relating to the Company is available on SEDAR</w:t>
      </w:r>
      <w:r w:rsidR="00660662">
        <w:rPr>
          <w:rFonts w:ascii="Times New Roman" w:eastAsia="Times New Roman" w:hAnsi="Times New Roman"/>
        </w:rPr>
        <w:t>+</w:t>
      </w:r>
      <w:r w:rsidRPr="00F34E52">
        <w:rPr>
          <w:rFonts w:ascii="Times New Roman" w:eastAsia="Times New Roman" w:hAnsi="Times New Roman"/>
        </w:rPr>
        <w:t xml:space="preserve"> at </w:t>
      </w:r>
      <w:hyperlink r:id="rId17" w:history="1">
        <w:r w:rsidR="005833FA" w:rsidRPr="00656F0B">
          <w:rPr>
            <w:rStyle w:val="Hyperlink"/>
            <w:rFonts w:ascii="Times New Roman" w:eastAsia="Times New Roman" w:hAnsi="Times New Roman"/>
          </w:rPr>
          <w:t>www.sedarplus.ca</w:t>
        </w:r>
      </w:hyperlink>
      <w:r w:rsidR="005833FA">
        <w:rPr>
          <w:rFonts w:ascii="Times New Roman" w:eastAsia="Times New Roman" w:hAnsi="Times New Roman"/>
        </w:rPr>
        <w:t xml:space="preserve"> i</w:t>
      </w:r>
      <w:r w:rsidRPr="00F34E52">
        <w:rPr>
          <w:rFonts w:ascii="Times New Roman" w:eastAsia="Times New Roman" w:hAnsi="Times New Roman"/>
        </w:rPr>
        <w:t>ncluding the information contained in the Company</w:t>
      </w:r>
      <w:r w:rsidR="006E3065">
        <w:rPr>
          <w:rFonts w:ascii="Times New Roman" w:eastAsia="Times New Roman" w:hAnsi="Times New Roman"/>
        </w:rPr>
        <w:t>’</w:t>
      </w:r>
      <w:r w:rsidRPr="00F34E52">
        <w:rPr>
          <w:rFonts w:ascii="Times New Roman" w:eastAsia="Times New Roman" w:hAnsi="Times New Roman"/>
        </w:rPr>
        <w:t xml:space="preserve">s Annual Information </w:t>
      </w:r>
      <w:r w:rsidR="00854230" w:rsidRPr="00F9165B">
        <w:rPr>
          <w:rFonts w:ascii="Times New Roman" w:eastAsia="Times New Roman" w:hAnsi="Times New Roman"/>
        </w:rPr>
        <w:t xml:space="preserve">Form </w:t>
      </w:r>
      <w:r w:rsidRPr="000A3A42">
        <w:rPr>
          <w:rFonts w:ascii="Times New Roman" w:eastAsia="Times New Roman" w:hAnsi="Times New Roman"/>
        </w:rPr>
        <w:t>filed on SEDAR</w:t>
      </w:r>
      <w:r w:rsidR="00660662">
        <w:rPr>
          <w:rFonts w:ascii="Times New Roman" w:eastAsia="Times New Roman" w:hAnsi="Times New Roman"/>
        </w:rPr>
        <w:t>+</w:t>
      </w:r>
      <w:r w:rsidR="005833FA">
        <w:rPr>
          <w:rFonts w:ascii="Times New Roman" w:eastAsia="Times New Roman" w:hAnsi="Times New Roman"/>
        </w:rPr>
        <w:t xml:space="preserve"> at </w:t>
      </w:r>
      <w:hyperlink r:id="rId18" w:history="1">
        <w:r w:rsidR="005833FA" w:rsidRPr="00656F0B">
          <w:rPr>
            <w:rStyle w:val="Hyperlink"/>
            <w:rFonts w:ascii="Times New Roman" w:eastAsia="Times New Roman" w:hAnsi="Times New Roman"/>
          </w:rPr>
          <w:t>www.sedarplus.ca</w:t>
        </w:r>
      </w:hyperlink>
      <w:r w:rsidRPr="00192715">
        <w:rPr>
          <w:rFonts w:ascii="Times New Roman" w:eastAsia="Times New Roman" w:hAnsi="Times New Roman"/>
        </w:rPr>
        <w:t>.</w:t>
      </w:r>
    </w:p>
    <w:p w14:paraId="33754820" w14:textId="77777777" w:rsidR="00F67788" w:rsidRPr="00B17679" w:rsidRDefault="004928E7" w:rsidP="0023210C">
      <w:pPr>
        <w:rPr>
          <w:rFonts w:ascii="Arial" w:hAnsi="Arial" w:cs="Arial"/>
        </w:rPr>
      </w:pPr>
      <w:r w:rsidRPr="00B17679">
        <w:rPr>
          <w:rFonts w:ascii="Arial" w:hAnsi="Arial" w:cs="Arial"/>
        </w:rPr>
        <w:br w:type="page"/>
      </w:r>
    </w:p>
    <w:p w14:paraId="355CBDD8" w14:textId="77777777" w:rsidR="000F0A0B" w:rsidRPr="00B17679" w:rsidRDefault="000F0A0B" w:rsidP="00D36138">
      <w:pPr>
        <w:widowControl/>
        <w:spacing w:after="240" w:line="240" w:lineRule="auto"/>
        <w:jc w:val="both"/>
        <w:rPr>
          <w:rFonts w:ascii="Arial" w:hAnsi="Arial" w:cs="Arial"/>
        </w:rPr>
      </w:pPr>
    </w:p>
    <w:p w14:paraId="41EBCADE" w14:textId="77777777" w:rsidR="008D7539" w:rsidRPr="00B17679" w:rsidRDefault="008D7539" w:rsidP="00D36138">
      <w:pPr>
        <w:widowControl/>
        <w:spacing w:after="240" w:line="240" w:lineRule="auto"/>
        <w:jc w:val="both"/>
        <w:rPr>
          <w:rFonts w:ascii="Arial" w:hAnsi="Arial" w:cs="Arial"/>
        </w:rPr>
      </w:pPr>
    </w:p>
    <w:p w14:paraId="0DD27C1C" w14:textId="77777777" w:rsidR="008D7539" w:rsidRPr="00B17679" w:rsidRDefault="008D7539" w:rsidP="008D7539">
      <w:pPr>
        <w:widowControl/>
        <w:spacing w:after="100" w:line="240" w:lineRule="auto"/>
        <w:jc w:val="both"/>
        <w:rPr>
          <w:rFonts w:ascii="Times New Roman" w:eastAsia="Times New Roman" w:hAnsi="Times New Roman"/>
        </w:rPr>
      </w:pPr>
    </w:p>
    <w:p w14:paraId="5EEFE4AF" w14:textId="77777777" w:rsidR="00CD4205" w:rsidRPr="00B17679" w:rsidRDefault="00CD4205" w:rsidP="00CD4205">
      <w:pPr>
        <w:pStyle w:val="ListParagraph"/>
        <w:tabs>
          <w:tab w:val="right" w:pos="8800"/>
        </w:tabs>
        <w:spacing w:after="120"/>
        <w:ind w:left="0"/>
        <w:jc w:val="center"/>
        <w:rPr>
          <w:rFonts w:ascii="Arial" w:eastAsia="Arial Black" w:hAnsi="Arial" w:cs="Arial"/>
          <w:bCs/>
        </w:rPr>
      </w:pPr>
    </w:p>
    <w:p w14:paraId="3424F55A" w14:textId="77777777" w:rsidR="00CD4205" w:rsidRPr="00B17679" w:rsidRDefault="00CD4205" w:rsidP="00CD4205">
      <w:pPr>
        <w:pStyle w:val="ListParagraph"/>
        <w:tabs>
          <w:tab w:val="right" w:pos="8800"/>
        </w:tabs>
        <w:spacing w:after="120"/>
        <w:ind w:left="0"/>
        <w:jc w:val="center"/>
        <w:rPr>
          <w:rFonts w:ascii="Arial" w:eastAsia="Arial Black" w:hAnsi="Arial" w:cs="Arial"/>
          <w:bCs/>
        </w:rPr>
      </w:pPr>
    </w:p>
    <w:p w14:paraId="08E54721" w14:textId="77777777" w:rsidR="00CD4205" w:rsidRPr="00B17679" w:rsidRDefault="00CD4205" w:rsidP="00CD4205">
      <w:pPr>
        <w:pStyle w:val="ListParagraph"/>
        <w:tabs>
          <w:tab w:val="right" w:pos="8800"/>
        </w:tabs>
        <w:spacing w:after="120"/>
        <w:ind w:left="0"/>
        <w:jc w:val="center"/>
        <w:rPr>
          <w:rFonts w:ascii="Arial" w:eastAsia="Arial Black" w:hAnsi="Arial" w:cs="Arial"/>
          <w:bCs/>
        </w:rPr>
      </w:pPr>
    </w:p>
    <w:p w14:paraId="5EE670C3" w14:textId="77777777" w:rsidR="00CD4205" w:rsidRPr="00B17679" w:rsidRDefault="00CD4205" w:rsidP="00CD4205">
      <w:pPr>
        <w:pStyle w:val="ListParagraph"/>
        <w:tabs>
          <w:tab w:val="right" w:pos="8800"/>
        </w:tabs>
        <w:spacing w:after="120"/>
        <w:ind w:left="0"/>
        <w:jc w:val="center"/>
        <w:rPr>
          <w:rFonts w:ascii="Arial" w:eastAsia="Arial Black" w:hAnsi="Arial" w:cs="Arial"/>
          <w:bCs/>
        </w:rPr>
      </w:pPr>
    </w:p>
    <w:p w14:paraId="4980D662" w14:textId="77777777" w:rsidR="00CD4205" w:rsidRPr="00B17679" w:rsidRDefault="00CD4205" w:rsidP="00CD4205">
      <w:pPr>
        <w:pStyle w:val="ListParagraph"/>
        <w:tabs>
          <w:tab w:val="right" w:pos="8800"/>
        </w:tabs>
        <w:spacing w:after="120"/>
        <w:ind w:left="0"/>
        <w:jc w:val="center"/>
        <w:rPr>
          <w:rFonts w:ascii="Arial" w:eastAsia="Arial Black" w:hAnsi="Arial" w:cs="Arial"/>
          <w:bCs/>
        </w:rPr>
      </w:pPr>
    </w:p>
    <w:p w14:paraId="6EAD5CDE" w14:textId="77777777" w:rsidR="00CD4205" w:rsidRPr="00B17679" w:rsidRDefault="00CD4205" w:rsidP="00CD4205">
      <w:pPr>
        <w:pStyle w:val="ListParagraph"/>
        <w:tabs>
          <w:tab w:val="right" w:pos="8800"/>
        </w:tabs>
        <w:spacing w:after="120"/>
        <w:ind w:left="0"/>
        <w:jc w:val="center"/>
        <w:rPr>
          <w:rFonts w:ascii="Arial" w:eastAsia="Arial Black" w:hAnsi="Arial" w:cs="Arial"/>
          <w:bCs/>
        </w:rPr>
      </w:pPr>
    </w:p>
    <w:p w14:paraId="0BD0A6BD" w14:textId="77777777" w:rsidR="00CD4205" w:rsidRPr="00B17679" w:rsidRDefault="00CD4205" w:rsidP="00CD4205">
      <w:pPr>
        <w:pStyle w:val="ListParagraph"/>
        <w:tabs>
          <w:tab w:val="right" w:pos="8800"/>
        </w:tabs>
        <w:spacing w:after="120"/>
        <w:ind w:left="0"/>
        <w:jc w:val="center"/>
        <w:rPr>
          <w:rFonts w:ascii="Arial" w:eastAsia="Arial Black" w:hAnsi="Arial" w:cs="Arial"/>
          <w:bCs/>
        </w:rPr>
      </w:pPr>
    </w:p>
    <w:p w14:paraId="5E995E53" w14:textId="77777777" w:rsidR="00CD4205" w:rsidRPr="00B17679" w:rsidRDefault="00CD4205" w:rsidP="00CD4205">
      <w:pPr>
        <w:pStyle w:val="ListParagraph"/>
        <w:tabs>
          <w:tab w:val="right" w:pos="8800"/>
        </w:tabs>
        <w:spacing w:after="120"/>
        <w:ind w:left="0"/>
        <w:jc w:val="center"/>
        <w:rPr>
          <w:rFonts w:ascii="Arial" w:eastAsia="Arial Black" w:hAnsi="Arial" w:cs="Arial"/>
          <w:bCs/>
        </w:rPr>
      </w:pPr>
    </w:p>
    <w:p w14:paraId="3CC482CD" w14:textId="77777777" w:rsidR="00CD4205" w:rsidRPr="00B17679" w:rsidRDefault="00CD4205" w:rsidP="00CD4205">
      <w:pPr>
        <w:pStyle w:val="ListParagraph"/>
        <w:tabs>
          <w:tab w:val="right" w:pos="8800"/>
        </w:tabs>
        <w:spacing w:after="120"/>
        <w:ind w:left="0"/>
        <w:jc w:val="center"/>
        <w:rPr>
          <w:rFonts w:ascii="Arial" w:eastAsia="Arial Black" w:hAnsi="Arial" w:cs="Arial"/>
          <w:bCs/>
        </w:rPr>
      </w:pPr>
    </w:p>
    <w:p w14:paraId="59DAB47C" w14:textId="77777777" w:rsidR="00CD4205" w:rsidRPr="00B17679" w:rsidRDefault="00CD4205" w:rsidP="00CD4205">
      <w:pPr>
        <w:pStyle w:val="ListParagraph"/>
        <w:tabs>
          <w:tab w:val="right" w:pos="8800"/>
        </w:tabs>
        <w:spacing w:after="120"/>
        <w:ind w:left="0"/>
        <w:jc w:val="center"/>
        <w:rPr>
          <w:rFonts w:ascii="Arial" w:eastAsia="Arial Black" w:hAnsi="Arial" w:cs="Arial"/>
          <w:bCs/>
        </w:rPr>
      </w:pPr>
    </w:p>
    <w:p w14:paraId="364AD3DC" w14:textId="77777777" w:rsidR="00CD4205" w:rsidRPr="00B17679" w:rsidRDefault="00CD4205" w:rsidP="00CD4205">
      <w:pPr>
        <w:pStyle w:val="ListParagraph"/>
        <w:tabs>
          <w:tab w:val="right" w:pos="8800"/>
        </w:tabs>
        <w:spacing w:after="120"/>
        <w:ind w:left="0"/>
        <w:jc w:val="center"/>
        <w:rPr>
          <w:rFonts w:ascii="Arial" w:eastAsia="Arial Black" w:hAnsi="Arial" w:cs="Arial"/>
          <w:bCs/>
        </w:rPr>
      </w:pPr>
    </w:p>
    <w:p w14:paraId="6FAE7E74" w14:textId="77777777" w:rsidR="00CD4205" w:rsidRPr="00B17679" w:rsidRDefault="00CD4205" w:rsidP="00CD4205">
      <w:pPr>
        <w:pStyle w:val="ListParagraph"/>
        <w:tabs>
          <w:tab w:val="right" w:pos="8800"/>
        </w:tabs>
        <w:spacing w:after="120"/>
        <w:ind w:left="0"/>
        <w:jc w:val="center"/>
        <w:rPr>
          <w:rFonts w:ascii="Arial" w:eastAsia="Arial Black" w:hAnsi="Arial" w:cs="Arial"/>
          <w:bCs/>
        </w:rPr>
      </w:pPr>
    </w:p>
    <w:p w14:paraId="143618B0" w14:textId="77777777" w:rsidR="00CD4205" w:rsidRPr="00B17679" w:rsidRDefault="00CD4205" w:rsidP="00CD4205">
      <w:pPr>
        <w:pStyle w:val="ListParagraph"/>
        <w:tabs>
          <w:tab w:val="right" w:pos="8800"/>
        </w:tabs>
        <w:spacing w:after="120"/>
        <w:ind w:left="0"/>
        <w:jc w:val="center"/>
        <w:rPr>
          <w:rFonts w:ascii="Arial" w:eastAsia="Arial Black" w:hAnsi="Arial" w:cs="Arial"/>
          <w:bCs/>
        </w:rPr>
      </w:pPr>
    </w:p>
    <w:p w14:paraId="7A5DC4D1" w14:textId="77777777" w:rsidR="00CD4205" w:rsidRPr="00B17679" w:rsidRDefault="00CD4205" w:rsidP="00CD4205">
      <w:pPr>
        <w:pStyle w:val="ListParagraph"/>
        <w:tabs>
          <w:tab w:val="right" w:pos="8800"/>
        </w:tabs>
        <w:spacing w:after="120"/>
        <w:ind w:left="0"/>
        <w:jc w:val="center"/>
        <w:rPr>
          <w:rFonts w:ascii="Arial" w:eastAsia="Arial Black" w:hAnsi="Arial" w:cs="Arial"/>
          <w:bCs/>
        </w:rPr>
      </w:pPr>
    </w:p>
    <w:p w14:paraId="7A547E8F" w14:textId="77777777" w:rsidR="00CD4205" w:rsidRPr="00B17679" w:rsidRDefault="00CD4205" w:rsidP="00CD4205">
      <w:pPr>
        <w:pStyle w:val="ListParagraph"/>
        <w:tabs>
          <w:tab w:val="right" w:pos="8800"/>
        </w:tabs>
        <w:spacing w:after="120"/>
        <w:ind w:left="0"/>
        <w:jc w:val="center"/>
        <w:rPr>
          <w:rFonts w:ascii="Arial" w:eastAsia="Arial Black" w:hAnsi="Arial" w:cs="Arial"/>
          <w:bCs/>
        </w:rPr>
      </w:pPr>
    </w:p>
    <w:p w14:paraId="16881EE0" w14:textId="77777777" w:rsidR="00CD4205" w:rsidRPr="00B17679" w:rsidRDefault="00CD4205" w:rsidP="00CD4205">
      <w:pPr>
        <w:pStyle w:val="ListParagraph"/>
        <w:tabs>
          <w:tab w:val="right" w:pos="8800"/>
        </w:tabs>
        <w:spacing w:after="120"/>
        <w:ind w:left="0"/>
        <w:jc w:val="center"/>
        <w:rPr>
          <w:rFonts w:ascii="Arial" w:eastAsia="Arial Black" w:hAnsi="Arial" w:cs="Arial"/>
          <w:bCs/>
        </w:rPr>
      </w:pPr>
    </w:p>
    <w:p w14:paraId="7F1532A4" w14:textId="77777777" w:rsidR="00CD4205" w:rsidRPr="00B17679" w:rsidRDefault="00CD4205" w:rsidP="00CD4205">
      <w:pPr>
        <w:pStyle w:val="ListParagraph"/>
        <w:tabs>
          <w:tab w:val="right" w:pos="8800"/>
        </w:tabs>
        <w:spacing w:after="120"/>
        <w:ind w:left="0"/>
        <w:jc w:val="center"/>
        <w:rPr>
          <w:rFonts w:ascii="Arial" w:eastAsia="Arial Black" w:hAnsi="Arial" w:cs="Arial"/>
          <w:bCs/>
        </w:rPr>
      </w:pPr>
    </w:p>
    <w:p w14:paraId="6B44B16A" w14:textId="77777777" w:rsidR="00CD4205" w:rsidRPr="00B17679" w:rsidRDefault="00CD4205" w:rsidP="00CD4205">
      <w:pPr>
        <w:pStyle w:val="ListParagraph"/>
        <w:tabs>
          <w:tab w:val="right" w:pos="8800"/>
        </w:tabs>
        <w:spacing w:after="120"/>
        <w:ind w:left="0"/>
        <w:jc w:val="center"/>
        <w:rPr>
          <w:rFonts w:ascii="Arial" w:eastAsia="Arial Black" w:hAnsi="Arial" w:cs="Arial"/>
          <w:bCs/>
        </w:rPr>
      </w:pPr>
    </w:p>
    <w:p w14:paraId="455728D1" w14:textId="77777777" w:rsidR="00CD4205" w:rsidRPr="00B17679" w:rsidRDefault="00CD4205" w:rsidP="00CD4205">
      <w:pPr>
        <w:pStyle w:val="ListParagraph"/>
        <w:tabs>
          <w:tab w:val="right" w:pos="8800"/>
        </w:tabs>
        <w:spacing w:after="120"/>
        <w:ind w:left="0"/>
        <w:jc w:val="center"/>
        <w:rPr>
          <w:rFonts w:ascii="Arial" w:eastAsia="Arial Black" w:hAnsi="Arial" w:cs="Arial"/>
          <w:bCs/>
        </w:rPr>
      </w:pPr>
    </w:p>
    <w:p w14:paraId="3BC5B6C3" w14:textId="77777777" w:rsidR="00CD4205" w:rsidRPr="00B17679" w:rsidRDefault="00CD4205" w:rsidP="00CD4205">
      <w:pPr>
        <w:pStyle w:val="ListParagraph"/>
        <w:tabs>
          <w:tab w:val="right" w:pos="8800"/>
        </w:tabs>
        <w:spacing w:after="120"/>
        <w:ind w:left="0"/>
        <w:jc w:val="center"/>
        <w:rPr>
          <w:rFonts w:ascii="Arial" w:eastAsia="Arial Black" w:hAnsi="Arial" w:cs="Arial"/>
          <w:bCs/>
        </w:rPr>
      </w:pPr>
    </w:p>
    <w:p w14:paraId="2B0132B4" w14:textId="77777777" w:rsidR="00CD4205" w:rsidRPr="00B17679" w:rsidRDefault="00CD4205" w:rsidP="00CD4205">
      <w:pPr>
        <w:pStyle w:val="ListParagraph"/>
        <w:tabs>
          <w:tab w:val="right" w:pos="8800"/>
        </w:tabs>
        <w:spacing w:after="120"/>
        <w:ind w:left="0"/>
        <w:jc w:val="center"/>
        <w:rPr>
          <w:rFonts w:ascii="Arial" w:eastAsia="Arial Black" w:hAnsi="Arial" w:cs="Arial"/>
          <w:bCs/>
        </w:rPr>
      </w:pPr>
    </w:p>
    <w:p w14:paraId="6802F164" w14:textId="77777777" w:rsidR="00CD4205" w:rsidRPr="00B17679" w:rsidRDefault="00CD4205" w:rsidP="00CD4205">
      <w:pPr>
        <w:pStyle w:val="ListParagraph"/>
        <w:tabs>
          <w:tab w:val="right" w:pos="8800"/>
        </w:tabs>
        <w:spacing w:after="120"/>
        <w:ind w:left="0"/>
        <w:jc w:val="center"/>
        <w:rPr>
          <w:rFonts w:ascii="Arial" w:eastAsia="Arial Black" w:hAnsi="Arial" w:cs="Arial"/>
          <w:bCs/>
        </w:rPr>
      </w:pPr>
    </w:p>
    <w:p w14:paraId="53F3668A" w14:textId="77777777" w:rsidR="00CD4205" w:rsidRPr="00B17679" w:rsidRDefault="00CD4205" w:rsidP="00CD4205">
      <w:pPr>
        <w:pStyle w:val="ListParagraph"/>
        <w:tabs>
          <w:tab w:val="right" w:pos="8800"/>
        </w:tabs>
        <w:spacing w:after="120"/>
        <w:ind w:left="0"/>
        <w:jc w:val="center"/>
        <w:rPr>
          <w:rFonts w:ascii="Arial" w:eastAsia="Arial Black" w:hAnsi="Arial" w:cs="Arial"/>
          <w:bCs/>
        </w:rPr>
      </w:pPr>
    </w:p>
    <w:p w14:paraId="3BB19479" w14:textId="77777777" w:rsidR="00CD4205" w:rsidRPr="00B17679" w:rsidRDefault="00CD4205" w:rsidP="00CD4205">
      <w:pPr>
        <w:pStyle w:val="ListParagraph"/>
        <w:tabs>
          <w:tab w:val="right" w:pos="8800"/>
        </w:tabs>
        <w:spacing w:after="120"/>
        <w:ind w:left="0"/>
        <w:jc w:val="center"/>
        <w:rPr>
          <w:rFonts w:ascii="Arial" w:eastAsia="Arial Black" w:hAnsi="Arial" w:cs="Arial"/>
          <w:bCs/>
        </w:rPr>
      </w:pPr>
    </w:p>
    <w:p w14:paraId="2699C5B8" w14:textId="77777777" w:rsidR="00CD4205" w:rsidRPr="00B17679" w:rsidRDefault="00CD4205" w:rsidP="00CD4205">
      <w:pPr>
        <w:pStyle w:val="ListParagraph"/>
        <w:tabs>
          <w:tab w:val="right" w:pos="8800"/>
        </w:tabs>
        <w:spacing w:after="120"/>
        <w:ind w:left="0"/>
        <w:jc w:val="center"/>
        <w:rPr>
          <w:rFonts w:ascii="Arial" w:eastAsia="Arial Black" w:hAnsi="Arial" w:cs="Arial"/>
          <w:bCs/>
        </w:rPr>
      </w:pPr>
    </w:p>
    <w:p w14:paraId="7442DC90" w14:textId="77777777" w:rsidR="00CD4205" w:rsidRPr="00B17679" w:rsidRDefault="00CD4205" w:rsidP="00CD4205">
      <w:pPr>
        <w:pStyle w:val="ListParagraph"/>
        <w:tabs>
          <w:tab w:val="right" w:pos="8800"/>
        </w:tabs>
        <w:spacing w:after="120"/>
        <w:ind w:left="0"/>
        <w:jc w:val="center"/>
        <w:rPr>
          <w:rFonts w:ascii="Arial" w:eastAsia="Arial Black" w:hAnsi="Arial" w:cs="Arial"/>
          <w:bCs/>
        </w:rPr>
      </w:pPr>
    </w:p>
    <w:p w14:paraId="44146D68" w14:textId="77777777" w:rsidR="00CD4205" w:rsidRPr="00B17679" w:rsidRDefault="00CD4205" w:rsidP="00CD4205">
      <w:pPr>
        <w:pStyle w:val="ListParagraph"/>
        <w:tabs>
          <w:tab w:val="right" w:pos="8800"/>
        </w:tabs>
        <w:spacing w:after="120"/>
        <w:ind w:left="0"/>
        <w:jc w:val="center"/>
        <w:rPr>
          <w:rFonts w:ascii="Arial" w:eastAsia="Arial Black" w:hAnsi="Arial" w:cs="Arial"/>
          <w:bCs/>
        </w:rPr>
      </w:pPr>
    </w:p>
    <w:p w14:paraId="5EB61A9A" w14:textId="77777777" w:rsidR="00CD4205" w:rsidRPr="00B17679" w:rsidRDefault="00CD4205" w:rsidP="00CD4205">
      <w:pPr>
        <w:pStyle w:val="ListParagraph"/>
        <w:tabs>
          <w:tab w:val="right" w:pos="8800"/>
        </w:tabs>
        <w:spacing w:after="120"/>
        <w:ind w:left="0"/>
        <w:jc w:val="center"/>
        <w:rPr>
          <w:rFonts w:ascii="Arial" w:eastAsia="Arial Black" w:hAnsi="Arial" w:cs="Arial"/>
          <w:bCs/>
        </w:rPr>
      </w:pPr>
    </w:p>
    <w:p w14:paraId="0B276E66" w14:textId="77777777" w:rsidR="00CD4205" w:rsidRPr="00B17679" w:rsidRDefault="00CD4205" w:rsidP="00CD4205">
      <w:pPr>
        <w:pStyle w:val="ListParagraph"/>
        <w:tabs>
          <w:tab w:val="right" w:pos="8800"/>
        </w:tabs>
        <w:spacing w:after="120"/>
        <w:ind w:left="0"/>
        <w:jc w:val="center"/>
        <w:rPr>
          <w:rFonts w:ascii="Arial" w:eastAsia="Arial Black" w:hAnsi="Arial" w:cs="Arial"/>
          <w:bCs/>
        </w:rPr>
      </w:pPr>
    </w:p>
    <w:p w14:paraId="02C2FA7A" w14:textId="77777777" w:rsidR="00CD4205" w:rsidRPr="00B17679" w:rsidRDefault="00CD4205" w:rsidP="00CD4205">
      <w:pPr>
        <w:pStyle w:val="ListParagraph"/>
        <w:tabs>
          <w:tab w:val="right" w:pos="8800"/>
        </w:tabs>
        <w:spacing w:after="120"/>
        <w:ind w:left="0"/>
        <w:jc w:val="center"/>
        <w:rPr>
          <w:rFonts w:ascii="Arial" w:eastAsia="Arial Black" w:hAnsi="Arial" w:cs="Arial"/>
          <w:bCs/>
        </w:rPr>
      </w:pPr>
    </w:p>
    <w:p w14:paraId="0D0FCF5F" w14:textId="77777777" w:rsidR="00CD4205" w:rsidRPr="00B17679" w:rsidRDefault="00CD4205" w:rsidP="00CD4205">
      <w:pPr>
        <w:pStyle w:val="ListParagraph"/>
        <w:tabs>
          <w:tab w:val="right" w:pos="8800"/>
        </w:tabs>
        <w:spacing w:after="120"/>
        <w:ind w:left="0"/>
        <w:jc w:val="center"/>
        <w:rPr>
          <w:rFonts w:ascii="Colonna MT" w:eastAsia="Arial Black" w:hAnsi="Colonna MT" w:cs="Arial"/>
          <w:bCs/>
        </w:rPr>
      </w:pPr>
    </w:p>
    <w:p w14:paraId="32933A12" w14:textId="77777777" w:rsidR="00CD4205" w:rsidRPr="00B17679" w:rsidRDefault="00CD4205" w:rsidP="00CD4205">
      <w:pPr>
        <w:pStyle w:val="ListParagraph"/>
        <w:tabs>
          <w:tab w:val="right" w:pos="8800"/>
        </w:tabs>
        <w:spacing w:after="120"/>
        <w:ind w:left="0"/>
        <w:jc w:val="center"/>
        <w:rPr>
          <w:rFonts w:ascii="Arial" w:eastAsia="Arial Black" w:hAnsi="Arial" w:cs="Arial"/>
          <w:bCs/>
        </w:rPr>
      </w:pPr>
    </w:p>
    <w:p w14:paraId="552784BE" w14:textId="77777777" w:rsidR="00CD4205" w:rsidRPr="00B17679" w:rsidRDefault="00CD4205" w:rsidP="00CD4205">
      <w:pPr>
        <w:pStyle w:val="ListParagraph"/>
        <w:tabs>
          <w:tab w:val="right" w:pos="8800"/>
        </w:tabs>
        <w:spacing w:after="120"/>
        <w:ind w:left="0"/>
        <w:jc w:val="center"/>
        <w:rPr>
          <w:rFonts w:ascii="Arial" w:eastAsia="Arial Black" w:hAnsi="Arial" w:cs="Arial"/>
          <w:bCs/>
        </w:rPr>
      </w:pPr>
    </w:p>
    <w:p w14:paraId="681C512A" w14:textId="77777777" w:rsidR="00CD4205" w:rsidRPr="00B17679" w:rsidRDefault="00CD4205" w:rsidP="00CD4205">
      <w:pPr>
        <w:pStyle w:val="ListParagraph"/>
        <w:tabs>
          <w:tab w:val="right" w:pos="8800"/>
        </w:tabs>
        <w:spacing w:after="120"/>
        <w:ind w:left="0"/>
        <w:jc w:val="center"/>
        <w:rPr>
          <w:rFonts w:ascii="Arial" w:eastAsia="Arial Black" w:hAnsi="Arial" w:cs="Arial"/>
          <w:bCs/>
        </w:rPr>
      </w:pPr>
    </w:p>
    <w:p w14:paraId="21629C37" w14:textId="77777777" w:rsidR="00123335" w:rsidRPr="00B17679" w:rsidRDefault="00123335" w:rsidP="00123335">
      <w:pPr>
        <w:tabs>
          <w:tab w:val="right" w:pos="8800"/>
        </w:tabs>
        <w:spacing w:after="120"/>
        <w:contextualSpacing/>
        <w:jc w:val="center"/>
        <w:rPr>
          <w:rFonts w:ascii="Arial" w:eastAsia="Arial Black" w:hAnsi="Arial" w:cs="Arial"/>
          <w:bCs/>
        </w:rPr>
      </w:pPr>
    </w:p>
    <w:p w14:paraId="76DE8EBD" w14:textId="24E93E46" w:rsidR="00123335" w:rsidRPr="00123335" w:rsidRDefault="004928E7" w:rsidP="00123335">
      <w:pPr>
        <w:tabs>
          <w:tab w:val="right" w:pos="8800"/>
        </w:tabs>
        <w:spacing w:after="120"/>
        <w:contextualSpacing/>
        <w:jc w:val="center"/>
        <w:rPr>
          <w:rFonts w:ascii="Arial" w:eastAsia="Arial Black" w:hAnsi="Arial" w:cs="Arial"/>
          <w:bCs/>
        </w:rPr>
      </w:pPr>
      <w:r>
        <w:rPr>
          <w:noProof/>
        </w:rPr>
        <mc:AlternateContent>
          <mc:Choice Requires="wps">
            <w:drawing>
              <wp:anchor distT="0" distB="0" distL="114300" distR="114300" simplePos="0" relativeHeight="251658240" behindDoc="0" locked="0" layoutInCell="1" allowOverlap="1" wp14:anchorId="74DB2933" wp14:editId="16C88097">
                <wp:simplePos x="0" y="0"/>
                <wp:positionH relativeFrom="column">
                  <wp:posOffset>19050</wp:posOffset>
                </wp:positionH>
                <wp:positionV relativeFrom="paragraph">
                  <wp:posOffset>145414</wp:posOffset>
                </wp:positionV>
                <wp:extent cx="6153150" cy="0"/>
                <wp:effectExtent l="0" t="19050" r="0" b="0"/>
                <wp:wrapNone/>
                <wp:docPr id="2" name="Straight Connector 2"/>
                <wp:cNvGraphicFramePr/>
                <a:graphic xmlns:a="http://schemas.openxmlformats.org/drawingml/2006/main">
                  <a:graphicData uri="http://schemas.microsoft.com/office/word/2010/wordprocessingShape">
                    <wps:wsp>
                      <wps:cNvCnPr/>
                      <wps:spPr>
                        <a:xfrm>
                          <a:off x="0" y="0"/>
                          <a:ext cx="6153150" cy="0"/>
                        </a:xfrm>
                        <a:prstGeom prst="line">
                          <a:avLst/>
                        </a:prstGeom>
                        <a:noFill/>
                        <a:ln w="28575">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D310BA9"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1.45pt" to="486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" strokecolor="windowText" strokeweight="2.25pt"/>
            </w:pict>
          </mc:Fallback>
        </mc:AlternateContent>
      </w:r>
    </w:p>
    <w:p w14:paraId="5316E976" w14:textId="77777777" w:rsidR="00123335" w:rsidRPr="00123335" w:rsidRDefault="00123335" w:rsidP="00123335">
      <w:pPr>
        <w:tabs>
          <w:tab w:val="right" w:pos="8800"/>
        </w:tabs>
        <w:spacing w:after="120"/>
        <w:contextualSpacing/>
        <w:jc w:val="center"/>
        <w:rPr>
          <w:rFonts w:ascii="Arial" w:eastAsia="Arial Black" w:hAnsi="Arial" w:cs="Arial"/>
          <w:bCs/>
        </w:rPr>
      </w:pPr>
    </w:p>
    <w:tbl>
      <w:tblPr>
        <w:tblW w:w="3126" w:type="dxa"/>
        <w:tblInd w:w="-90" w:type="dxa"/>
        <w:tblLook w:val="04A0" w:firstRow="1" w:lastRow="0" w:firstColumn="1" w:lastColumn="0" w:noHBand="0" w:noVBand="1"/>
      </w:tblPr>
      <w:tblGrid>
        <w:gridCol w:w="3126"/>
      </w:tblGrid>
      <w:tr w:rsidR="00A405B1" w14:paraId="7CD5BA63" w14:textId="77777777" w:rsidTr="0053168E">
        <w:tc>
          <w:tcPr>
            <w:tcW w:w="3126" w:type="dxa"/>
            <w:vAlign w:val="center"/>
          </w:tcPr>
          <w:p w14:paraId="31073700" w14:textId="77777777" w:rsidR="00E61FD1" w:rsidRPr="00F97EDD" w:rsidRDefault="00E61FD1" w:rsidP="00F97EDD">
            <w:pPr>
              <w:tabs>
                <w:tab w:val="right" w:pos="8800"/>
              </w:tabs>
              <w:spacing w:after="120" w:line="240" w:lineRule="auto"/>
              <w:contextualSpacing/>
              <w:jc w:val="center"/>
              <w:rPr>
                <w:rFonts w:ascii="Times New Roman" w:eastAsia="Arial Black" w:hAnsi="Times New Roman"/>
                <w:bCs/>
                <w:lang w:val="en-CA"/>
              </w:rPr>
            </w:pPr>
          </w:p>
        </w:tc>
      </w:tr>
    </w:tbl>
    <w:p w14:paraId="2E5C5B6E" w14:textId="77777777" w:rsidR="00CD4205" w:rsidRDefault="00CD4205" w:rsidP="00CD4205">
      <w:pPr>
        <w:pStyle w:val="ListParagraph"/>
        <w:tabs>
          <w:tab w:val="right" w:pos="8800"/>
        </w:tabs>
        <w:spacing w:after="120"/>
        <w:ind w:left="0"/>
        <w:jc w:val="center"/>
        <w:rPr>
          <w:rFonts w:ascii="Arial" w:eastAsia="Arial Black" w:hAnsi="Arial" w:cs="Arial"/>
          <w:bCs/>
        </w:rPr>
      </w:pPr>
    </w:p>
    <w:p w14:paraId="282C615B" w14:textId="77777777" w:rsidR="00E61FD1" w:rsidRDefault="00E61FD1" w:rsidP="00E61FD1">
      <w:pPr>
        <w:rPr>
          <w:rFonts w:ascii="Arial" w:eastAsia="Arial Black" w:hAnsi="Arial" w:cs="Arial"/>
          <w:bCs/>
        </w:rPr>
      </w:pPr>
    </w:p>
    <w:p w14:paraId="499FA418" w14:textId="77777777" w:rsidR="00E61FD1" w:rsidRDefault="004928E7" w:rsidP="00E61FD1">
      <w:pPr>
        <w:pStyle w:val="Header"/>
        <w:tabs>
          <w:tab w:val="clear" w:pos="4320"/>
          <w:tab w:val="clear" w:pos="8640"/>
          <w:tab w:val="right" w:pos="9533"/>
        </w:tabs>
        <w:ind w:left="-576" w:right="360"/>
        <w:rPr>
          <w:szCs w:val="22"/>
        </w:rPr>
      </w:pPr>
      <w:r>
        <w:rPr>
          <w:noProof/>
        </w:rPr>
        <w:lastRenderedPageBreak/>
        <w:drawing>
          <wp:inline distT="0" distB="0" distL="0" distR="0" wp14:anchorId="24F9EC76" wp14:editId="22F128E9">
            <wp:extent cx="6309360" cy="1216368"/>
            <wp:effectExtent l="0" t="0" r="2540" b="31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application&#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6309360" cy="1216368"/>
                    </a:xfrm>
                    <a:prstGeom prst="rect">
                      <a:avLst/>
                    </a:prstGeom>
                  </pic:spPr>
                </pic:pic>
              </a:graphicData>
            </a:graphic>
          </wp:inline>
        </w:drawing>
      </w:r>
    </w:p>
    <w:p w14:paraId="0C6703DD" w14:textId="77777777" w:rsidR="00534524" w:rsidRDefault="00534524" w:rsidP="00E61FD1">
      <w:pPr>
        <w:pStyle w:val="Header"/>
        <w:tabs>
          <w:tab w:val="clear" w:pos="4320"/>
          <w:tab w:val="clear" w:pos="8640"/>
          <w:tab w:val="right" w:pos="9533"/>
        </w:tabs>
        <w:ind w:left="-576" w:right="360"/>
        <w:rPr>
          <w:szCs w:val="22"/>
        </w:rPr>
      </w:pPr>
    </w:p>
    <w:p w14:paraId="670BF246" w14:textId="77777777" w:rsidR="00534524" w:rsidRPr="00AD54C7" w:rsidRDefault="004928E7" w:rsidP="0053168E">
      <w:pPr>
        <w:pStyle w:val="Header"/>
        <w:tabs>
          <w:tab w:val="clear" w:pos="4320"/>
          <w:tab w:val="clear" w:pos="8640"/>
          <w:tab w:val="right" w:pos="9533"/>
        </w:tabs>
        <w:ind w:left="-576" w:right="360"/>
        <w:jc w:val="center"/>
        <w:rPr>
          <w:rFonts w:asciiTheme="majorHAnsi" w:hAnsiTheme="majorHAnsi"/>
          <w:szCs w:val="22"/>
          <w:lang w:val="fr-FR"/>
        </w:rPr>
      </w:pPr>
      <w:r w:rsidRPr="00AD54C7">
        <w:rPr>
          <w:rFonts w:asciiTheme="majorHAnsi" w:hAnsiTheme="majorHAnsi"/>
          <w:szCs w:val="22"/>
          <w:lang w:val="fr-FR"/>
        </w:rPr>
        <w:t>POET Technologies, Inc.  www.poet-technologies.com</w:t>
      </w:r>
    </w:p>
    <w:bookmarkEnd w:id="1"/>
    <w:p w14:paraId="505A6216" w14:textId="77777777" w:rsidR="00E61FD1" w:rsidRPr="00AD54C7" w:rsidRDefault="00E61FD1" w:rsidP="0053168E">
      <w:pPr>
        <w:rPr>
          <w:lang w:val="fr-FR"/>
        </w:rPr>
      </w:pPr>
    </w:p>
    <w:sectPr w:rsidR="00E61FD1" w:rsidRPr="00AD54C7" w:rsidSect="00DE33CA">
      <w:footerReference w:type="default" r:id="rId20"/>
      <w:pgSz w:w="12240" w:h="15840"/>
      <w:pgMar w:top="1440" w:right="1152" w:bottom="1197" w:left="1152" w:header="720" w:footer="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EF8DB" w14:textId="77777777" w:rsidR="009213F3" w:rsidRDefault="009213F3">
      <w:pPr>
        <w:spacing w:after="0" w:line="240" w:lineRule="auto"/>
      </w:pPr>
      <w:r>
        <w:separator/>
      </w:r>
    </w:p>
  </w:endnote>
  <w:endnote w:type="continuationSeparator" w:id="0">
    <w:p w14:paraId="5A8029B5" w14:textId="77777777" w:rsidR="009213F3" w:rsidRDefault="00921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olonna MT">
    <w:panose1 w:val="04020805060202030203"/>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9FDBD" w14:textId="600E83EF" w:rsidR="006C4038" w:rsidRDefault="004928E7" w:rsidP="000F06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4C01">
      <w:rPr>
        <w:rStyle w:val="PageNumber"/>
        <w:noProof/>
      </w:rPr>
      <w:t>1</w:t>
    </w:r>
    <w:r>
      <w:rPr>
        <w:rStyle w:val="PageNumber"/>
      </w:rPr>
      <w:fldChar w:fldCharType="end"/>
    </w:r>
  </w:p>
  <w:p w14:paraId="5C27E4CB" w14:textId="77777777" w:rsidR="006C4038" w:rsidRDefault="006C4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41171" w14:textId="77777777" w:rsidR="006C4038" w:rsidRDefault="006C4038">
    <w:pPr>
      <w:pStyle w:val="Footer"/>
      <w:jc w:val="center"/>
    </w:pPr>
  </w:p>
  <w:p w14:paraId="4C7E034D" w14:textId="77777777" w:rsidR="006C4038" w:rsidRDefault="006C40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DA3D8" w14:textId="77777777" w:rsidR="006C4038" w:rsidRDefault="004928E7" w:rsidP="000F06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008375FB" w14:textId="77777777" w:rsidR="006C4038" w:rsidRDefault="006C4038">
    <w:pPr>
      <w:pStyle w:val="Footer"/>
      <w:jc w:val="center"/>
    </w:pPr>
  </w:p>
  <w:p w14:paraId="4E51CFDC" w14:textId="77777777" w:rsidR="006C4038" w:rsidRDefault="006C4038">
    <w:pPr>
      <w:pStyle w:val="Footer"/>
    </w:pPr>
  </w:p>
  <w:p w14:paraId="74A341B8" w14:textId="77777777" w:rsidR="00A91A19" w:rsidRDefault="00A91A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2E9EF" w14:textId="77777777" w:rsidR="009213F3" w:rsidRDefault="009213F3" w:rsidP="000F0A0B">
      <w:pPr>
        <w:spacing w:after="0" w:line="240" w:lineRule="auto"/>
      </w:pPr>
      <w:r>
        <w:separator/>
      </w:r>
    </w:p>
  </w:footnote>
  <w:footnote w:type="continuationSeparator" w:id="0">
    <w:p w14:paraId="42E65353" w14:textId="77777777" w:rsidR="009213F3" w:rsidRDefault="009213F3" w:rsidP="000F0A0B">
      <w:pPr>
        <w:spacing w:after="0" w:line="240" w:lineRule="auto"/>
      </w:pPr>
      <w:r>
        <w:continuationSeparator/>
      </w:r>
    </w:p>
  </w:footnote>
  <w:footnote w:type="continuationNotice" w:id="1">
    <w:p w14:paraId="32E956DC" w14:textId="77777777" w:rsidR="009213F3" w:rsidRDefault="009213F3">
      <w:pPr>
        <w:spacing w:after="0" w:line="240" w:lineRule="auto"/>
      </w:pPr>
    </w:p>
  </w:footnote>
  <w:footnote w:id="2">
    <w:p w14:paraId="0B24FF80" w14:textId="77777777" w:rsidR="00481128" w:rsidRDefault="00481128" w:rsidP="00481128">
      <w:pPr>
        <w:pStyle w:val="FootnoteText"/>
      </w:pPr>
      <w:r>
        <w:rPr>
          <w:rStyle w:val="FootnoteReference"/>
        </w:rPr>
        <w:footnoteRef/>
      </w:r>
      <w:r>
        <w:t xml:space="preserve"> </w:t>
      </w:r>
      <w:proofErr w:type="spellStart"/>
      <w:r>
        <w:t>DataIntelo</w:t>
      </w:r>
      <w:proofErr w:type="spellEnd"/>
      <w:r>
        <w:t>, “800 Gbps Transceiver Market Research Report 2032”, 2024.</w:t>
      </w:r>
    </w:p>
  </w:footnote>
  <w:footnote w:id="3">
    <w:p w14:paraId="4BBA1577" w14:textId="09229F39" w:rsidR="00481128" w:rsidRDefault="00481128" w:rsidP="00481128">
      <w:pPr>
        <w:pStyle w:val="FootnoteText"/>
      </w:pPr>
      <w:r>
        <w:rPr>
          <w:rStyle w:val="FootnoteReference"/>
        </w:rPr>
        <w:footnoteRef/>
      </w:r>
      <w:r>
        <w:t xml:space="preserve"> Verified Marke</w:t>
      </w:r>
      <w:r w:rsidR="0095686A">
        <w:t>t</w:t>
      </w:r>
      <w:r>
        <w:t xml:space="preserve"> Research, “Global Ai GPU Market Size </w:t>
      </w:r>
      <w:proofErr w:type="gramStart"/>
      <w:r>
        <w:t>By</w:t>
      </w:r>
      <w:proofErr w:type="gramEnd"/>
      <w:r>
        <w:t xml:space="preserve"> Type of GPU”, October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1332"/>
    <w:multiLevelType w:val="hybridMultilevel"/>
    <w:tmpl w:val="2D36D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1214E"/>
    <w:multiLevelType w:val="hybridMultilevel"/>
    <w:tmpl w:val="C0ECC208"/>
    <w:lvl w:ilvl="0" w:tplc="FEC44BDC">
      <w:numFmt w:val="bullet"/>
      <w:lvlText w:val="-"/>
      <w:lvlJc w:val="left"/>
      <w:pPr>
        <w:ind w:left="1080" w:hanging="360"/>
      </w:pPr>
      <w:rPr>
        <w:rFonts w:ascii="Times New Roman" w:eastAsia="Calibr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18BD329B"/>
    <w:multiLevelType w:val="hybridMultilevel"/>
    <w:tmpl w:val="E7A0942A"/>
    <w:lvl w:ilvl="0" w:tplc="998400AC">
      <w:start w:val="1"/>
      <w:numFmt w:val="decimal"/>
      <w:lvlText w:val="(%1)"/>
      <w:lvlJc w:val="left"/>
      <w:pPr>
        <w:ind w:left="450" w:hanging="360"/>
      </w:pPr>
      <w:rPr>
        <w:rFonts w:hint="default"/>
        <w:sz w:val="16"/>
        <w:szCs w:val="16"/>
      </w:rPr>
    </w:lvl>
    <w:lvl w:ilvl="1" w:tplc="2968009C" w:tentative="1">
      <w:start w:val="1"/>
      <w:numFmt w:val="lowerLetter"/>
      <w:lvlText w:val="%2."/>
      <w:lvlJc w:val="left"/>
      <w:pPr>
        <w:ind w:left="1170" w:hanging="360"/>
      </w:pPr>
    </w:lvl>
    <w:lvl w:ilvl="2" w:tplc="D2EE836E" w:tentative="1">
      <w:start w:val="1"/>
      <w:numFmt w:val="lowerRoman"/>
      <w:lvlText w:val="%3."/>
      <w:lvlJc w:val="right"/>
      <w:pPr>
        <w:ind w:left="1890" w:hanging="180"/>
      </w:pPr>
    </w:lvl>
    <w:lvl w:ilvl="3" w:tplc="BAACFDA8" w:tentative="1">
      <w:start w:val="1"/>
      <w:numFmt w:val="decimal"/>
      <w:lvlText w:val="%4."/>
      <w:lvlJc w:val="left"/>
      <w:pPr>
        <w:ind w:left="2610" w:hanging="360"/>
      </w:pPr>
    </w:lvl>
    <w:lvl w:ilvl="4" w:tplc="BAA01100" w:tentative="1">
      <w:start w:val="1"/>
      <w:numFmt w:val="lowerLetter"/>
      <w:lvlText w:val="%5."/>
      <w:lvlJc w:val="left"/>
      <w:pPr>
        <w:ind w:left="3330" w:hanging="360"/>
      </w:pPr>
    </w:lvl>
    <w:lvl w:ilvl="5" w:tplc="904EA0B2" w:tentative="1">
      <w:start w:val="1"/>
      <w:numFmt w:val="lowerRoman"/>
      <w:lvlText w:val="%6."/>
      <w:lvlJc w:val="right"/>
      <w:pPr>
        <w:ind w:left="4050" w:hanging="180"/>
      </w:pPr>
    </w:lvl>
    <w:lvl w:ilvl="6" w:tplc="61C8B5A4" w:tentative="1">
      <w:start w:val="1"/>
      <w:numFmt w:val="decimal"/>
      <w:lvlText w:val="%7."/>
      <w:lvlJc w:val="left"/>
      <w:pPr>
        <w:ind w:left="4770" w:hanging="360"/>
      </w:pPr>
    </w:lvl>
    <w:lvl w:ilvl="7" w:tplc="C5CEF61A" w:tentative="1">
      <w:start w:val="1"/>
      <w:numFmt w:val="lowerLetter"/>
      <w:lvlText w:val="%8."/>
      <w:lvlJc w:val="left"/>
      <w:pPr>
        <w:ind w:left="5490" w:hanging="360"/>
      </w:pPr>
    </w:lvl>
    <w:lvl w:ilvl="8" w:tplc="F46ED572" w:tentative="1">
      <w:start w:val="1"/>
      <w:numFmt w:val="lowerRoman"/>
      <w:lvlText w:val="%9."/>
      <w:lvlJc w:val="right"/>
      <w:pPr>
        <w:ind w:left="6210" w:hanging="180"/>
      </w:pPr>
    </w:lvl>
  </w:abstractNum>
  <w:abstractNum w:abstractNumId="3" w15:restartNumberingAfterBreak="0">
    <w:nsid w:val="21877A47"/>
    <w:multiLevelType w:val="hybridMultilevel"/>
    <w:tmpl w:val="8B3AB5C8"/>
    <w:lvl w:ilvl="0" w:tplc="04090001">
      <w:start w:val="1"/>
      <w:numFmt w:val="bullet"/>
      <w:lvlText w:val=""/>
      <w:lvlJc w:val="left"/>
      <w:pPr>
        <w:ind w:left="360" w:hanging="360"/>
      </w:pPr>
      <w:rPr>
        <w:rFonts w:ascii="Symbol" w:hAnsi="Symbol" w:hint="default"/>
        <w:i w:val="0"/>
      </w:rPr>
    </w:lvl>
    <w:lvl w:ilvl="1" w:tplc="3F865810">
      <w:numFmt w:val="bullet"/>
      <w:lvlText w:val="·"/>
      <w:lvlJc w:val="left"/>
      <w:pPr>
        <w:ind w:left="720" w:hanging="360"/>
      </w:pPr>
      <w:rPr>
        <w:rFonts w:ascii="Times New Roman" w:eastAsia="Calibri" w:hAnsi="Times New Roman" w:cs="Times New Roman" w:hint="default"/>
        <w:i w:val="0"/>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27D26E14"/>
    <w:multiLevelType w:val="hybridMultilevel"/>
    <w:tmpl w:val="6184A32A"/>
    <w:lvl w:ilvl="0" w:tplc="12FA7708">
      <w:start w:val="1"/>
      <w:numFmt w:val="decimal"/>
      <w:lvlText w:val="%1)"/>
      <w:lvlJc w:val="left"/>
      <w:pPr>
        <w:ind w:left="502" w:hanging="360"/>
      </w:pPr>
      <w:rPr>
        <w:rFonts w:ascii="Times New Roman" w:eastAsia="Calibri" w:hAnsi="Times New Roman" w:cs="Times New Roman"/>
        <w:b w:val="0"/>
        <w:bCs/>
      </w:rPr>
    </w:lvl>
    <w:lvl w:ilvl="1" w:tplc="18F83410" w:tentative="1">
      <w:start w:val="1"/>
      <w:numFmt w:val="lowerLetter"/>
      <w:lvlText w:val="%2."/>
      <w:lvlJc w:val="left"/>
      <w:pPr>
        <w:ind w:left="1222" w:hanging="360"/>
      </w:pPr>
    </w:lvl>
    <w:lvl w:ilvl="2" w:tplc="C6EABC88" w:tentative="1">
      <w:start w:val="1"/>
      <w:numFmt w:val="lowerRoman"/>
      <w:lvlText w:val="%3."/>
      <w:lvlJc w:val="right"/>
      <w:pPr>
        <w:ind w:left="1942" w:hanging="180"/>
      </w:pPr>
    </w:lvl>
    <w:lvl w:ilvl="3" w:tplc="412CC948" w:tentative="1">
      <w:start w:val="1"/>
      <w:numFmt w:val="decimal"/>
      <w:lvlText w:val="%4."/>
      <w:lvlJc w:val="left"/>
      <w:pPr>
        <w:ind w:left="2662" w:hanging="360"/>
      </w:pPr>
    </w:lvl>
    <w:lvl w:ilvl="4" w:tplc="8E444FAC" w:tentative="1">
      <w:start w:val="1"/>
      <w:numFmt w:val="lowerLetter"/>
      <w:lvlText w:val="%5."/>
      <w:lvlJc w:val="left"/>
      <w:pPr>
        <w:ind w:left="3382" w:hanging="360"/>
      </w:pPr>
    </w:lvl>
    <w:lvl w:ilvl="5" w:tplc="F9E6B700" w:tentative="1">
      <w:start w:val="1"/>
      <w:numFmt w:val="lowerRoman"/>
      <w:lvlText w:val="%6."/>
      <w:lvlJc w:val="right"/>
      <w:pPr>
        <w:ind w:left="4102" w:hanging="180"/>
      </w:pPr>
    </w:lvl>
    <w:lvl w:ilvl="6" w:tplc="194E1D8C" w:tentative="1">
      <w:start w:val="1"/>
      <w:numFmt w:val="decimal"/>
      <w:lvlText w:val="%7."/>
      <w:lvlJc w:val="left"/>
      <w:pPr>
        <w:ind w:left="4822" w:hanging="360"/>
      </w:pPr>
    </w:lvl>
    <w:lvl w:ilvl="7" w:tplc="08364B5A" w:tentative="1">
      <w:start w:val="1"/>
      <w:numFmt w:val="lowerLetter"/>
      <w:lvlText w:val="%8."/>
      <w:lvlJc w:val="left"/>
      <w:pPr>
        <w:ind w:left="5542" w:hanging="360"/>
      </w:pPr>
    </w:lvl>
    <w:lvl w:ilvl="8" w:tplc="2FB6CDA8" w:tentative="1">
      <w:start w:val="1"/>
      <w:numFmt w:val="lowerRoman"/>
      <w:lvlText w:val="%9."/>
      <w:lvlJc w:val="right"/>
      <w:pPr>
        <w:ind w:left="6262" w:hanging="180"/>
      </w:pPr>
    </w:lvl>
  </w:abstractNum>
  <w:abstractNum w:abstractNumId="5" w15:restartNumberingAfterBreak="0">
    <w:nsid w:val="30E46416"/>
    <w:multiLevelType w:val="multilevel"/>
    <w:tmpl w:val="B5983D7A"/>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CB7774"/>
    <w:multiLevelType w:val="hybridMultilevel"/>
    <w:tmpl w:val="70365A9E"/>
    <w:lvl w:ilvl="0" w:tplc="F9944646">
      <w:start w:val="1"/>
      <w:numFmt w:val="bullet"/>
      <w:lvlText w:val=""/>
      <w:lvlJc w:val="left"/>
      <w:pPr>
        <w:ind w:left="720" w:hanging="360"/>
      </w:pPr>
      <w:rPr>
        <w:rFonts w:ascii="Symbol" w:hAnsi="Symbol" w:hint="default"/>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1C609EA"/>
    <w:multiLevelType w:val="hybridMultilevel"/>
    <w:tmpl w:val="FEE64424"/>
    <w:lvl w:ilvl="0" w:tplc="7FF8CB14">
      <w:start w:val="1"/>
      <w:numFmt w:val="lowerLetter"/>
      <w:lvlText w:val="(%1)"/>
      <w:lvlJc w:val="left"/>
      <w:pPr>
        <w:ind w:left="360" w:hanging="360"/>
      </w:pPr>
      <w:rPr>
        <w:rFonts w:hint="default"/>
        <w:b/>
        <w:bCs/>
      </w:rPr>
    </w:lvl>
    <w:lvl w:ilvl="1" w:tplc="3244BDC8" w:tentative="1">
      <w:start w:val="1"/>
      <w:numFmt w:val="lowerLetter"/>
      <w:lvlText w:val="%2."/>
      <w:lvlJc w:val="left"/>
      <w:pPr>
        <w:ind w:left="1080" w:hanging="360"/>
      </w:pPr>
    </w:lvl>
    <w:lvl w:ilvl="2" w:tplc="4566BD84" w:tentative="1">
      <w:start w:val="1"/>
      <w:numFmt w:val="lowerRoman"/>
      <w:lvlText w:val="%3."/>
      <w:lvlJc w:val="right"/>
      <w:pPr>
        <w:ind w:left="1800" w:hanging="180"/>
      </w:pPr>
    </w:lvl>
    <w:lvl w:ilvl="3" w:tplc="21BC83C8" w:tentative="1">
      <w:start w:val="1"/>
      <w:numFmt w:val="decimal"/>
      <w:lvlText w:val="%4."/>
      <w:lvlJc w:val="left"/>
      <w:pPr>
        <w:ind w:left="2520" w:hanging="360"/>
      </w:pPr>
    </w:lvl>
    <w:lvl w:ilvl="4" w:tplc="081C82E8" w:tentative="1">
      <w:start w:val="1"/>
      <w:numFmt w:val="lowerLetter"/>
      <w:lvlText w:val="%5."/>
      <w:lvlJc w:val="left"/>
      <w:pPr>
        <w:ind w:left="3240" w:hanging="360"/>
      </w:pPr>
    </w:lvl>
    <w:lvl w:ilvl="5" w:tplc="6BAAB0E2" w:tentative="1">
      <w:start w:val="1"/>
      <w:numFmt w:val="lowerRoman"/>
      <w:lvlText w:val="%6."/>
      <w:lvlJc w:val="right"/>
      <w:pPr>
        <w:ind w:left="3960" w:hanging="180"/>
      </w:pPr>
    </w:lvl>
    <w:lvl w:ilvl="6" w:tplc="7D605C4C" w:tentative="1">
      <w:start w:val="1"/>
      <w:numFmt w:val="decimal"/>
      <w:lvlText w:val="%7."/>
      <w:lvlJc w:val="left"/>
      <w:pPr>
        <w:ind w:left="4680" w:hanging="360"/>
      </w:pPr>
    </w:lvl>
    <w:lvl w:ilvl="7" w:tplc="53DC71A2" w:tentative="1">
      <w:start w:val="1"/>
      <w:numFmt w:val="lowerLetter"/>
      <w:lvlText w:val="%8."/>
      <w:lvlJc w:val="left"/>
      <w:pPr>
        <w:ind w:left="5400" w:hanging="360"/>
      </w:pPr>
    </w:lvl>
    <w:lvl w:ilvl="8" w:tplc="E702DB1E" w:tentative="1">
      <w:start w:val="1"/>
      <w:numFmt w:val="lowerRoman"/>
      <w:lvlText w:val="%9."/>
      <w:lvlJc w:val="right"/>
      <w:pPr>
        <w:ind w:left="6120" w:hanging="180"/>
      </w:pPr>
    </w:lvl>
  </w:abstractNum>
  <w:abstractNum w:abstractNumId="8" w15:restartNumberingAfterBreak="0">
    <w:nsid w:val="47F9678B"/>
    <w:multiLevelType w:val="hybridMultilevel"/>
    <w:tmpl w:val="FF3405EA"/>
    <w:lvl w:ilvl="0" w:tplc="59AA6738">
      <w:start w:val="1"/>
      <w:numFmt w:val="bullet"/>
      <w:lvlText w:val=""/>
      <w:lvlJc w:val="left"/>
      <w:pPr>
        <w:ind w:left="720" w:hanging="360"/>
      </w:pPr>
      <w:rPr>
        <w:rFonts w:ascii="Symbol" w:hAnsi="Symbol" w:hint="default"/>
      </w:rPr>
    </w:lvl>
    <w:lvl w:ilvl="1" w:tplc="6EA2BD06" w:tentative="1">
      <w:start w:val="1"/>
      <w:numFmt w:val="bullet"/>
      <w:lvlText w:val="o"/>
      <w:lvlJc w:val="left"/>
      <w:pPr>
        <w:ind w:left="1440" w:hanging="360"/>
      </w:pPr>
      <w:rPr>
        <w:rFonts w:ascii="Courier New" w:hAnsi="Courier New" w:hint="default"/>
      </w:rPr>
    </w:lvl>
    <w:lvl w:ilvl="2" w:tplc="0066C200" w:tentative="1">
      <w:start w:val="1"/>
      <w:numFmt w:val="bullet"/>
      <w:lvlText w:val=""/>
      <w:lvlJc w:val="left"/>
      <w:pPr>
        <w:ind w:left="2160" w:hanging="360"/>
      </w:pPr>
      <w:rPr>
        <w:rFonts w:ascii="Wingdings" w:hAnsi="Wingdings" w:hint="default"/>
      </w:rPr>
    </w:lvl>
    <w:lvl w:ilvl="3" w:tplc="F36CF7B4" w:tentative="1">
      <w:start w:val="1"/>
      <w:numFmt w:val="bullet"/>
      <w:lvlText w:val=""/>
      <w:lvlJc w:val="left"/>
      <w:pPr>
        <w:ind w:left="2880" w:hanging="360"/>
      </w:pPr>
      <w:rPr>
        <w:rFonts w:ascii="Symbol" w:hAnsi="Symbol" w:hint="default"/>
      </w:rPr>
    </w:lvl>
    <w:lvl w:ilvl="4" w:tplc="4650F722" w:tentative="1">
      <w:start w:val="1"/>
      <w:numFmt w:val="bullet"/>
      <w:lvlText w:val="o"/>
      <w:lvlJc w:val="left"/>
      <w:pPr>
        <w:ind w:left="3600" w:hanging="360"/>
      </w:pPr>
      <w:rPr>
        <w:rFonts w:ascii="Courier New" w:hAnsi="Courier New" w:hint="default"/>
      </w:rPr>
    </w:lvl>
    <w:lvl w:ilvl="5" w:tplc="9404D814" w:tentative="1">
      <w:start w:val="1"/>
      <w:numFmt w:val="bullet"/>
      <w:lvlText w:val=""/>
      <w:lvlJc w:val="left"/>
      <w:pPr>
        <w:ind w:left="4320" w:hanging="360"/>
      </w:pPr>
      <w:rPr>
        <w:rFonts w:ascii="Wingdings" w:hAnsi="Wingdings" w:hint="default"/>
      </w:rPr>
    </w:lvl>
    <w:lvl w:ilvl="6" w:tplc="2F461224" w:tentative="1">
      <w:start w:val="1"/>
      <w:numFmt w:val="bullet"/>
      <w:lvlText w:val=""/>
      <w:lvlJc w:val="left"/>
      <w:pPr>
        <w:ind w:left="5040" w:hanging="360"/>
      </w:pPr>
      <w:rPr>
        <w:rFonts w:ascii="Symbol" w:hAnsi="Symbol" w:hint="default"/>
      </w:rPr>
    </w:lvl>
    <w:lvl w:ilvl="7" w:tplc="59EAD52C" w:tentative="1">
      <w:start w:val="1"/>
      <w:numFmt w:val="bullet"/>
      <w:lvlText w:val="o"/>
      <w:lvlJc w:val="left"/>
      <w:pPr>
        <w:ind w:left="5760" w:hanging="360"/>
      </w:pPr>
      <w:rPr>
        <w:rFonts w:ascii="Courier New" w:hAnsi="Courier New" w:hint="default"/>
      </w:rPr>
    </w:lvl>
    <w:lvl w:ilvl="8" w:tplc="7AB6F3F2" w:tentative="1">
      <w:start w:val="1"/>
      <w:numFmt w:val="bullet"/>
      <w:lvlText w:val=""/>
      <w:lvlJc w:val="left"/>
      <w:pPr>
        <w:ind w:left="6480" w:hanging="360"/>
      </w:pPr>
      <w:rPr>
        <w:rFonts w:ascii="Wingdings" w:hAnsi="Wingdings" w:hint="default"/>
      </w:rPr>
    </w:lvl>
  </w:abstractNum>
  <w:abstractNum w:abstractNumId="9" w15:restartNumberingAfterBreak="0">
    <w:nsid w:val="61F54DF4"/>
    <w:multiLevelType w:val="hybridMultilevel"/>
    <w:tmpl w:val="FEE64424"/>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93D2402"/>
    <w:multiLevelType w:val="multilevel"/>
    <w:tmpl w:val="33E421CE"/>
    <w:lvl w:ilvl="0">
      <w:start w:val="1"/>
      <w:numFmt w:val="none"/>
      <w:pStyle w:val="MTTFactumReference"/>
      <w:lvlText w:val="Reference:"/>
      <w:lvlJc w:val="left"/>
      <w:pPr>
        <w:tabs>
          <w:tab w:val="num" w:pos="2160"/>
        </w:tabs>
        <w:ind w:left="2160" w:hanging="1440"/>
      </w:pPr>
      <w:rPr>
        <w:rFonts w:cs="Times New Roman" w:hint="default"/>
        <w:b/>
        <w:i w:val="0"/>
      </w:rPr>
    </w:lvl>
    <w:lvl w:ilvl="1">
      <w:start w:val="1"/>
      <w:numFmt w:val="none"/>
      <w:pStyle w:val="Heading2"/>
      <w:suff w:val="nothing"/>
      <w:lvlText w:val=""/>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pStyle w:val="Heading5"/>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1" w15:restartNumberingAfterBreak="0">
    <w:nsid w:val="70B3487C"/>
    <w:multiLevelType w:val="hybridMultilevel"/>
    <w:tmpl w:val="E376C00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7D1D062F"/>
    <w:multiLevelType w:val="hybridMultilevel"/>
    <w:tmpl w:val="EE3E596E"/>
    <w:lvl w:ilvl="0" w:tplc="FFFFFFFF">
      <w:start w:val="1"/>
      <w:numFmt w:val="bullet"/>
      <w:lvlText w:val=""/>
      <w:lvlJc w:val="left"/>
      <w:pPr>
        <w:ind w:left="360" w:hanging="360"/>
      </w:pPr>
      <w:rPr>
        <w:rFonts w:ascii="Symbol" w:hAnsi="Symbol" w:hint="default"/>
        <w:i w:val="0"/>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num w:numId="1" w16cid:durableId="1540555360">
    <w:abstractNumId w:val="10"/>
  </w:num>
  <w:num w:numId="2" w16cid:durableId="1218738647">
    <w:abstractNumId w:val="2"/>
  </w:num>
  <w:num w:numId="3" w16cid:durableId="371735798">
    <w:abstractNumId w:val="8"/>
  </w:num>
  <w:num w:numId="4" w16cid:durableId="1308629439">
    <w:abstractNumId w:val="4"/>
  </w:num>
  <w:num w:numId="5" w16cid:durableId="56511645">
    <w:abstractNumId w:val="7"/>
  </w:num>
  <w:num w:numId="6" w16cid:durableId="194197965">
    <w:abstractNumId w:val="3"/>
  </w:num>
  <w:num w:numId="7" w16cid:durableId="1069572234">
    <w:abstractNumId w:val="12"/>
  </w:num>
  <w:num w:numId="8" w16cid:durableId="1805658381">
    <w:abstractNumId w:val="5"/>
  </w:num>
  <w:num w:numId="9" w16cid:durableId="1652951235">
    <w:abstractNumId w:val="6"/>
  </w:num>
  <w:num w:numId="10" w16cid:durableId="1688213721">
    <w:abstractNumId w:val="0"/>
  </w:num>
  <w:num w:numId="11" w16cid:durableId="909314001">
    <w:abstractNumId w:val="1"/>
  </w:num>
  <w:num w:numId="12" w16cid:durableId="970982432">
    <w:abstractNumId w:val="11"/>
  </w:num>
  <w:num w:numId="13" w16cid:durableId="117141224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3C7"/>
    <w:rsid w:val="000000D2"/>
    <w:rsid w:val="00000AAA"/>
    <w:rsid w:val="00000AEA"/>
    <w:rsid w:val="000011EE"/>
    <w:rsid w:val="0000143E"/>
    <w:rsid w:val="00001F61"/>
    <w:rsid w:val="00002309"/>
    <w:rsid w:val="000028CD"/>
    <w:rsid w:val="00002F7F"/>
    <w:rsid w:val="00002FAA"/>
    <w:rsid w:val="0000329C"/>
    <w:rsid w:val="00003803"/>
    <w:rsid w:val="000041C6"/>
    <w:rsid w:val="000043C2"/>
    <w:rsid w:val="000046A4"/>
    <w:rsid w:val="0000507C"/>
    <w:rsid w:val="00005A3F"/>
    <w:rsid w:val="000068E9"/>
    <w:rsid w:val="00006F39"/>
    <w:rsid w:val="00007E67"/>
    <w:rsid w:val="00010108"/>
    <w:rsid w:val="000106EB"/>
    <w:rsid w:val="000107BD"/>
    <w:rsid w:val="0001111F"/>
    <w:rsid w:val="00011170"/>
    <w:rsid w:val="000113DB"/>
    <w:rsid w:val="0001149B"/>
    <w:rsid w:val="000116E3"/>
    <w:rsid w:val="0001178E"/>
    <w:rsid w:val="00011A41"/>
    <w:rsid w:val="00011CB9"/>
    <w:rsid w:val="00011CF5"/>
    <w:rsid w:val="000124B3"/>
    <w:rsid w:val="000125B1"/>
    <w:rsid w:val="000135D0"/>
    <w:rsid w:val="000140DB"/>
    <w:rsid w:val="000145FC"/>
    <w:rsid w:val="00014621"/>
    <w:rsid w:val="0001540F"/>
    <w:rsid w:val="00015FED"/>
    <w:rsid w:val="00016B01"/>
    <w:rsid w:val="000170B7"/>
    <w:rsid w:val="0001735C"/>
    <w:rsid w:val="000200A5"/>
    <w:rsid w:val="00020503"/>
    <w:rsid w:val="0002126A"/>
    <w:rsid w:val="000214CF"/>
    <w:rsid w:val="00021C22"/>
    <w:rsid w:val="00021D9C"/>
    <w:rsid w:val="00021F41"/>
    <w:rsid w:val="0002210C"/>
    <w:rsid w:val="000222EC"/>
    <w:rsid w:val="0002299C"/>
    <w:rsid w:val="000230A3"/>
    <w:rsid w:val="000234CE"/>
    <w:rsid w:val="00023A6B"/>
    <w:rsid w:val="00024C01"/>
    <w:rsid w:val="00025318"/>
    <w:rsid w:val="00025404"/>
    <w:rsid w:val="000255D9"/>
    <w:rsid w:val="0002562D"/>
    <w:rsid w:val="00026EF5"/>
    <w:rsid w:val="000270E1"/>
    <w:rsid w:val="000270F4"/>
    <w:rsid w:val="000274F3"/>
    <w:rsid w:val="00027537"/>
    <w:rsid w:val="00027E49"/>
    <w:rsid w:val="0003006C"/>
    <w:rsid w:val="00030126"/>
    <w:rsid w:val="000302C9"/>
    <w:rsid w:val="00030508"/>
    <w:rsid w:val="000307D4"/>
    <w:rsid w:val="00030DC6"/>
    <w:rsid w:val="00031074"/>
    <w:rsid w:val="0003153A"/>
    <w:rsid w:val="00031991"/>
    <w:rsid w:val="00031CA1"/>
    <w:rsid w:val="00031ECF"/>
    <w:rsid w:val="000325A7"/>
    <w:rsid w:val="0003260A"/>
    <w:rsid w:val="0003316D"/>
    <w:rsid w:val="000331EC"/>
    <w:rsid w:val="00033813"/>
    <w:rsid w:val="00033CF5"/>
    <w:rsid w:val="00033FC9"/>
    <w:rsid w:val="00034E3D"/>
    <w:rsid w:val="0003502B"/>
    <w:rsid w:val="0003585C"/>
    <w:rsid w:val="00035912"/>
    <w:rsid w:val="00036091"/>
    <w:rsid w:val="0003617F"/>
    <w:rsid w:val="00036500"/>
    <w:rsid w:val="00036C5A"/>
    <w:rsid w:val="00037264"/>
    <w:rsid w:val="00037363"/>
    <w:rsid w:val="00037AA2"/>
    <w:rsid w:val="00040D09"/>
    <w:rsid w:val="00040F74"/>
    <w:rsid w:val="00040F88"/>
    <w:rsid w:val="00041162"/>
    <w:rsid w:val="00041AAB"/>
    <w:rsid w:val="000436B0"/>
    <w:rsid w:val="0004375E"/>
    <w:rsid w:val="000437FD"/>
    <w:rsid w:val="00043B7E"/>
    <w:rsid w:val="0004433B"/>
    <w:rsid w:val="00044762"/>
    <w:rsid w:val="00045310"/>
    <w:rsid w:val="00047403"/>
    <w:rsid w:val="0004741F"/>
    <w:rsid w:val="00047C1B"/>
    <w:rsid w:val="00047D66"/>
    <w:rsid w:val="00047D6B"/>
    <w:rsid w:val="00047E54"/>
    <w:rsid w:val="000505A8"/>
    <w:rsid w:val="00050742"/>
    <w:rsid w:val="00050952"/>
    <w:rsid w:val="00050961"/>
    <w:rsid w:val="00050BDF"/>
    <w:rsid w:val="00050DDF"/>
    <w:rsid w:val="000511C0"/>
    <w:rsid w:val="0005136B"/>
    <w:rsid w:val="00051678"/>
    <w:rsid w:val="00051861"/>
    <w:rsid w:val="00051942"/>
    <w:rsid w:val="00052150"/>
    <w:rsid w:val="00052A07"/>
    <w:rsid w:val="00052FC5"/>
    <w:rsid w:val="000533B4"/>
    <w:rsid w:val="000539C2"/>
    <w:rsid w:val="000541D5"/>
    <w:rsid w:val="00054593"/>
    <w:rsid w:val="00054BA4"/>
    <w:rsid w:val="000555BA"/>
    <w:rsid w:val="00055A27"/>
    <w:rsid w:val="00055C02"/>
    <w:rsid w:val="00055E9B"/>
    <w:rsid w:val="00056047"/>
    <w:rsid w:val="00056A94"/>
    <w:rsid w:val="0005714A"/>
    <w:rsid w:val="000578DF"/>
    <w:rsid w:val="00057B08"/>
    <w:rsid w:val="00057C7A"/>
    <w:rsid w:val="00057D74"/>
    <w:rsid w:val="00060223"/>
    <w:rsid w:val="00061081"/>
    <w:rsid w:val="000612B0"/>
    <w:rsid w:val="000618DC"/>
    <w:rsid w:val="00061BBD"/>
    <w:rsid w:val="00062148"/>
    <w:rsid w:val="000628F2"/>
    <w:rsid w:val="00062EC7"/>
    <w:rsid w:val="00063797"/>
    <w:rsid w:val="000639A8"/>
    <w:rsid w:val="000643DF"/>
    <w:rsid w:val="00065282"/>
    <w:rsid w:val="00065AD6"/>
    <w:rsid w:val="000662C9"/>
    <w:rsid w:val="0006646E"/>
    <w:rsid w:val="0006673F"/>
    <w:rsid w:val="00067030"/>
    <w:rsid w:val="00067179"/>
    <w:rsid w:val="00067689"/>
    <w:rsid w:val="000704EC"/>
    <w:rsid w:val="00070E0F"/>
    <w:rsid w:val="0007102D"/>
    <w:rsid w:val="000710C4"/>
    <w:rsid w:val="0007178E"/>
    <w:rsid w:val="00071837"/>
    <w:rsid w:val="00071B36"/>
    <w:rsid w:val="0007228F"/>
    <w:rsid w:val="00072292"/>
    <w:rsid w:val="000724E9"/>
    <w:rsid w:val="00072650"/>
    <w:rsid w:val="00072B1B"/>
    <w:rsid w:val="00072F14"/>
    <w:rsid w:val="000732AF"/>
    <w:rsid w:val="0007357F"/>
    <w:rsid w:val="0007427A"/>
    <w:rsid w:val="00075656"/>
    <w:rsid w:val="00075689"/>
    <w:rsid w:val="000758A7"/>
    <w:rsid w:val="00075971"/>
    <w:rsid w:val="00077855"/>
    <w:rsid w:val="000800BE"/>
    <w:rsid w:val="00080BCB"/>
    <w:rsid w:val="0008120C"/>
    <w:rsid w:val="000819B1"/>
    <w:rsid w:val="00081C15"/>
    <w:rsid w:val="00082671"/>
    <w:rsid w:val="00082C99"/>
    <w:rsid w:val="00082F4E"/>
    <w:rsid w:val="000838DE"/>
    <w:rsid w:val="00083D73"/>
    <w:rsid w:val="00083FE3"/>
    <w:rsid w:val="000841A4"/>
    <w:rsid w:val="000843A5"/>
    <w:rsid w:val="000850DA"/>
    <w:rsid w:val="000854A3"/>
    <w:rsid w:val="000856D0"/>
    <w:rsid w:val="000866BE"/>
    <w:rsid w:val="00086FDD"/>
    <w:rsid w:val="00087577"/>
    <w:rsid w:val="00087E87"/>
    <w:rsid w:val="00087F3D"/>
    <w:rsid w:val="00090B01"/>
    <w:rsid w:val="00090C5B"/>
    <w:rsid w:val="00091169"/>
    <w:rsid w:val="0009151C"/>
    <w:rsid w:val="00091A07"/>
    <w:rsid w:val="00091A36"/>
    <w:rsid w:val="00091DC0"/>
    <w:rsid w:val="00091F32"/>
    <w:rsid w:val="0009252B"/>
    <w:rsid w:val="000926C9"/>
    <w:rsid w:val="00092B8A"/>
    <w:rsid w:val="000930F6"/>
    <w:rsid w:val="000934F7"/>
    <w:rsid w:val="0009426F"/>
    <w:rsid w:val="00094B6C"/>
    <w:rsid w:val="00095351"/>
    <w:rsid w:val="00095A4D"/>
    <w:rsid w:val="00095C8B"/>
    <w:rsid w:val="00095F2C"/>
    <w:rsid w:val="000965C2"/>
    <w:rsid w:val="00096711"/>
    <w:rsid w:val="000A006D"/>
    <w:rsid w:val="000A03BB"/>
    <w:rsid w:val="000A28FA"/>
    <w:rsid w:val="000A3320"/>
    <w:rsid w:val="000A3447"/>
    <w:rsid w:val="000A3A42"/>
    <w:rsid w:val="000A41DB"/>
    <w:rsid w:val="000A4FF6"/>
    <w:rsid w:val="000A53D1"/>
    <w:rsid w:val="000A555A"/>
    <w:rsid w:val="000A5BF9"/>
    <w:rsid w:val="000A66AC"/>
    <w:rsid w:val="000A68EC"/>
    <w:rsid w:val="000A7FBA"/>
    <w:rsid w:val="000B013C"/>
    <w:rsid w:val="000B0488"/>
    <w:rsid w:val="000B0A7F"/>
    <w:rsid w:val="000B0B95"/>
    <w:rsid w:val="000B129A"/>
    <w:rsid w:val="000B16D1"/>
    <w:rsid w:val="000B19FD"/>
    <w:rsid w:val="000B1EB6"/>
    <w:rsid w:val="000B28F4"/>
    <w:rsid w:val="000B37FF"/>
    <w:rsid w:val="000B4772"/>
    <w:rsid w:val="000B4B60"/>
    <w:rsid w:val="000B4BCD"/>
    <w:rsid w:val="000B4F86"/>
    <w:rsid w:val="000B53BB"/>
    <w:rsid w:val="000B5A4B"/>
    <w:rsid w:val="000B6123"/>
    <w:rsid w:val="000B67BA"/>
    <w:rsid w:val="000B7DFE"/>
    <w:rsid w:val="000B7E55"/>
    <w:rsid w:val="000C02DB"/>
    <w:rsid w:val="000C07AF"/>
    <w:rsid w:val="000C0DB6"/>
    <w:rsid w:val="000C10AE"/>
    <w:rsid w:val="000C16BD"/>
    <w:rsid w:val="000C1944"/>
    <w:rsid w:val="000C1E91"/>
    <w:rsid w:val="000C23C5"/>
    <w:rsid w:val="000C3984"/>
    <w:rsid w:val="000C3A16"/>
    <w:rsid w:val="000C476E"/>
    <w:rsid w:val="000C48F1"/>
    <w:rsid w:val="000C4C30"/>
    <w:rsid w:val="000C574C"/>
    <w:rsid w:val="000C59BB"/>
    <w:rsid w:val="000C5AD9"/>
    <w:rsid w:val="000C5CDB"/>
    <w:rsid w:val="000C5E41"/>
    <w:rsid w:val="000C5F8E"/>
    <w:rsid w:val="000C65B2"/>
    <w:rsid w:val="000C65B5"/>
    <w:rsid w:val="000C67DA"/>
    <w:rsid w:val="000C6D11"/>
    <w:rsid w:val="000C7017"/>
    <w:rsid w:val="000C706B"/>
    <w:rsid w:val="000C70AA"/>
    <w:rsid w:val="000C730B"/>
    <w:rsid w:val="000C7684"/>
    <w:rsid w:val="000D06BD"/>
    <w:rsid w:val="000D0D6A"/>
    <w:rsid w:val="000D1280"/>
    <w:rsid w:val="000D12F0"/>
    <w:rsid w:val="000D13D4"/>
    <w:rsid w:val="000D18E2"/>
    <w:rsid w:val="000D1F60"/>
    <w:rsid w:val="000D232A"/>
    <w:rsid w:val="000D2D37"/>
    <w:rsid w:val="000D329B"/>
    <w:rsid w:val="000D32EC"/>
    <w:rsid w:val="000D35F3"/>
    <w:rsid w:val="000D39D4"/>
    <w:rsid w:val="000D43AB"/>
    <w:rsid w:val="000D4537"/>
    <w:rsid w:val="000D49B1"/>
    <w:rsid w:val="000D4B79"/>
    <w:rsid w:val="000D4C07"/>
    <w:rsid w:val="000D5187"/>
    <w:rsid w:val="000D52E3"/>
    <w:rsid w:val="000D570C"/>
    <w:rsid w:val="000D593E"/>
    <w:rsid w:val="000D622E"/>
    <w:rsid w:val="000D6A66"/>
    <w:rsid w:val="000D6AFF"/>
    <w:rsid w:val="000D6B82"/>
    <w:rsid w:val="000D6DDA"/>
    <w:rsid w:val="000D7232"/>
    <w:rsid w:val="000D73B0"/>
    <w:rsid w:val="000D754A"/>
    <w:rsid w:val="000D7D5C"/>
    <w:rsid w:val="000D7D71"/>
    <w:rsid w:val="000E0154"/>
    <w:rsid w:val="000E08E0"/>
    <w:rsid w:val="000E0A2F"/>
    <w:rsid w:val="000E1001"/>
    <w:rsid w:val="000E10CE"/>
    <w:rsid w:val="000E1141"/>
    <w:rsid w:val="000E1154"/>
    <w:rsid w:val="000E133C"/>
    <w:rsid w:val="000E141B"/>
    <w:rsid w:val="000E1872"/>
    <w:rsid w:val="000E22C3"/>
    <w:rsid w:val="000E25D0"/>
    <w:rsid w:val="000E2616"/>
    <w:rsid w:val="000E2925"/>
    <w:rsid w:val="000E2A23"/>
    <w:rsid w:val="000E2A2A"/>
    <w:rsid w:val="000E2E8E"/>
    <w:rsid w:val="000E2E92"/>
    <w:rsid w:val="000E3435"/>
    <w:rsid w:val="000E549F"/>
    <w:rsid w:val="000E5995"/>
    <w:rsid w:val="000E5B27"/>
    <w:rsid w:val="000E5B43"/>
    <w:rsid w:val="000E5E25"/>
    <w:rsid w:val="000E6A27"/>
    <w:rsid w:val="000E6CEC"/>
    <w:rsid w:val="000E785E"/>
    <w:rsid w:val="000E7B76"/>
    <w:rsid w:val="000F063C"/>
    <w:rsid w:val="000F0678"/>
    <w:rsid w:val="000F0A0B"/>
    <w:rsid w:val="000F26A9"/>
    <w:rsid w:val="000F2729"/>
    <w:rsid w:val="000F28BA"/>
    <w:rsid w:val="000F2A08"/>
    <w:rsid w:val="000F2D96"/>
    <w:rsid w:val="000F2E05"/>
    <w:rsid w:val="000F331A"/>
    <w:rsid w:val="000F3D19"/>
    <w:rsid w:val="000F45F1"/>
    <w:rsid w:val="000F46A6"/>
    <w:rsid w:val="000F54C8"/>
    <w:rsid w:val="000F6493"/>
    <w:rsid w:val="000F64EC"/>
    <w:rsid w:val="000F6924"/>
    <w:rsid w:val="000F6A0E"/>
    <w:rsid w:val="000F6A99"/>
    <w:rsid w:val="00100011"/>
    <w:rsid w:val="001013E8"/>
    <w:rsid w:val="00102053"/>
    <w:rsid w:val="0010388D"/>
    <w:rsid w:val="00103A54"/>
    <w:rsid w:val="00103DA2"/>
    <w:rsid w:val="00104D1C"/>
    <w:rsid w:val="001052F4"/>
    <w:rsid w:val="00105E6A"/>
    <w:rsid w:val="00105F1A"/>
    <w:rsid w:val="0010667B"/>
    <w:rsid w:val="00106DE0"/>
    <w:rsid w:val="001074F7"/>
    <w:rsid w:val="001075D5"/>
    <w:rsid w:val="00107FCF"/>
    <w:rsid w:val="00110053"/>
    <w:rsid w:val="0011071C"/>
    <w:rsid w:val="00110BB4"/>
    <w:rsid w:val="00111093"/>
    <w:rsid w:val="0011157D"/>
    <w:rsid w:val="00111EA9"/>
    <w:rsid w:val="0011245C"/>
    <w:rsid w:val="00112C1B"/>
    <w:rsid w:val="00112D15"/>
    <w:rsid w:val="00112DF3"/>
    <w:rsid w:val="0011315E"/>
    <w:rsid w:val="0011316E"/>
    <w:rsid w:val="001135E0"/>
    <w:rsid w:val="00113610"/>
    <w:rsid w:val="00113A91"/>
    <w:rsid w:val="00113BA9"/>
    <w:rsid w:val="00113D9C"/>
    <w:rsid w:val="00114082"/>
    <w:rsid w:val="001142F1"/>
    <w:rsid w:val="00114BD3"/>
    <w:rsid w:val="00114FFC"/>
    <w:rsid w:val="001150BA"/>
    <w:rsid w:val="001154D5"/>
    <w:rsid w:val="00115A07"/>
    <w:rsid w:val="0011608A"/>
    <w:rsid w:val="0011612D"/>
    <w:rsid w:val="001164B8"/>
    <w:rsid w:val="00116EA5"/>
    <w:rsid w:val="00117753"/>
    <w:rsid w:val="00120321"/>
    <w:rsid w:val="0012057E"/>
    <w:rsid w:val="00120B4B"/>
    <w:rsid w:val="00120C16"/>
    <w:rsid w:val="00120F8F"/>
    <w:rsid w:val="0012167D"/>
    <w:rsid w:val="00121E25"/>
    <w:rsid w:val="00121FA3"/>
    <w:rsid w:val="0012201F"/>
    <w:rsid w:val="00122416"/>
    <w:rsid w:val="00122653"/>
    <w:rsid w:val="0012328B"/>
    <w:rsid w:val="00123335"/>
    <w:rsid w:val="001234F9"/>
    <w:rsid w:val="0012353D"/>
    <w:rsid w:val="00123D2D"/>
    <w:rsid w:val="00123E61"/>
    <w:rsid w:val="00124871"/>
    <w:rsid w:val="00124BEF"/>
    <w:rsid w:val="00124C38"/>
    <w:rsid w:val="00125121"/>
    <w:rsid w:val="0012598E"/>
    <w:rsid w:val="00125B56"/>
    <w:rsid w:val="00125D2C"/>
    <w:rsid w:val="00126C2A"/>
    <w:rsid w:val="00127564"/>
    <w:rsid w:val="00130295"/>
    <w:rsid w:val="0013042B"/>
    <w:rsid w:val="00130F6E"/>
    <w:rsid w:val="00131AF9"/>
    <w:rsid w:val="001325F4"/>
    <w:rsid w:val="00132A88"/>
    <w:rsid w:val="00132BDB"/>
    <w:rsid w:val="00133831"/>
    <w:rsid w:val="00133C43"/>
    <w:rsid w:val="0013415A"/>
    <w:rsid w:val="001342B9"/>
    <w:rsid w:val="00134770"/>
    <w:rsid w:val="0013484B"/>
    <w:rsid w:val="001350DF"/>
    <w:rsid w:val="001351C9"/>
    <w:rsid w:val="001354FA"/>
    <w:rsid w:val="001359FE"/>
    <w:rsid w:val="00135B2D"/>
    <w:rsid w:val="00135CA0"/>
    <w:rsid w:val="00136648"/>
    <w:rsid w:val="00136BD4"/>
    <w:rsid w:val="00136D1B"/>
    <w:rsid w:val="001372C2"/>
    <w:rsid w:val="001372F9"/>
    <w:rsid w:val="001373E9"/>
    <w:rsid w:val="00140BB6"/>
    <w:rsid w:val="00140F84"/>
    <w:rsid w:val="0014122A"/>
    <w:rsid w:val="00142970"/>
    <w:rsid w:val="00142A62"/>
    <w:rsid w:val="00142AF7"/>
    <w:rsid w:val="00142B7B"/>
    <w:rsid w:val="00143C60"/>
    <w:rsid w:val="001440FD"/>
    <w:rsid w:val="0014428C"/>
    <w:rsid w:val="00144819"/>
    <w:rsid w:val="00144D47"/>
    <w:rsid w:val="00144F22"/>
    <w:rsid w:val="00145439"/>
    <w:rsid w:val="001455EC"/>
    <w:rsid w:val="00145777"/>
    <w:rsid w:val="001457C8"/>
    <w:rsid w:val="00145985"/>
    <w:rsid w:val="00145CD5"/>
    <w:rsid w:val="00145D55"/>
    <w:rsid w:val="00145F2A"/>
    <w:rsid w:val="0014605A"/>
    <w:rsid w:val="001460C5"/>
    <w:rsid w:val="00146B2C"/>
    <w:rsid w:val="00147ED0"/>
    <w:rsid w:val="00147FB8"/>
    <w:rsid w:val="001507EB"/>
    <w:rsid w:val="00151CED"/>
    <w:rsid w:val="00152288"/>
    <w:rsid w:val="001522BD"/>
    <w:rsid w:val="00153156"/>
    <w:rsid w:val="00153CE2"/>
    <w:rsid w:val="001544EE"/>
    <w:rsid w:val="00154C15"/>
    <w:rsid w:val="0015509F"/>
    <w:rsid w:val="001554E2"/>
    <w:rsid w:val="00155895"/>
    <w:rsid w:val="00155FF2"/>
    <w:rsid w:val="00156080"/>
    <w:rsid w:val="001561F3"/>
    <w:rsid w:val="001562CB"/>
    <w:rsid w:val="00156388"/>
    <w:rsid w:val="00156710"/>
    <w:rsid w:val="0015673E"/>
    <w:rsid w:val="00157228"/>
    <w:rsid w:val="001572FF"/>
    <w:rsid w:val="001602ED"/>
    <w:rsid w:val="001605F2"/>
    <w:rsid w:val="00160D03"/>
    <w:rsid w:val="00160EF2"/>
    <w:rsid w:val="0016132D"/>
    <w:rsid w:val="00162E8D"/>
    <w:rsid w:val="00163C15"/>
    <w:rsid w:val="00163ED6"/>
    <w:rsid w:val="0016427A"/>
    <w:rsid w:val="00164A8F"/>
    <w:rsid w:val="00164B44"/>
    <w:rsid w:val="00165047"/>
    <w:rsid w:val="00165120"/>
    <w:rsid w:val="001652DB"/>
    <w:rsid w:val="00165CEC"/>
    <w:rsid w:val="00166246"/>
    <w:rsid w:val="0016671F"/>
    <w:rsid w:val="0016689D"/>
    <w:rsid w:val="00166C52"/>
    <w:rsid w:val="001679A7"/>
    <w:rsid w:val="00170864"/>
    <w:rsid w:val="00170F28"/>
    <w:rsid w:val="0017125C"/>
    <w:rsid w:val="00171BE1"/>
    <w:rsid w:val="00172A68"/>
    <w:rsid w:val="0017362E"/>
    <w:rsid w:val="00174B72"/>
    <w:rsid w:val="00174C2B"/>
    <w:rsid w:val="00174D9B"/>
    <w:rsid w:val="001760EB"/>
    <w:rsid w:val="00176AA5"/>
    <w:rsid w:val="00176B91"/>
    <w:rsid w:val="00176E2C"/>
    <w:rsid w:val="00177356"/>
    <w:rsid w:val="00177988"/>
    <w:rsid w:val="00177CAA"/>
    <w:rsid w:val="0018042E"/>
    <w:rsid w:val="001811BD"/>
    <w:rsid w:val="0018161B"/>
    <w:rsid w:val="0018189D"/>
    <w:rsid w:val="00181FA6"/>
    <w:rsid w:val="0018207A"/>
    <w:rsid w:val="001823DE"/>
    <w:rsid w:val="00182DE2"/>
    <w:rsid w:val="00183318"/>
    <w:rsid w:val="00183672"/>
    <w:rsid w:val="001839A3"/>
    <w:rsid w:val="00183A5A"/>
    <w:rsid w:val="0018418B"/>
    <w:rsid w:val="00184308"/>
    <w:rsid w:val="00184380"/>
    <w:rsid w:val="001844C1"/>
    <w:rsid w:val="00184CAA"/>
    <w:rsid w:val="00184E61"/>
    <w:rsid w:val="00185249"/>
    <w:rsid w:val="00185738"/>
    <w:rsid w:val="001858CE"/>
    <w:rsid w:val="00185DF9"/>
    <w:rsid w:val="00185E7D"/>
    <w:rsid w:val="001863C1"/>
    <w:rsid w:val="001867A0"/>
    <w:rsid w:val="001867B0"/>
    <w:rsid w:val="00186883"/>
    <w:rsid w:val="001868BB"/>
    <w:rsid w:val="00186900"/>
    <w:rsid w:val="00186D05"/>
    <w:rsid w:val="00187096"/>
    <w:rsid w:val="001877B5"/>
    <w:rsid w:val="00190BF0"/>
    <w:rsid w:val="00190C2B"/>
    <w:rsid w:val="00190DAB"/>
    <w:rsid w:val="00190E0C"/>
    <w:rsid w:val="00190F4B"/>
    <w:rsid w:val="00191247"/>
    <w:rsid w:val="001916A5"/>
    <w:rsid w:val="001918FA"/>
    <w:rsid w:val="0019191D"/>
    <w:rsid w:val="0019206E"/>
    <w:rsid w:val="00192715"/>
    <w:rsid w:val="00192916"/>
    <w:rsid w:val="00192DD2"/>
    <w:rsid w:val="00192ECD"/>
    <w:rsid w:val="00192FC0"/>
    <w:rsid w:val="001930D3"/>
    <w:rsid w:val="0019336D"/>
    <w:rsid w:val="0019363C"/>
    <w:rsid w:val="00193744"/>
    <w:rsid w:val="00193922"/>
    <w:rsid w:val="001939E3"/>
    <w:rsid w:val="00193F4C"/>
    <w:rsid w:val="001944CC"/>
    <w:rsid w:val="00194B31"/>
    <w:rsid w:val="00194BEC"/>
    <w:rsid w:val="00194C5A"/>
    <w:rsid w:val="0019549F"/>
    <w:rsid w:val="00195A7E"/>
    <w:rsid w:val="001961E2"/>
    <w:rsid w:val="00196290"/>
    <w:rsid w:val="00196599"/>
    <w:rsid w:val="001965C9"/>
    <w:rsid w:val="0019706B"/>
    <w:rsid w:val="001A0830"/>
    <w:rsid w:val="001A0BB5"/>
    <w:rsid w:val="001A0D10"/>
    <w:rsid w:val="001A11D9"/>
    <w:rsid w:val="001A1610"/>
    <w:rsid w:val="001A2182"/>
    <w:rsid w:val="001A3012"/>
    <w:rsid w:val="001A30B2"/>
    <w:rsid w:val="001A3160"/>
    <w:rsid w:val="001A31CB"/>
    <w:rsid w:val="001A336B"/>
    <w:rsid w:val="001A34F5"/>
    <w:rsid w:val="001A3851"/>
    <w:rsid w:val="001A3A73"/>
    <w:rsid w:val="001A3ABE"/>
    <w:rsid w:val="001A4085"/>
    <w:rsid w:val="001A48DF"/>
    <w:rsid w:val="001A49CE"/>
    <w:rsid w:val="001A54A2"/>
    <w:rsid w:val="001A6550"/>
    <w:rsid w:val="001A6974"/>
    <w:rsid w:val="001A71D1"/>
    <w:rsid w:val="001A7E87"/>
    <w:rsid w:val="001B0CF9"/>
    <w:rsid w:val="001B167D"/>
    <w:rsid w:val="001B1771"/>
    <w:rsid w:val="001B1978"/>
    <w:rsid w:val="001B1BB4"/>
    <w:rsid w:val="001B26AB"/>
    <w:rsid w:val="001B29C0"/>
    <w:rsid w:val="001B2C9E"/>
    <w:rsid w:val="001B2DE3"/>
    <w:rsid w:val="001B2EA7"/>
    <w:rsid w:val="001B2FA8"/>
    <w:rsid w:val="001B2FEC"/>
    <w:rsid w:val="001B3034"/>
    <w:rsid w:val="001B3ADC"/>
    <w:rsid w:val="001B3B76"/>
    <w:rsid w:val="001B4063"/>
    <w:rsid w:val="001B57CF"/>
    <w:rsid w:val="001B65EF"/>
    <w:rsid w:val="001B7077"/>
    <w:rsid w:val="001C0100"/>
    <w:rsid w:val="001C0233"/>
    <w:rsid w:val="001C0CCE"/>
    <w:rsid w:val="001C0E35"/>
    <w:rsid w:val="001C1035"/>
    <w:rsid w:val="001C1096"/>
    <w:rsid w:val="001C11AD"/>
    <w:rsid w:val="001C1243"/>
    <w:rsid w:val="001C17B7"/>
    <w:rsid w:val="001C17CB"/>
    <w:rsid w:val="001C1B15"/>
    <w:rsid w:val="001C24D8"/>
    <w:rsid w:val="001C279E"/>
    <w:rsid w:val="001C34A2"/>
    <w:rsid w:val="001C3F2D"/>
    <w:rsid w:val="001C4266"/>
    <w:rsid w:val="001C4D1C"/>
    <w:rsid w:val="001C5303"/>
    <w:rsid w:val="001C549E"/>
    <w:rsid w:val="001C56E6"/>
    <w:rsid w:val="001C5894"/>
    <w:rsid w:val="001C5969"/>
    <w:rsid w:val="001C5AFC"/>
    <w:rsid w:val="001C66A9"/>
    <w:rsid w:val="001C6C30"/>
    <w:rsid w:val="001C6E0A"/>
    <w:rsid w:val="001C7262"/>
    <w:rsid w:val="001C7C72"/>
    <w:rsid w:val="001D0285"/>
    <w:rsid w:val="001D0645"/>
    <w:rsid w:val="001D12EF"/>
    <w:rsid w:val="001D1566"/>
    <w:rsid w:val="001D210E"/>
    <w:rsid w:val="001D2769"/>
    <w:rsid w:val="001D2822"/>
    <w:rsid w:val="001D2B5A"/>
    <w:rsid w:val="001D3079"/>
    <w:rsid w:val="001D35E7"/>
    <w:rsid w:val="001D390C"/>
    <w:rsid w:val="001D4133"/>
    <w:rsid w:val="001D45BD"/>
    <w:rsid w:val="001D481A"/>
    <w:rsid w:val="001D4A82"/>
    <w:rsid w:val="001D5234"/>
    <w:rsid w:val="001D598B"/>
    <w:rsid w:val="001D5F3D"/>
    <w:rsid w:val="001D700C"/>
    <w:rsid w:val="001D731D"/>
    <w:rsid w:val="001D7B29"/>
    <w:rsid w:val="001E0274"/>
    <w:rsid w:val="001E0458"/>
    <w:rsid w:val="001E0A0F"/>
    <w:rsid w:val="001E0A22"/>
    <w:rsid w:val="001E0F4F"/>
    <w:rsid w:val="001E1713"/>
    <w:rsid w:val="001E2215"/>
    <w:rsid w:val="001E22E8"/>
    <w:rsid w:val="001E29E8"/>
    <w:rsid w:val="001E2BBA"/>
    <w:rsid w:val="001E2CEC"/>
    <w:rsid w:val="001E37EA"/>
    <w:rsid w:val="001E3A47"/>
    <w:rsid w:val="001E4980"/>
    <w:rsid w:val="001E50B3"/>
    <w:rsid w:val="001E57D5"/>
    <w:rsid w:val="001E67D2"/>
    <w:rsid w:val="001E6A72"/>
    <w:rsid w:val="001E7042"/>
    <w:rsid w:val="001E766A"/>
    <w:rsid w:val="001E7836"/>
    <w:rsid w:val="001F0875"/>
    <w:rsid w:val="001F08AF"/>
    <w:rsid w:val="001F08FC"/>
    <w:rsid w:val="001F2363"/>
    <w:rsid w:val="001F2ED5"/>
    <w:rsid w:val="001F3296"/>
    <w:rsid w:val="001F339D"/>
    <w:rsid w:val="001F348D"/>
    <w:rsid w:val="001F3E4A"/>
    <w:rsid w:val="001F3F31"/>
    <w:rsid w:val="001F43A7"/>
    <w:rsid w:val="001F450C"/>
    <w:rsid w:val="001F4AF6"/>
    <w:rsid w:val="001F5966"/>
    <w:rsid w:val="001F6093"/>
    <w:rsid w:val="001F6393"/>
    <w:rsid w:val="001F674D"/>
    <w:rsid w:val="001F7241"/>
    <w:rsid w:val="001F74A6"/>
    <w:rsid w:val="001F7705"/>
    <w:rsid w:val="002008ED"/>
    <w:rsid w:val="00200BED"/>
    <w:rsid w:val="00200C92"/>
    <w:rsid w:val="00200FE2"/>
    <w:rsid w:val="0020121F"/>
    <w:rsid w:val="002012EB"/>
    <w:rsid w:val="002013EC"/>
    <w:rsid w:val="002015EF"/>
    <w:rsid w:val="002018FC"/>
    <w:rsid w:val="00201CE0"/>
    <w:rsid w:val="002021DF"/>
    <w:rsid w:val="0020226B"/>
    <w:rsid w:val="00202419"/>
    <w:rsid w:val="002024D4"/>
    <w:rsid w:val="002025A4"/>
    <w:rsid w:val="00202683"/>
    <w:rsid w:val="00202982"/>
    <w:rsid w:val="002029E4"/>
    <w:rsid w:val="0020318C"/>
    <w:rsid w:val="002035B4"/>
    <w:rsid w:val="0020488A"/>
    <w:rsid w:val="0020499C"/>
    <w:rsid w:val="0020520D"/>
    <w:rsid w:val="00205456"/>
    <w:rsid w:val="00205785"/>
    <w:rsid w:val="00205AB3"/>
    <w:rsid w:val="00206AEB"/>
    <w:rsid w:val="00206EBC"/>
    <w:rsid w:val="00207624"/>
    <w:rsid w:val="0020776B"/>
    <w:rsid w:val="002077EE"/>
    <w:rsid w:val="00207E6B"/>
    <w:rsid w:val="0021003F"/>
    <w:rsid w:val="0021078A"/>
    <w:rsid w:val="002117C1"/>
    <w:rsid w:val="00211D4F"/>
    <w:rsid w:val="002124A4"/>
    <w:rsid w:val="00212509"/>
    <w:rsid w:val="0021396E"/>
    <w:rsid w:val="00213B19"/>
    <w:rsid w:val="0021470D"/>
    <w:rsid w:val="0021477A"/>
    <w:rsid w:val="00214A61"/>
    <w:rsid w:val="00214AC9"/>
    <w:rsid w:val="00214E9E"/>
    <w:rsid w:val="00216D10"/>
    <w:rsid w:val="00216E92"/>
    <w:rsid w:val="00216F70"/>
    <w:rsid w:val="002173B8"/>
    <w:rsid w:val="00217D54"/>
    <w:rsid w:val="00217D99"/>
    <w:rsid w:val="0022012C"/>
    <w:rsid w:val="002203E4"/>
    <w:rsid w:val="00220A33"/>
    <w:rsid w:val="00221068"/>
    <w:rsid w:val="0022130E"/>
    <w:rsid w:val="002214D7"/>
    <w:rsid w:val="002216F6"/>
    <w:rsid w:val="002217AC"/>
    <w:rsid w:val="00222AD0"/>
    <w:rsid w:val="00223F08"/>
    <w:rsid w:val="002244D5"/>
    <w:rsid w:val="00224661"/>
    <w:rsid w:val="00224A04"/>
    <w:rsid w:val="00224DF9"/>
    <w:rsid w:val="00225116"/>
    <w:rsid w:val="00225684"/>
    <w:rsid w:val="002257BD"/>
    <w:rsid w:val="0022590D"/>
    <w:rsid w:val="00225C22"/>
    <w:rsid w:val="0022623E"/>
    <w:rsid w:val="00226623"/>
    <w:rsid w:val="0022688C"/>
    <w:rsid w:val="002302A1"/>
    <w:rsid w:val="002303CE"/>
    <w:rsid w:val="0023051C"/>
    <w:rsid w:val="00230B33"/>
    <w:rsid w:val="0023210C"/>
    <w:rsid w:val="00232CCB"/>
    <w:rsid w:val="00232DE3"/>
    <w:rsid w:val="00233AB0"/>
    <w:rsid w:val="00233B8E"/>
    <w:rsid w:val="0023455E"/>
    <w:rsid w:val="002352AD"/>
    <w:rsid w:val="0023569C"/>
    <w:rsid w:val="00235A9A"/>
    <w:rsid w:val="002366E8"/>
    <w:rsid w:val="002368D7"/>
    <w:rsid w:val="0023755A"/>
    <w:rsid w:val="00237659"/>
    <w:rsid w:val="002377A5"/>
    <w:rsid w:val="002400ED"/>
    <w:rsid w:val="00240D6B"/>
    <w:rsid w:val="0024140C"/>
    <w:rsid w:val="00242027"/>
    <w:rsid w:val="00242875"/>
    <w:rsid w:val="00242975"/>
    <w:rsid w:val="002429BA"/>
    <w:rsid w:val="00244351"/>
    <w:rsid w:val="00244CC8"/>
    <w:rsid w:val="00245006"/>
    <w:rsid w:val="00245554"/>
    <w:rsid w:val="00245F39"/>
    <w:rsid w:val="00246713"/>
    <w:rsid w:val="00246EEE"/>
    <w:rsid w:val="00247370"/>
    <w:rsid w:val="002473E2"/>
    <w:rsid w:val="00247E7D"/>
    <w:rsid w:val="0025088B"/>
    <w:rsid w:val="00250A68"/>
    <w:rsid w:val="00250EC4"/>
    <w:rsid w:val="00250F95"/>
    <w:rsid w:val="00251692"/>
    <w:rsid w:val="002519CB"/>
    <w:rsid w:val="00251E2E"/>
    <w:rsid w:val="00251E3D"/>
    <w:rsid w:val="00252AD7"/>
    <w:rsid w:val="002536DB"/>
    <w:rsid w:val="002540E1"/>
    <w:rsid w:val="00254A25"/>
    <w:rsid w:val="00255441"/>
    <w:rsid w:val="002557DB"/>
    <w:rsid w:val="002558E1"/>
    <w:rsid w:val="00255CCE"/>
    <w:rsid w:val="00256597"/>
    <w:rsid w:val="00257239"/>
    <w:rsid w:val="0026047B"/>
    <w:rsid w:val="002605EC"/>
    <w:rsid w:val="002608A5"/>
    <w:rsid w:val="00260EEE"/>
    <w:rsid w:val="00262570"/>
    <w:rsid w:val="002627E4"/>
    <w:rsid w:val="00262888"/>
    <w:rsid w:val="002628F3"/>
    <w:rsid w:val="00262DDE"/>
    <w:rsid w:val="00262EE0"/>
    <w:rsid w:val="00263926"/>
    <w:rsid w:val="00264360"/>
    <w:rsid w:val="00264C64"/>
    <w:rsid w:val="00264E03"/>
    <w:rsid w:val="002658E0"/>
    <w:rsid w:val="00265CF3"/>
    <w:rsid w:val="00266E26"/>
    <w:rsid w:val="00266F71"/>
    <w:rsid w:val="00267697"/>
    <w:rsid w:val="00267AAA"/>
    <w:rsid w:val="00267AE6"/>
    <w:rsid w:val="00267E7E"/>
    <w:rsid w:val="00267F22"/>
    <w:rsid w:val="00270E47"/>
    <w:rsid w:val="002711E4"/>
    <w:rsid w:val="00271819"/>
    <w:rsid w:val="00271F7D"/>
    <w:rsid w:val="00272638"/>
    <w:rsid w:val="00273646"/>
    <w:rsid w:val="002739FB"/>
    <w:rsid w:val="00273AAC"/>
    <w:rsid w:val="002744B2"/>
    <w:rsid w:val="002744B6"/>
    <w:rsid w:val="00275005"/>
    <w:rsid w:val="0027507B"/>
    <w:rsid w:val="00275334"/>
    <w:rsid w:val="002753B8"/>
    <w:rsid w:val="00275B12"/>
    <w:rsid w:val="0027711E"/>
    <w:rsid w:val="002774F0"/>
    <w:rsid w:val="002776C6"/>
    <w:rsid w:val="00280169"/>
    <w:rsid w:val="0028063B"/>
    <w:rsid w:val="00280AEA"/>
    <w:rsid w:val="00280E0A"/>
    <w:rsid w:val="00281C43"/>
    <w:rsid w:val="00281CD3"/>
    <w:rsid w:val="00282FDB"/>
    <w:rsid w:val="00284111"/>
    <w:rsid w:val="00284408"/>
    <w:rsid w:val="002853C7"/>
    <w:rsid w:val="002858E3"/>
    <w:rsid w:val="00285F7C"/>
    <w:rsid w:val="0028601B"/>
    <w:rsid w:val="00286D40"/>
    <w:rsid w:val="00286E9B"/>
    <w:rsid w:val="002879CA"/>
    <w:rsid w:val="00287D2C"/>
    <w:rsid w:val="00287D31"/>
    <w:rsid w:val="00287F27"/>
    <w:rsid w:val="0029094F"/>
    <w:rsid w:val="002909EF"/>
    <w:rsid w:val="00291847"/>
    <w:rsid w:val="002922C7"/>
    <w:rsid w:val="00292CAC"/>
    <w:rsid w:val="00293483"/>
    <w:rsid w:val="002934A5"/>
    <w:rsid w:val="00293719"/>
    <w:rsid w:val="00293BBE"/>
    <w:rsid w:val="00293EA2"/>
    <w:rsid w:val="00294501"/>
    <w:rsid w:val="002950F7"/>
    <w:rsid w:val="002952F9"/>
    <w:rsid w:val="00295957"/>
    <w:rsid w:val="00295BA0"/>
    <w:rsid w:val="00296179"/>
    <w:rsid w:val="0029633A"/>
    <w:rsid w:val="00296AD5"/>
    <w:rsid w:val="00296E13"/>
    <w:rsid w:val="00296F47"/>
    <w:rsid w:val="00297278"/>
    <w:rsid w:val="00297B5D"/>
    <w:rsid w:val="002A02FB"/>
    <w:rsid w:val="002A0873"/>
    <w:rsid w:val="002A0E50"/>
    <w:rsid w:val="002A0F2A"/>
    <w:rsid w:val="002A1108"/>
    <w:rsid w:val="002A1539"/>
    <w:rsid w:val="002A16BA"/>
    <w:rsid w:val="002A1A63"/>
    <w:rsid w:val="002A1F71"/>
    <w:rsid w:val="002A204F"/>
    <w:rsid w:val="002A3507"/>
    <w:rsid w:val="002A3FD8"/>
    <w:rsid w:val="002A41CD"/>
    <w:rsid w:val="002A4970"/>
    <w:rsid w:val="002A4D4D"/>
    <w:rsid w:val="002A4DC7"/>
    <w:rsid w:val="002A4E42"/>
    <w:rsid w:val="002A5529"/>
    <w:rsid w:val="002A5BDB"/>
    <w:rsid w:val="002A6118"/>
    <w:rsid w:val="002A6D3B"/>
    <w:rsid w:val="002A708F"/>
    <w:rsid w:val="002B0CD9"/>
    <w:rsid w:val="002B0F63"/>
    <w:rsid w:val="002B1607"/>
    <w:rsid w:val="002B18C4"/>
    <w:rsid w:val="002B21AF"/>
    <w:rsid w:val="002B2210"/>
    <w:rsid w:val="002B22D7"/>
    <w:rsid w:val="002B24F8"/>
    <w:rsid w:val="002B2970"/>
    <w:rsid w:val="002B29C0"/>
    <w:rsid w:val="002B320B"/>
    <w:rsid w:val="002B3C8B"/>
    <w:rsid w:val="002B3CA7"/>
    <w:rsid w:val="002B480C"/>
    <w:rsid w:val="002B485D"/>
    <w:rsid w:val="002B4E08"/>
    <w:rsid w:val="002B511C"/>
    <w:rsid w:val="002B51CF"/>
    <w:rsid w:val="002B5A1C"/>
    <w:rsid w:val="002B5B05"/>
    <w:rsid w:val="002B66B9"/>
    <w:rsid w:val="002B72BE"/>
    <w:rsid w:val="002B7BFA"/>
    <w:rsid w:val="002B7CF7"/>
    <w:rsid w:val="002C0809"/>
    <w:rsid w:val="002C0B74"/>
    <w:rsid w:val="002C1364"/>
    <w:rsid w:val="002C141B"/>
    <w:rsid w:val="002C1456"/>
    <w:rsid w:val="002C2EF8"/>
    <w:rsid w:val="002C4204"/>
    <w:rsid w:val="002C47ED"/>
    <w:rsid w:val="002C4B13"/>
    <w:rsid w:val="002C4CFC"/>
    <w:rsid w:val="002C4EF8"/>
    <w:rsid w:val="002C5B36"/>
    <w:rsid w:val="002C5F12"/>
    <w:rsid w:val="002C69C0"/>
    <w:rsid w:val="002C6AF3"/>
    <w:rsid w:val="002C6C52"/>
    <w:rsid w:val="002C6CAD"/>
    <w:rsid w:val="002C6DBD"/>
    <w:rsid w:val="002C7332"/>
    <w:rsid w:val="002C7420"/>
    <w:rsid w:val="002C7AF5"/>
    <w:rsid w:val="002C7BA3"/>
    <w:rsid w:val="002C7EC4"/>
    <w:rsid w:val="002D059D"/>
    <w:rsid w:val="002D09D4"/>
    <w:rsid w:val="002D0ABB"/>
    <w:rsid w:val="002D1218"/>
    <w:rsid w:val="002D17DC"/>
    <w:rsid w:val="002D21FA"/>
    <w:rsid w:val="002D22EB"/>
    <w:rsid w:val="002D2B0C"/>
    <w:rsid w:val="002D322D"/>
    <w:rsid w:val="002D37AE"/>
    <w:rsid w:val="002D388E"/>
    <w:rsid w:val="002D39A2"/>
    <w:rsid w:val="002D3EF9"/>
    <w:rsid w:val="002D4A7B"/>
    <w:rsid w:val="002D54C4"/>
    <w:rsid w:val="002D5C1D"/>
    <w:rsid w:val="002D5F5C"/>
    <w:rsid w:val="002D6E30"/>
    <w:rsid w:val="002D6FAE"/>
    <w:rsid w:val="002D73A2"/>
    <w:rsid w:val="002D7486"/>
    <w:rsid w:val="002D7544"/>
    <w:rsid w:val="002D7B0E"/>
    <w:rsid w:val="002D7EE4"/>
    <w:rsid w:val="002D7FBA"/>
    <w:rsid w:val="002E0078"/>
    <w:rsid w:val="002E13D8"/>
    <w:rsid w:val="002E1A09"/>
    <w:rsid w:val="002E1A89"/>
    <w:rsid w:val="002E1D00"/>
    <w:rsid w:val="002E1ECC"/>
    <w:rsid w:val="002E2C54"/>
    <w:rsid w:val="002E2F60"/>
    <w:rsid w:val="002E3BF8"/>
    <w:rsid w:val="002E3E59"/>
    <w:rsid w:val="002E42B6"/>
    <w:rsid w:val="002E4686"/>
    <w:rsid w:val="002E504B"/>
    <w:rsid w:val="002E50CD"/>
    <w:rsid w:val="002E5169"/>
    <w:rsid w:val="002E529C"/>
    <w:rsid w:val="002E5950"/>
    <w:rsid w:val="002E69F3"/>
    <w:rsid w:val="002E6C40"/>
    <w:rsid w:val="002E6D0D"/>
    <w:rsid w:val="002E70B2"/>
    <w:rsid w:val="002E7582"/>
    <w:rsid w:val="002E7A08"/>
    <w:rsid w:val="002E7D75"/>
    <w:rsid w:val="002F012D"/>
    <w:rsid w:val="002F014E"/>
    <w:rsid w:val="002F096D"/>
    <w:rsid w:val="002F0C40"/>
    <w:rsid w:val="002F1389"/>
    <w:rsid w:val="002F1DDF"/>
    <w:rsid w:val="002F2455"/>
    <w:rsid w:val="002F2DCE"/>
    <w:rsid w:val="002F372D"/>
    <w:rsid w:val="002F3C97"/>
    <w:rsid w:val="002F416F"/>
    <w:rsid w:val="002F4181"/>
    <w:rsid w:val="002F4395"/>
    <w:rsid w:val="002F51F9"/>
    <w:rsid w:val="002F636F"/>
    <w:rsid w:val="002F676C"/>
    <w:rsid w:val="002F6ABC"/>
    <w:rsid w:val="002F6D47"/>
    <w:rsid w:val="00301D44"/>
    <w:rsid w:val="00302DD6"/>
    <w:rsid w:val="00303B80"/>
    <w:rsid w:val="0030407C"/>
    <w:rsid w:val="0030411D"/>
    <w:rsid w:val="00304D94"/>
    <w:rsid w:val="00304EC0"/>
    <w:rsid w:val="00306493"/>
    <w:rsid w:val="00306A12"/>
    <w:rsid w:val="00307522"/>
    <w:rsid w:val="003077BB"/>
    <w:rsid w:val="00307ADE"/>
    <w:rsid w:val="00307F26"/>
    <w:rsid w:val="00310045"/>
    <w:rsid w:val="0031052D"/>
    <w:rsid w:val="0031063E"/>
    <w:rsid w:val="0031069B"/>
    <w:rsid w:val="00310743"/>
    <w:rsid w:val="003107B5"/>
    <w:rsid w:val="003112F8"/>
    <w:rsid w:val="00311304"/>
    <w:rsid w:val="003114EF"/>
    <w:rsid w:val="00311808"/>
    <w:rsid w:val="00311E9D"/>
    <w:rsid w:val="003125C4"/>
    <w:rsid w:val="0031292D"/>
    <w:rsid w:val="0031428D"/>
    <w:rsid w:val="00314D44"/>
    <w:rsid w:val="00314DCD"/>
    <w:rsid w:val="00314F99"/>
    <w:rsid w:val="00315138"/>
    <w:rsid w:val="00315629"/>
    <w:rsid w:val="00315748"/>
    <w:rsid w:val="0031594E"/>
    <w:rsid w:val="00315C19"/>
    <w:rsid w:val="00315C9B"/>
    <w:rsid w:val="00315E88"/>
    <w:rsid w:val="003160DB"/>
    <w:rsid w:val="003163B4"/>
    <w:rsid w:val="00317429"/>
    <w:rsid w:val="0032013E"/>
    <w:rsid w:val="00322A30"/>
    <w:rsid w:val="00322AB7"/>
    <w:rsid w:val="00323798"/>
    <w:rsid w:val="00324A6B"/>
    <w:rsid w:val="00324C47"/>
    <w:rsid w:val="003262C7"/>
    <w:rsid w:val="0032727C"/>
    <w:rsid w:val="00327650"/>
    <w:rsid w:val="0032789D"/>
    <w:rsid w:val="00327A11"/>
    <w:rsid w:val="003300F2"/>
    <w:rsid w:val="00330119"/>
    <w:rsid w:val="003306D2"/>
    <w:rsid w:val="00330702"/>
    <w:rsid w:val="003313F1"/>
    <w:rsid w:val="0033161C"/>
    <w:rsid w:val="003316F8"/>
    <w:rsid w:val="00331D63"/>
    <w:rsid w:val="00331DC7"/>
    <w:rsid w:val="00331F58"/>
    <w:rsid w:val="0033274A"/>
    <w:rsid w:val="00332BBB"/>
    <w:rsid w:val="00332F9B"/>
    <w:rsid w:val="00333440"/>
    <w:rsid w:val="00333F1E"/>
    <w:rsid w:val="00334840"/>
    <w:rsid w:val="003348BA"/>
    <w:rsid w:val="00334D4E"/>
    <w:rsid w:val="00334DD2"/>
    <w:rsid w:val="00334F6F"/>
    <w:rsid w:val="003363C9"/>
    <w:rsid w:val="00336E35"/>
    <w:rsid w:val="003379BB"/>
    <w:rsid w:val="003406F8"/>
    <w:rsid w:val="00341610"/>
    <w:rsid w:val="0034186B"/>
    <w:rsid w:val="003425B7"/>
    <w:rsid w:val="003428BD"/>
    <w:rsid w:val="0034365D"/>
    <w:rsid w:val="003436E7"/>
    <w:rsid w:val="00343D7F"/>
    <w:rsid w:val="00343D9A"/>
    <w:rsid w:val="00344C53"/>
    <w:rsid w:val="00344E26"/>
    <w:rsid w:val="003452B6"/>
    <w:rsid w:val="003459B1"/>
    <w:rsid w:val="00345C9D"/>
    <w:rsid w:val="00346028"/>
    <w:rsid w:val="00346238"/>
    <w:rsid w:val="00346C9B"/>
    <w:rsid w:val="00346FE9"/>
    <w:rsid w:val="00347207"/>
    <w:rsid w:val="0034797C"/>
    <w:rsid w:val="00347E08"/>
    <w:rsid w:val="0035008F"/>
    <w:rsid w:val="003501BD"/>
    <w:rsid w:val="0035025C"/>
    <w:rsid w:val="003503FD"/>
    <w:rsid w:val="0035041D"/>
    <w:rsid w:val="00350530"/>
    <w:rsid w:val="0035096D"/>
    <w:rsid w:val="00350ABB"/>
    <w:rsid w:val="003511D6"/>
    <w:rsid w:val="003513FB"/>
    <w:rsid w:val="00351714"/>
    <w:rsid w:val="00351BFC"/>
    <w:rsid w:val="00351FBC"/>
    <w:rsid w:val="0035238D"/>
    <w:rsid w:val="00352B34"/>
    <w:rsid w:val="003532AB"/>
    <w:rsid w:val="00353382"/>
    <w:rsid w:val="00354639"/>
    <w:rsid w:val="003558A8"/>
    <w:rsid w:val="00355991"/>
    <w:rsid w:val="00355BC3"/>
    <w:rsid w:val="003565BC"/>
    <w:rsid w:val="0035737C"/>
    <w:rsid w:val="0035745E"/>
    <w:rsid w:val="003602D7"/>
    <w:rsid w:val="003605BD"/>
    <w:rsid w:val="00360EC7"/>
    <w:rsid w:val="00360FE5"/>
    <w:rsid w:val="0036165B"/>
    <w:rsid w:val="00361888"/>
    <w:rsid w:val="0036276B"/>
    <w:rsid w:val="0036283C"/>
    <w:rsid w:val="00362C82"/>
    <w:rsid w:val="00363159"/>
    <w:rsid w:val="00363730"/>
    <w:rsid w:val="00363A71"/>
    <w:rsid w:val="00363E63"/>
    <w:rsid w:val="00365BC9"/>
    <w:rsid w:val="0036643D"/>
    <w:rsid w:val="0036661A"/>
    <w:rsid w:val="00367283"/>
    <w:rsid w:val="003676E5"/>
    <w:rsid w:val="00367BE5"/>
    <w:rsid w:val="003708E5"/>
    <w:rsid w:val="00370C73"/>
    <w:rsid w:val="00370EE0"/>
    <w:rsid w:val="00370F42"/>
    <w:rsid w:val="00371B9A"/>
    <w:rsid w:val="00371DB5"/>
    <w:rsid w:val="00372123"/>
    <w:rsid w:val="0037237C"/>
    <w:rsid w:val="00372EC9"/>
    <w:rsid w:val="00373E4F"/>
    <w:rsid w:val="00373E60"/>
    <w:rsid w:val="00374E04"/>
    <w:rsid w:val="00375C63"/>
    <w:rsid w:val="00375E30"/>
    <w:rsid w:val="003768E1"/>
    <w:rsid w:val="00376A9C"/>
    <w:rsid w:val="00377196"/>
    <w:rsid w:val="0037719C"/>
    <w:rsid w:val="0037723E"/>
    <w:rsid w:val="00380EAF"/>
    <w:rsid w:val="003815D3"/>
    <w:rsid w:val="00381A6E"/>
    <w:rsid w:val="00381A8D"/>
    <w:rsid w:val="00381B30"/>
    <w:rsid w:val="00382843"/>
    <w:rsid w:val="00382B43"/>
    <w:rsid w:val="00382E2E"/>
    <w:rsid w:val="00383DBE"/>
    <w:rsid w:val="003845BF"/>
    <w:rsid w:val="00384903"/>
    <w:rsid w:val="00384E41"/>
    <w:rsid w:val="00385176"/>
    <w:rsid w:val="003855B6"/>
    <w:rsid w:val="00385847"/>
    <w:rsid w:val="003858D4"/>
    <w:rsid w:val="00386CE2"/>
    <w:rsid w:val="00386E3E"/>
    <w:rsid w:val="0038719B"/>
    <w:rsid w:val="0039007A"/>
    <w:rsid w:val="003902FA"/>
    <w:rsid w:val="003908A0"/>
    <w:rsid w:val="0039167C"/>
    <w:rsid w:val="00391A86"/>
    <w:rsid w:val="00391AA8"/>
    <w:rsid w:val="00391E88"/>
    <w:rsid w:val="00392075"/>
    <w:rsid w:val="00392A2E"/>
    <w:rsid w:val="00393077"/>
    <w:rsid w:val="003932BA"/>
    <w:rsid w:val="003945B2"/>
    <w:rsid w:val="00394619"/>
    <w:rsid w:val="003948B8"/>
    <w:rsid w:val="00394A12"/>
    <w:rsid w:val="00394AE9"/>
    <w:rsid w:val="00395342"/>
    <w:rsid w:val="0039617E"/>
    <w:rsid w:val="00396E46"/>
    <w:rsid w:val="00396F9C"/>
    <w:rsid w:val="003970C3"/>
    <w:rsid w:val="003975A6"/>
    <w:rsid w:val="00397628"/>
    <w:rsid w:val="003A26B4"/>
    <w:rsid w:val="003A29DD"/>
    <w:rsid w:val="003A2A5B"/>
    <w:rsid w:val="003A2C02"/>
    <w:rsid w:val="003A38A8"/>
    <w:rsid w:val="003A3A20"/>
    <w:rsid w:val="003A4AF6"/>
    <w:rsid w:val="003A58BB"/>
    <w:rsid w:val="003A5930"/>
    <w:rsid w:val="003A5B9A"/>
    <w:rsid w:val="003A5DCC"/>
    <w:rsid w:val="003A62C1"/>
    <w:rsid w:val="003A6424"/>
    <w:rsid w:val="003A6A8F"/>
    <w:rsid w:val="003A78E5"/>
    <w:rsid w:val="003B0307"/>
    <w:rsid w:val="003B0A66"/>
    <w:rsid w:val="003B0DAB"/>
    <w:rsid w:val="003B0DE0"/>
    <w:rsid w:val="003B0DFA"/>
    <w:rsid w:val="003B0E2D"/>
    <w:rsid w:val="003B120D"/>
    <w:rsid w:val="003B16BD"/>
    <w:rsid w:val="003B1927"/>
    <w:rsid w:val="003B20B4"/>
    <w:rsid w:val="003B2408"/>
    <w:rsid w:val="003B2527"/>
    <w:rsid w:val="003B3E10"/>
    <w:rsid w:val="003B4779"/>
    <w:rsid w:val="003B5348"/>
    <w:rsid w:val="003B58C2"/>
    <w:rsid w:val="003B5C91"/>
    <w:rsid w:val="003B6566"/>
    <w:rsid w:val="003B6D44"/>
    <w:rsid w:val="003B6D48"/>
    <w:rsid w:val="003B6D54"/>
    <w:rsid w:val="003B7008"/>
    <w:rsid w:val="003B7647"/>
    <w:rsid w:val="003B771D"/>
    <w:rsid w:val="003B7754"/>
    <w:rsid w:val="003C04D1"/>
    <w:rsid w:val="003C0511"/>
    <w:rsid w:val="003C0AC7"/>
    <w:rsid w:val="003C1543"/>
    <w:rsid w:val="003C16D2"/>
    <w:rsid w:val="003C1C85"/>
    <w:rsid w:val="003C2045"/>
    <w:rsid w:val="003C240E"/>
    <w:rsid w:val="003C25B2"/>
    <w:rsid w:val="003C3056"/>
    <w:rsid w:val="003C3142"/>
    <w:rsid w:val="003C32BA"/>
    <w:rsid w:val="003C5444"/>
    <w:rsid w:val="003C5A24"/>
    <w:rsid w:val="003C6722"/>
    <w:rsid w:val="003C68DB"/>
    <w:rsid w:val="003C6B8B"/>
    <w:rsid w:val="003C70C4"/>
    <w:rsid w:val="003C72D9"/>
    <w:rsid w:val="003C768C"/>
    <w:rsid w:val="003D084B"/>
    <w:rsid w:val="003D0B14"/>
    <w:rsid w:val="003D17C0"/>
    <w:rsid w:val="003D2242"/>
    <w:rsid w:val="003D29F4"/>
    <w:rsid w:val="003D2FCA"/>
    <w:rsid w:val="003D305A"/>
    <w:rsid w:val="003D32E9"/>
    <w:rsid w:val="003D3A1D"/>
    <w:rsid w:val="003D3C8C"/>
    <w:rsid w:val="003D3CC4"/>
    <w:rsid w:val="003D5004"/>
    <w:rsid w:val="003D5EC7"/>
    <w:rsid w:val="003D600B"/>
    <w:rsid w:val="003E045A"/>
    <w:rsid w:val="003E05B0"/>
    <w:rsid w:val="003E0664"/>
    <w:rsid w:val="003E0721"/>
    <w:rsid w:val="003E0E9D"/>
    <w:rsid w:val="003E1767"/>
    <w:rsid w:val="003E21A1"/>
    <w:rsid w:val="003E2951"/>
    <w:rsid w:val="003E2CD8"/>
    <w:rsid w:val="003E2D5E"/>
    <w:rsid w:val="003E3A86"/>
    <w:rsid w:val="003E3DD6"/>
    <w:rsid w:val="003E3E6C"/>
    <w:rsid w:val="003E4831"/>
    <w:rsid w:val="003E4920"/>
    <w:rsid w:val="003E50BE"/>
    <w:rsid w:val="003E5345"/>
    <w:rsid w:val="003E5350"/>
    <w:rsid w:val="003E5B1F"/>
    <w:rsid w:val="003E5D0A"/>
    <w:rsid w:val="003E683F"/>
    <w:rsid w:val="003E71A3"/>
    <w:rsid w:val="003E73F2"/>
    <w:rsid w:val="003E79BA"/>
    <w:rsid w:val="003F0FDC"/>
    <w:rsid w:val="003F11DA"/>
    <w:rsid w:val="003F1CBF"/>
    <w:rsid w:val="003F21EA"/>
    <w:rsid w:val="003F2461"/>
    <w:rsid w:val="003F25E4"/>
    <w:rsid w:val="003F29BE"/>
    <w:rsid w:val="003F308A"/>
    <w:rsid w:val="003F32DD"/>
    <w:rsid w:val="003F3570"/>
    <w:rsid w:val="003F39FA"/>
    <w:rsid w:val="003F3B65"/>
    <w:rsid w:val="003F4064"/>
    <w:rsid w:val="003F4643"/>
    <w:rsid w:val="003F4671"/>
    <w:rsid w:val="003F49D6"/>
    <w:rsid w:val="003F5BF5"/>
    <w:rsid w:val="003F6816"/>
    <w:rsid w:val="003F6A57"/>
    <w:rsid w:val="003F6EA1"/>
    <w:rsid w:val="003F70B5"/>
    <w:rsid w:val="003F70FE"/>
    <w:rsid w:val="003F74B9"/>
    <w:rsid w:val="003F79D3"/>
    <w:rsid w:val="003F7AEC"/>
    <w:rsid w:val="0040000C"/>
    <w:rsid w:val="00400705"/>
    <w:rsid w:val="00400A9B"/>
    <w:rsid w:val="00400C80"/>
    <w:rsid w:val="00400DE2"/>
    <w:rsid w:val="0040140F"/>
    <w:rsid w:val="004017B7"/>
    <w:rsid w:val="0040188C"/>
    <w:rsid w:val="00401C1D"/>
    <w:rsid w:val="00401C47"/>
    <w:rsid w:val="0040214B"/>
    <w:rsid w:val="00402463"/>
    <w:rsid w:val="00402C9D"/>
    <w:rsid w:val="0040341F"/>
    <w:rsid w:val="004036A8"/>
    <w:rsid w:val="00403D53"/>
    <w:rsid w:val="00404938"/>
    <w:rsid w:val="00404E08"/>
    <w:rsid w:val="0040542A"/>
    <w:rsid w:val="004058CD"/>
    <w:rsid w:val="004058F4"/>
    <w:rsid w:val="00405FDC"/>
    <w:rsid w:val="004065D1"/>
    <w:rsid w:val="00406865"/>
    <w:rsid w:val="00406AF2"/>
    <w:rsid w:val="00406B00"/>
    <w:rsid w:val="00407275"/>
    <w:rsid w:val="00407B62"/>
    <w:rsid w:val="00410665"/>
    <w:rsid w:val="00410AC9"/>
    <w:rsid w:val="00410EA0"/>
    <w:rsid w:val="0041102F"/>
    <w:rsid w:val="0041118C"/>
    <w:rsid w:val="00411ED0"/>
    <w:rsid w:val="00412841"/>
    <w:rsid w:val="00413762"/>
    <w:rsid w:val="004137A7"/>
    <w:rsid w:val="00413FFA"/>
    <w:rsid w:val="00414C0F"/>
    <w:rsid w:val="00414C45"/>
    <w:rsid w:val="00414D3A"/>
    <w:rsid w:val="004155F4"/>
    <w:rsid w:val="00415A82"/>
    <w:rsid w:val="00415CC9"/>
    <w:rsid w:val="00415E20"/>
    <w:rsid w:val="00416073"/>
    <w:rsid w:val="00416297"/>
    <w:rsid w:val="004163DE"/>
    <w:rsid w:val="0041669D"/>
    <w:rsid w:val="00416755"/>
    <w:rsid w:val="00416BA5"/>
    <w:rsid w:val="00416E74"/>
    <w:rsid w:val="00417C5E"/>
    <w:rsid w:val="00417DD5"/>
    <w:rsid w:val="00420171"/>
    <w:rsid w:val="00420B8B"/>
    <w:rsid w:val="004213BD"/>
    <w:rsid w:val="00421B6B"/>
    <w:rsid w:val="00421ECB"/>
    <w:rsid w:val="00422836"/>
    <w:rsid w:val="00422912"/>
    <w:rsid w:val="0042343A"/>
    <w:rsid w:val="004235EE"/>
    <w:rsid w:val="00423A2D"/>
    <w:rsid w:val="00424559"/>
    <w:rsid w:val="00424D9F"/>
    <w:rsid w:val="004253B0"/>
    <w:rsid w:val="00425FE1"/>
    <w:rsid w:val="0042621B"/>
    <w:rsid w:val="00426C38"/>
    <w:rsid w:val="0042725C"/>
    <w:rsid w:val="004273CB"/>
    <w:rsid w:val="004275F5"/>
    <w:rsid w:val="00427A00"/>
    <w:rsid w:val="00427B10"/>
    <w:rsid w:val="00427BB5"/>
    <w:rsid w:val="00430438"/>
    <w:rsid w:val="00430E24"/>
    <w:rsid w:val="00430E78"/>
    <w:rsid w:val="004310B2"/>
    <w:rsid w:val="0043114B"/>
    <w:rsid w:val="0043114E"/>
    <w:rsid w:val="0043162A"/>
    <w:rsid w:val="00431D99"/>
    <w:rsid w:val="0043209F"/>
    <w:rsid w:val="00432237"/>
    <w:rsid w:val="00432EB9"/>
    <w:rsid w:val="0043305D"/>
    <w:rsid w:val="00433492"/>
    <w:rsid w:val="00433866"/>
    <w:rsid w:val="00434929"/>
    <w:rsid w:val="00434BE9"/>
    <w:rsid w:val="00434C9F"/>
    <w:rsid w:val="00435934"/>
    <w:rsid w:val="00435E9A"/>
    <w:rsid w:val="00436BFB"/>
    <w:rsid w:val="00437AA1"/>
    <w:rsid w:val="004402CB"/>
    <w:rsid w:val="004403B9"/>
    <w:rsid w:val="004405D2"/>
    <w:rsid w:val="00440D53"/>
    <w:rsid w:val="00440E84"/>
    <w:rsid w:val="00441677"/>
    <w:rsid w:val="00441E11"/>
    <w:rsid w:val="00442187"/>
    <w:rsid w:val="00442CBE"/>
    <w:rsid w:val="00442D00"/>
    <w:rsid w:val="004435D7"/>
    <w:rsid w:val="004439CC"/>
    <w:rsid w:val="00443B1A"/>
    <w:rsid w:val="00444071"/>
    <w:rsid w:val="00444C18"/>
    <w:rsid w:val="00444D66"/>
    <w:rsid w:val="00445399"/>
    <w:rsid w:val="00445522"/>
    <w:rsid w:val="00445CB1"/>
    <w:rsid w:val="00446421"/>
    <w:rsid w:val="00446623"/>
    <w:rsid w:val="00447679"/>
    <w:rsid w:val="004478D0"/>
    <w:rsid w:val="00447BD4"/>
    <w:rsid w:val="00451A7B"/>
    <w:rsid w:val="00451D89"/>
    <w:rsid w:val="00451E7E"/>
    <w:rsid w:val="00451F02"/>
    <w:rsid w:val="004523CE"/>
    <w:rsid w:val="00452BC4"/>
    <w:rsid w:val="00452D68"/>
    <w:rsid w:val="004533A0"/>
    <w:rsid w:val="0045359C"/>
    <w:rsid w:val="00453AAF"/>
    <w:rsid w:val="00453CC3"/>
    <w:rsid w:val="00453DD2"/>
    <w:rsid w:val="00454414"/>
    <w:rsid w:val="00455AEE"/>
    <w:rsid w:val="00455AF6"/>
    <w:rsid w:val="00455BED"/>
    <w:rsid w:val="00455D7E"/>
    <w:rsid w:val="0045696B"/>
    <w:rsid w:val="0045750F"/>
    <w:rsid w:val="004576C2"/>
    <w:rsid w:val="0046055A"/>
    <w:rsid w:val="00460A72"/>
    <w:rsid w:val="0046175E"/>
    <w:rsid w:val="00461841"/>
    <w:rsid w:val="00462027"/>
    <w:rsid w:val="00462329"/>
    <w:rsid w:val="004625CF"/>
    <w:rsid w:val="00463469"/>
    <w:rsid w:val="004637EC"/>
    <w:rsid w:val="004639DF"/>
    <w:rsid w:val="004642B9"/>
    <w:rsid w:val="00464A54"/>
    <w:rsid w:val="00464E97"/>
    <w:rsid w:val="004657D2"/>
    <w:rsid w:val="0046581C"/>
    <w:rsid w:val="004658C3"/>
    <w:rsid w:val="00465EE6"/>
    <w:rsid w:val="00466165"/>
    <w:rsid w:val="00467702"/>
    <w:rsid w:val="00467B72"/>
    <w:rsid w:val="00467F49"/>
    <w:rsid w:val="0047012E"/>
    <w:rsid w:val="00470ADA"/>
    <w:rsid w:val="00470C74"/>
    <w:rsid w:val="00470F90"/>
    <w:rsid w:val="00471562"/>
    <w:rsid w:val="00471F18"/>
    <w:rsid w:val="00472601"/>
    <w:rsid w:val="00472D97"/>
    <w:rsid w:val="00472EDA"/>
    <w:rsid w:val="00473211"/>
    <w:rsid w:val="00473C08"/>
    <w:rsid w:val="00473C9B"/>
    <w:rsid w:val="00474175"/>
    <w:rsid w:val="004744C4"/>
    <w:rsid w:val="00474AFD"/>
    <w:rsid w:val="004752BC"/>
    <w:rsid w:val="00476046"/>
    <w:rsid w:val="00476443"/>
    <w:rsid w:val="00476BF3"/>
    <w:rsid w:val="00476F76"/>
    <w:rsid w:val="004774A2"/>
    <w:rsid w:val="00481077"/>
    <w:rsid w:val="00481128"/>
    <w:rsid w:val="00481977"/>
    <w:rsid w:val="00481EEA"/>
    <w:rsid w:val="00481F2F"/>
    <w:rsid w:val="0048229C"/>
    <w:rsid w:val="004823C1"/>
    <w:rsid w:val="00482BB6"/>
    <w:rsid w:val="00482F93"/>
    <w:rsid w:val="00483685"/>
    <w:rsid w:val="00483DA2"/>
    <w:rsid w:val="00483FB1"/>
    <w:rsid w:val="004849E6"/>
    <w:rsid w:val="00484A99"/>
    <w:rsid w:val="00484C9E"/>
    <w:rsid w:val="004852A1"/>
    <w:rsid w:val="004852DE"/>
    <w:rsid w:val="004853C9"/>
    <w:rsid w:val="004854B0"/>
    <w:rsid w:val="00485CC2"/>
    <w:rsid w:val="00485E3B"/>
    <w:rsid w:val="004861D7"/>
    <w:rsid w:val="004863B9"/>
    <w:rsid w:val="0048655B"/>
    <w:rsid w:val="004866A0"/>
    <w:rsid w:val="00486C3B"/>
    <w:rsid w:val="0048704F"/>
    <w:rsid w:val="004878C4"/>
    <w:rsid w:val="0048798B"/>
    <w:rsid w:val="00487B1F"/>
    <w:rsid w:val="00490301"/>
    <w:rsid w:val="004903C3"/>
    <w:rsid w:val="004906D9"/>
    <w:rsid w:val="00490888"/>
    <w:rsid w:val="00490B18"/>
    <w:rsid w:val="00490EDB"/>
    <w:rsid w:val="00491525"/>
    <w:rsid w:val="0049285E"/>
    <w:rsid w:val="004928E7"/>
    <w:rsid w:val="00493691"/>
    <w:rsid w:val="00493A17"/>
    <w:rsid w:val="00493A30"/>
    <w:rsid w:val="00493F31"/>
    <w:rsid w:val="00494D0D"/>
    <w:rsid w:val="00495314"/>
    <w:rsid w:val="00495629"/>
    <w:rsid w:val="00495654"/>
    <w:rsid w:val="004964FD"/>
    <w:rsid w:val="00496AA8"/>
    <w:rsid w:val="004977C6"/>
    <w:rsid w:val="004979F8"/>
    <w:rsid w:val="004A031B"/>
    <w:rsid w:val="004A04CE"/>
    <w:rsid w:val="004A0712"/>
    <w:rsid w:val="004A0B70"/>
    <w:rsid w:val="004A1034"/>
    <w:rsid w:val="004A10F2"/>
    <w:rsid w:val="004A1D31"/>
    <w:rsid w:val="004A212A"/>
    <w:rsid w:val="004A24A3"/>
    <w:rsid w:val="004A259F"/>
    <w:rsid w:val="004A3095"/>
    <w:rsid w:val="004A314C"/>
    <w:rsid w:val="004A31AE"/>
    <w:rsid w:val="004A32DE"/>
    <w:rsid w:val="004A36F2"/>
    <w:rsid w:val="004A3C32"/>
    <w:rsid w:val="004A4189"/>
    <w:rsid w:val="004A46ED"/>
    <w:rsid w:val="004A47D5"/>
    <w:rsid w:val="004A4CAD"/>
    <w:rsid w:val="004A50C1"/>
    <w:rsid w:val="004A5741"/>
    <w:rsid w:val="004A5D55"/>
    <w:rsid w:val="004A628C"/>
    <w:rsid w:val="004A6477"/>
    <w:rsid w:val="004A6809"/>
    <w:rsid w:val="004A6923"/>
    <w:rsid w:val="004A696F"/>
    <w:rsid w:val="004A6FE2"/>
    <w:rsid w:val="004A70A8"/>
    <w:rsid w:val="004A74E0"/>
    <w:rsid w:val="004A7D46"/>
    <w:rsid w:val="004A7F24"/>
    <w:rsid w:val="004B0AEB"/>
    <w:rsid w:val="004B0D88"/>
    <w:rsid w:val="004B1A2B"/>
    <w:rsid w:val="004B1B2E"/>
    <w:rsid w:val="004B20B6"/>
    <w:rsid w:val="004B281C"/>
    <w:rsid w:val="004B4E9C"/>
    <w:rsid w:val="004B6243"/>
    <w:rsid w:val="004B6764"/>
    <w:rsid w:val="004B6DB0"/>
    <w:rsid w:val="004B77F6"/>
    <w:rsid w:val="004B7B84"/>
    <w:rsid w:val="004B7D09"/>
    <w:rsid w:val="004C00A5"/>
    <w:rsid w:val="004C0608"/>
    <w:rsid w:val="004C0B6A"/>
    <w:rsid w:val="004C0F11"/>
    <w:rsid w:val="004C1443"/>
    <w:rsid w:val="004C1534"/>
    <w:rsid w:val="004C174E"/>
    <w:rsid w:val="004C33AF"/>
    <w:rsid w:val="004C3AE5"/>
    <w:rsid w:val="004C3C13"/>
    <w:rsid w:val="004C3C43"/>
    <w:rsid w:val="004C4ACF"/>
    <w:rsid w:val="004C4C78"/>
    <w:rsid w:val="004C515C"/>
    <w:rsid w:val="004C5408"/>
    <w:rsid w:val="004C559F"/>
    <w:rsid w:val="004C5B61"/>
    <w:rsid w:val="004C5B9A"/>
    <w:rsid w:val="004C5E80"/>
    <w:rsid w:val="004C6954"/>
    <w:rsid w:val="004C74AA"/>
    <w:rsid w:val="004C7A26"/>
    <w:rsid w:val="004C7A60"/>
    <w:rsid w:val="004C7EC4"/>
    <w:rsid w:val="004D0E09"/>
    <w:rsid w:val="004D0EC3"/>
    <w:rsid w:val="004D1C78"/>
    <w:rsid w:val="004D25F2"/>
    <w:rsid w:val="004D272C"/>
    <w:rsid w:val="004D2BCC"/>
    <w:rsid w:val="004D34C2"/>
    <w:rsid w:val="004D392E"/>
    <w:rsid w:val="004D47F4"/>
    <w:rsid w:val="004D4C3A"/>
    <w:rsid w:val="004D4F2C"/>
    <w:rsid w:val="004D51A2"/>
    <w:rsid w:val="004D5744"/>
    <w:rsid w:val="004D5A49"/>
    <w:rsid w:val="004D5A81"/>
    <w:rsid w:val="004D5B4E"/>
    <w:rsid w:val="004D6226"/>
    <w:rsid w:val="004D659F"/>
    <w:rsid w:val="004D71BA"/>
    <w:rsid w:val="004D7F25"/>
    <w:rsid w:val="004E0FAA"/>
    <w:rsid w:val="004E1BDE"/>
    <w:rsid w:val="004E1F0E"/>
    <w:rsid w:val="004E22E6"/>
    <w:rsid w:val="004E26D4"/>
    <w:rsid w:val="004E2776"/>
    <w:rsid w:val="004E29B9"/>
    <w:rsid w:val="004E2C74"/>
    <w:rsid w:val="004E2CFE"/>
    <w:rsid w:val="004E346B"/>
    <w:rsid w:val="004E3598"/>
    <w:rsid w:val="004E3AB3"/>
    <w:rsid w:val="004E3AC6"/>
    <w:rsid w:val="004E3F7E"/>
    <w:rsid w:val="004E432C"/>
    <w:rsid w:val="004E4392"/>
    <w:rsid w:val="004E43DB"/>
    <w:rsid w:val="004E4D4F"/>
    <w:rsid w:val="004E4D51"/>
    <w:rsid w:val="004E5443"/>
    <w:rsid w:val="004E54FA"/>
    <w:rsid w:val="004E5FD4"/>
    <w:rsid w:val="004E64FD"/>
    <w:rsid w:val="004E6724"/>
    <w:rsid w:val="004E69A8"/>
    <w:rsid w:val="004E6D10"/>
    <w:rsid w:val="004E7241"/>
    <w:rsid w:val="004E73A0"/>
    <w:rsid w:val="004E7805"/>
    <w:rsid w:val="004E78F0"/>
    <w:rsid w:val="004E7C70"/>
    <w:rsid w:val="004F0A3E"/>
    <w:rsid w:val="004F1396"/>
    <w:rsid w:val="004F1490"/>
    <w:rsid w:val="004F1C7D"/>
    <w:rsid w:val="004F244D"/>
    <w:rsid w:val="004F25B6"/>
    <w:rsid w:val="004F26D6"/>
    <w:rsid w:val="004F29BC"/>
    <w:rsid w:val="004F29C8"/>
    <w:rsid w:val="004F2A20"/>
    <w:rsid w:val="004F344F"/>
    <w:rsid w:val="004F3F9A"/>
    <w:rsid w:val="004F4003"/>
    <w:rsid w:val="004F45AF"/>
    <w:rsid w:val="004F474E"/>
    <w:rsid w:val="004F4F4D"/>
    <w:rsid w:val="004F53DB"/>
    <w:rsid w:val="004F56A5"/>
    <w:rsid w:val="004F57B8"/>
    <w:rsid w:val="004F57C4"/>
    <w:rsid w:val="004F61B2"/>
    <w:rsid w:val="004F6987"/>
    <w:rsid w:val="004F703E"/>
    <w:rsid w:val="004F711E"/>
    <w:rsid w:val="004F7411"/>
    <w:rsid w:val="005008D0"/>
    <w:rsid w:val="00500A40"/>
    <w:rsid w:val="00500AF6"/>
    <w:rsid w:val="00501712"/>
    <w:rsid w:val="00501A72"/>
    <w:rsid w:val="00502A5C"/>
    <w:rsid w:val="00504999"/>
    <w:rsid w:val="00504B71"/>
    <w:rsid w:val="00504C1F"/>
    <w:rsid w:val="0050555A"/>
    <w:rsid w:val="00505669"/>
    <w:rsid w:val="0050613C"/>
    <w:rsid w:val="0050710D"/>
    <w:rsid w:val="005072C2"/>
    <w:rsid w:val="00507522"/>
    <w:rsid w:val="005077A1"/>
    <w:rsid w:val="00507B35"/>
    <w:rsid w:val="00507E1F"/>
    <w:rsid w:val="00507ED2"/>
    <w:rsid w:val="00507F09"/>
    <w:rsid w:val="005100BE"/>
    <w:rsid w:val="00510315"/>
    <w:rsid w:val="0051114A"/>
    <w:rsid w:val="00511478"/>
    <w:rsid w:val="00511BDE"/>
    <w:rsid w:val="00511EE2"/>
    <w:rsid w:val="005121A2"/>
    <w:rsid w:val="005122B2"/>
    <w:rsid w:val="0051240A"/>
    <w:rsid w:val="005124B5"/>
    <w:rsid w:val="00512A69"/>
    <w:rsid w:val="00513955"/>
    <w:rsid w:val="00513A12"/>
    <w:rsid w:val="00514013"/>
    <w:rsid w:val="00514CC9"/>
    <w:rsid w:val="0051525F"/>
    <w:rsid w:val="00516744"/>
    <w:rsid w:val="00516892"/>
    <w:rsid w:val="00516D44"/>
    <w:rsid w:val="005177F5"/>
    <w:rsid w:val="005179B6"/>
    <w:rsid w:val="0052051E"/>
    <w:rsid w:val="00520983"/>
    <w:rsid w:val="00520DEB"/>
    <w:rsid w:val="00520F8B"/>
    <w:rsid w:val="005213C8"/>
    <w:rsid w:val="005216A2"/>
    <w:rsid w:val="00521982"/>
    <w:rsid w:val="00522ACE"/>
    <w:rsid w:val="00522C1C"/>
    <w:rsid w:val="00523064"/>
    <w:rsid w:val="00523162"/>
    <w:rsid w:val="005232E8"/>
    <w:rsid w:val="00523672"/>
    <w:rsid w:val="00523B64"/>
    <w:rsid w:val="005241C8"/>
    <w:rsid w:val="0052483E"/>
    <w:rsid w:val="00524CE5"/>
    <w:rsid w:val="005254DE"/>
    <w:rsid w:val="0052558D"/>
    <w:rsid w:val="00525BCC"/>
    <w:rsid w:val="00526229"/>
    <w:rsid w:val="00526B9A"/>
    <w:rsid w:val="0052711C"/>
    <w:rsid w:val="00527506"/>
    <w:rsid w:val="005300D8"/>
    <w:rsid w:val="00530471"/>
    <w:rsid w:val="00530C46"/>
    <w:rsid w:val="0053168E"/>
    <w:rsid w:val="00533813"/>
    <w:rsid w:val="00534104"/>
    <w:rsid w:val="005342CD"/>
    <w:rsid w:val="00534474"/>
    <w:rsid w:val="00534524"/>
    <w:rsid w:val="0053602C"/>
    <w:rsid w:val="00536F75"/>
    <w:rsid w:val="00536F83"/>
    <w:rsid w:val="00537AB3"/>
    <w:rsid w:val="00537E12"/>
    <w:rsid w:val="00540039"/>
    <w:rsid w:val="0054013F"/>
    <w:rsid w:val="00540F42"/>
    <w:rsid w:val="00541B74"/>
    <w:rsid w:val="00541B80"/>
    <w:rsid w:val="00541F62"/>
    <w:rsid w:val="005421FA"/>
    <w:rsid w:val="00542288"/>
    <w:rsid w:val="0054236C"/>
    <w:rsid w:val="00542B49"/>
    <w:rsid w:val="00542D77"/>
    <w:rsid w:val="00542EC0"/>
    <w:rsid w:val="00542F67"/>
    <w:rsid w:val="00543086"/>
    <w:rsid w:val="00543393"/>
    <w:rsid w:val="00544279"/>
    <w:rsid w:val="0054429D"/>
    <w:rsid w:val="00544394"/>
    <w:rsid w:val="00544AEF"/>
    <w:rsid w:val="00544B0B"/>
    <w:rsid w:val="00545235"/>
    <w:rsid w:val="0054532E"/>
    <w:rsid w:val="005458F7"/>
    <w:rsid w:val="00546134"/>
    <w:rsid w:val="00546662"/>
    <w:rsid w:val="00547700"/>
    <w:rsid w:val="00547C3F"/>
    <w:rsid w:val="005502A9"/>
    <w:rsid w:val="005502CF"/>
    <w:rsid w:val="005504CE"/>
    <w:rsid w:val="005508D7"/>
    <w:rsid w:val="00550AF7"/>
    <w:rsid w:val="00550C70"/>
    <w:rsid w:val="00550CA0"/>
    <w:rsid w:val="00550FB1"/>
    <w:rsid w:val="00551034"/>
    <w:rsid w:val="0055114B"/>
    <w:rsid w:val="00551973"/>
    <w:rsid w:val="00552063"/>
    <w:rsid w:val="005520F0"/>
    <w:rsid w:val="005523B0"/>
    <w:rsid w:val="005524CA"/>
    <w:rsid w:val="005525A8"/>
    <w:rsid w:val="00552C5D"/>
    <w:rsid w:val="00552F8F"/>
    <w:rsid w:val="0055398B"/>
    <w:rsid w:val="00553D8E"/>
    <w:rsid w:val="00553ECE"/>
    <w:rsid w:val="00554C33"/>
    <w:rsid w:val="00554E4D"/>
    <w:rsid w:val="00554F11"/>
    <w:rsid w:val="00554FB5"/>
    <w:rsid w:val="005552C3"/>
    <w:rsid w:val="00555B0F"/>
    <w:rsid w:val="00555C63"/>
    <w:rsid w:val="005564DB"/>
    <w:rsid w:val="00556DDD"/>
    <w:rsid w:val="00557079"/>
    <w:rsid w:val="005573B4"/>
    <w:rsid w:val="00557E41"/>
    <w:rsid w:val="005606E8"/>
    <w:rsid w:val="00561433"/>
    <w:rsid w:val="00561438"/>
    <w:rsid w:val="0056171F"/>
    <w:rsid w:val="00561DE4"/>
    <w:rsid w:val="0056223B"/>
    <w:rsid w:val="005624C0"/>
    <w:rsid w:val="00563D9F"/>
    <w:rsid w:val="00564341"/>
    <w:rsid w:val="0056489B"/>
    <w:rsid w:val="005648B4"/>
    <w:rsid w:val="0056505B"/>
    <w:rsid w:val="00565288"/>
    <w:rsid w:val="00565678"/>
    <w:rsid w:val="0056593E"/>
    <w:rsid w:val="00565B79"/>
    <w:rsid w:val="00565F2B"/>
    <w:rsid w:val="0056629F"/>
    <w:rsid w:val="005669C7"/>
    <w:rsid w:val="00566A7E"/>
    <w:rsid w:val="00566AEF"/>
    <w:rsid w:val="00567866"/>
    <w:rsid w:val="00567C0E"/>
    <w:rsid w:val="00567E14"/>
    <w:rsid w:val="00567F83"/>
    <w:rsid w:val="00570049"/>
    <w:rsid w:val="00570347"/>
    <w:rsid w:val="005705CC"/>
    <w:rsid w:val="005705E5"/>
    <w:rsid w:val="005706EE"/>
    <w:rsid w:val="005717A9"/>
    <w:rsid w:val="00571E69"/>
    <w:rsid w:val="005723B8"/>
    <w:rsid w:val="00572636"/>
    <w:rsid w:val="00572940"/>
    <w:rsid w:val="00572ACD"/>
    <w:rsid w:val="005733F1"/>
    <w:rsid w:val="0057373B"/>
    <w:rsid w:val="00573892"/>
    <w:rsid w:val="00573A65"/>
    <w:rsid w:val="00573B17"/>
    <w:rsid w:val="00573F58"/>
    <w:rsid w:val="00574339"/>
    <w:rsid w:val="005747BD"/>
    <w:rsid w:val="00574F54"/>
    <w:rsid w:val="005753EE"/>
    <w:rsid w:val="00575795"/>
    <w:rsid w:val="005760F5"/>
    <w:rsid w:val="00576529"/>
    <w:rsid w:val="00576813"/>
    <w:rsid w:val="00576921"/>
    <w:rsid w:val="00576968"/>
    <w:rsid w:val="00576A67"/>
    <w:rsid w:val="00576ABA"/>
    <w:rsid w:val="00576E6D"/>
    <w:rsid w:val="00577DAE"/>
    <w:rsid w:val="00577DF7"/>
    <w:rsid w:val="00580116"/>
    <w:rsid w:val="00580F8F"/>
    <w:rsid w:val="0058188F"/>
    <w:rsid w:val="00581CE5"/>
    <w:rsid w:val="00581F36"/>
    <w:rsid w:val="00582151"/>
    <w:rsid w:val="00582312"/>
    <w:rsid w:val="00582B96"/>
    <w:rsid w:val="005833FA"/>
    <w:rsid w:val="00583907"/>
    <w:rsid w:val="00583C2C"/>
    <w:rsid w:val="00583D5D"/>
    <w:rsid w:val="00584EB8"/>
    <w:rsid w:val="00586177"/>
    <w:rsid w:val="005861AA"/>
    <w:rsid w:val="005863E8"/>
    <w:rsid w:val="005867F5"/>
    <w:rsid w:val="00586FAD"/>
    <w:rsid w:val="005871F8"/>
    <w:rsid w:val="00587EFF"/>
    <w:rsid w:val="00590CF0"/>
    <w:rsid w:val="00591047"/>
    <w:rsid w:val="005914C7"/>
    <w:rsid w:val="00591810"/>
    <w:rsid w:val="0059193E"/>
    <w:rsid w:val="00591E97"/>
    <w:rsid w:val="005923DB"/>
    <w:rsid w:val="00592B83"/>
    <w:rsid w:val="00592DAD"/>
    <w:rsid w:val="0059364D"/>
    <w:rsid w:val="0059396D"/>
    <w:rsid w:val="00593D98"/>
    <w:rsid w:val="00593E5F"/>
    <w:rsid w:val="00595BB7"/>
    <w:rsid w:val="00595E08"/>
    <w:rsid w:val="00595FCB"/>
    <w:rsid w:val="005962AF"/>
    <w:rsid w:val="005965DB"/>
    <w:rsid w:val="0059677A"/>
    <w:rsid w:val="00596A8D"/>
    <w:rsid w:val="00596B2C"/>
    <w:rsid w:val="00596BFB"/>
    <w:rsid w:val="005971EB"/>
    <w:rsid w:val="005973BA"/>
    <w:rsid w:val="00597D2F"/>
    <w:rsid w:val="00597EEB"/>
    <w:rsid w:val="005A00DF"/>
    <w:rsid w:val="005A0BEF"/>
    <w:rsid w:val="005A1525"/>
    <w:rsid w:val="005A170E"/>
    <w:rsid w:val="005A17F7"/>
    <w:rsid w:val="005A1A8D"/>
    <w:rsid w:val="005A1CA6"/>
    <w:rsid w:val="005A2137"/>
    <w:rsid w:val="005A2E5B"/>
    <w:rsid w:val="005A305C"/>
    <w:rsid w:val="005A341B"/>
    <w:rsid w:val="005A492E"/>
    <w:rsid w:val="005A4971"/>
    <w:rsid w:val="005A4ED8"/>
    <w:rsid w:val="005A53D9"/>
    <w:rsid w:val="005A6395"/>
    <w:rsid w:val="005A6445"/>
    <w:rsid w:val="005A6CBC"/>
    <w:rsid w:val="005A6D7F"/>
    <w:rsid w:val="005A701D"/>
    <w:rsid w:val="005A70A3"/>
    <w:rsid w:val="005A7C2E"/>
    <w:rsid w:val="005A7E4B"/>
    <w:rsid w:val="005B17DB"/>
    <w:rsid w:val="005B216D"/>
    <w:rsid w:val="005B26E9"/>
    <w:rsid w:val="005B31E2"/>
    <w:rsid w:val="005B3318"/>
    <w:rsid w:val="005B3586"/>
    <w:rsid w:val="005B419C"/>
    <w:rsid w:val="005B45B5"/>
    <w:rsid w:val="005B513B"/>
    <w:rsid w:val="005B58BC"/>
    <w:rsid w:val="005B622C"/>
    <w:rsid w:val="005B6979"/>
    <w:rsid w:val="005B6E74"/>
    <w:rsid w:val="005B7583"/>
    <w:rsid w:val="005B76EB"/>
    <w:rsid w:val="005B7725"/>
    <w:rsid w:val="005B7735"/>
    <w:rsid w:val="005B77C7"/>
    <w:rsid w:val="005B7B2A"/>
    <w:rsid w:val="005C01DD"/>
    <w:rsid w:val="005C0322"/>
    <w:rsid w:val="005C05B2"/>
    <w:rsid w:val="005C0762"/>
    <w:rsid w:val="005C0B98"/>
    <w:rsid w:val="005C0F91"/>
    <w:rsid w:val="005C10FD"/>
    <w:rsid w:val="005C15B9"/>
    <w:rsid w:val="005C1D08"/>
    <w:rsid w:val="005C1D1B"/>
    <w:rsid w:val="005C1D47"/>
    <w:rsid w:val="005C23E1"/>
    <w:rsid w:val="005C268B"/>
    <w:rsid w:val="005C2A11"/>
    <w:rsid w:val="005C30C4"/>
    <w:rsid w:val="005C35C2"/>
    <w:rsid w:val="005C3B88"/>
    <w:rsid w:val="005C3F28"/>
    <w:rsid w:val="005C4941"/>
    <w:rsid w:val="005C51D1"/>
    <w:rsid w:val="005C583B"/>
    <w:rsid w:val="005C69C0"/>
    <w:rsid w:val="005C7442"/>
    <w:rsid w:val="005C7D19"/>
    <w:rsid w:val="005D06F6"/>
    <w:rsid w:val="005D0CD3"/>
    <w:rsid w:val="005D11CA"/>
    <w:rsid w:val="005D1340"/>
    <w:rsid w:val="005D15D3"/>
    <w:rsid w:val="005D1611"/>
    <w:rsid w:val="005D16CE"/>
    <w:rsid w:val="005D1D21"/>
    <w:rsid w:val="005D2156"/>
    <w:rsid w:val="005D2649"/>
    <w:rsid w:val="005D30E2"/>
    <w:rsid w:val="005D365F"/>
    <w:rsid w:val="005D4198"/>
    <w:rsid w:val="005D4AE1"/>
    <w:rsid w:val="005D4C9B"/>
    <w:rsid w:val="005D5613"/>
    <w:rsid w:val="005D586C"/>
    <w:rsid w:val="005D6AFA"/>
    <w:rsid w:val="005D6C06"/>
    <w:rsid w:val="005D7857"/>
    <w:rsid w:val="005D79E0"/>
    <w:rsid w:val="005E036A"/>
    <w:rsid w:val="005E0A39"/>
    <w:rsid w:val="005E0C3E"/>
    <w:rsid w:val="005E10FC"/>
    <w:rsid w:val="005E14D1"/>
    <w:rsid w:val="005E1AB8"/>
    <w:rsid w:val="005E1AFC"/>
    <w:rsid w:val="005E28FA"/>
    <w:rsid w:val="005E370C"/>
    <w:rsid w:val="005E3AEE"/>
    <w:rsid w:val="005E4169"/>
    <w:rsid w:val="005E4310"/>
    <w:rsid w:val="005E463C"/>
    <w:rsid w:val="005E48D4"/>
    <w:rsid w:val="005E4B66"/>
    <w:rsid w:val="005E4FE7"/>
    <w:rsid w:val="005E68DB"/>
    <w:rsid w:val="005E6907"/>
    <w:rsid w:val="005E6D0C"/>
    <w:rsid w:val="005E778E"/>
    <w:rsid w:val="005F0043"/>
    <w:rsid w:val="005F06A5"/>
    <w:rsid w:val="005F0BD4"/>
    <w:rsid w:val="005F124A"/>
    <w:rsid w:val="005F1488"/>
    <w:rsid w:val="005F1AEC"/>
    <w:rsid w:val="005F1B3C"/>
    <w:rsid w:val="005F1C92"/>
    <w:rsid w:val="005F255A"/>
    <w:rsid w:val="005F2710"/>
    <w:rsid w:val="005F29AD"/>
    <w:rsid w:val="005F37B3"/>
    <w:rsid w:val="005F3D88"/>
    <w:rsid w:val="005F41C4"/>
    <w:rsid w:val="005F4B99"/>
    <w:rsid w:val="005F50B0"/>
    <w:rsid w:val="005F5601"/>
    <w:rsid w:val="005F57C1"/>
    <w:rsid w:val="005F5B70"/>
    <w:rsid w:val="005F629A"/>
    <w:rsid w:val="005F65C4"/>
    <w:rsid w:val="005F6921"/>
    <w:rsid w:val="005F6F18"/>
    <w:rsid w:val="005F783B"/>
    <w:rsid w:val="005F7BAE"/>
    <w:rsid w:val="005F7D49"/>
    <w:rsid w:val="00600015"/>
    <w:rsid w:val="00600E9B"/>
    <w:rsid w:val="006012D7"/>
    <w:rsid w:val="0060192D"/>
    <w:rsid w:val="00601AD9"/>
    <w:rsid w:val="00601B12"/>
    <w:rsid w:val="00601DA3"/>
    <w:rsid w:val="006029F6"/>
    <w:rsid w:val="00602C5A"/>
    <w:rsid w:val="006036B7"/>
    <w:rsid w:val="00603F4C"/>
    <w:rsid w:val="0060404E"/>
    <w:rsid w:val="00604441"/>
    <w:rsid w:val="00604753"/>
    <w:rsid w:val="00604B59"/>
    <w:rsid w:val="00605484"/>
    <w:rsid w:val="006056D6"/>
    <w:rsid w:val="00605CA8"/>
    <w:rsid w:val="00606029"/>
    <w:rsid w:val="0060664B"/>
    <w:rsid w:val="00606976"/>
    <w:rsid w:val="00606A31"/>
    <w:rsid w:val="00606C2D"/>
    <w:rsid w:val="00606D6D"/>
    <w:rsid w:val="006073E0"/>
    <w:rsid w:val="006074EB"/>
    <w:rsid w:val="0060788D"/>
    <w:rsid w:val="0060793C"/>
    <w:rsid w:val="006100AA"/>
    <w:rsid w:val="0061088C"/>
    <w:rsid w:val="00610B3E"/>
    <w:rsid w:val="00611201"/>
    <w:rsid w:val="00611526"/>
    <w:rsid w:val="006118AC"/>
    <w:rsid w:val="00611A08"/>
    <w:rsid w:val="00612429"/>
    <w:rsid w:val="00612990"/>
    <w:rsid w:val="006129FB"/>
    <w:rsid w:val="006134CF"/>
    <w:rsid w:val="00613FBB"/>
    <w:rsid w:val="00614480"/>
    <w:rsid w:val="00614ADE"/>
    <w:rsid w:val="00614B5F"/>
    <w:rsid w:val="00614EDA"/>
    <w:rsid w:val="00615098"/>
    <w:rsid w:val="0061530A"/>
    <w:rsid w:val="006154A5"/>
    <w:rsid w:val="0061596E"/>
    <w:rsid w:val="00617029"/>
    <w:rsid w:val="00617055"/>
    <w:rsid w:val="00617117"/>
    <w:rsid w:val="00617D3E"/>
    <w:rsid w:val="00620DA4"/>
    <w:rsid w:val="00621B43"/>
    <w:rsid w:val="00621F9A"/>
    <w:rsid w:val="00622B5F"/>
    <w:rsid w:val="00624901"/>
    <w:rsid w:val="00624A94"/>
    <w:rsid w:val="00624B11"/>
    <w:rsid w:val="00625176"/>
    <w:rsid w:val="0062519C"/>
    <w:rsid w:val="00625CD9"/>
    <w:rsid w:val="006261BE"/>
    <w:rsid w:val="006263D0"/>
    <w:rsid w:val="00626CB8"/>
    <w:rsid w:val="006270AD"/>
    <w:rsid w:val="0062750B"/>
    <w:rsid w:val="00627E53"/>
    <w:rsid w:val="006308AB"/>
    <w:rsid w:val="00631383"/>
    <w:rsid w:val="00631412"/>
    <w:rsid w:val="00631684"/>
    <w:rsid w:val="006318FB"/>
    <w:rsid w:val="00631BF5"/>
    <w:rsid w:val="006322E9"/>
    <w:rsid w:val="00632645"/>
    <w:rsid w:val="00632772"/>
    <w:rsid w:val="00632A5A"/>
    <w:rsid w:val="00633497"/>
    <w:rsid w:val="006335F9"/>
    <w:rsid w:val="006341E9"/>
    <w:rsid w:val="00634534"/>
    <w:rsid w:val="00634D50"/>
    <w:rsid w:val="0063514B"/>
    <w:rsid w:val="006353CD"/>
    <w:rsid w:val="00635FD7"/>
    <w:rsid w:val="00636027"/>
    <w:rsid w:val="006362DA"/>
    <w:rsid w:val="0063648B"/>
    <w:rsid w:val="00636517"/>
    <w:rsid w:val="00637275"/>
    <w:rsid w:val="006373BA"/>
    <w:rsid w:val="006374E0"/>
    <w:rsid w:val="00637DB9"/>
    <w:rsid w:val="00637F8F"/>
    <w:rsid w:val="00637FF3"/>
    <w:rsid w:val="0064025C"/>
    <w:rsid w:val="00640266"/>
    <w:rsid w:val="00640D5D"/>
    <w:rsid w:val="00641236"/>
    <w:rsid w:val="0064195C"/>
    <w:rsid w:val="00641EA1"/>
    <w:rsid w:val="00642E40"/>
    <w:rsid w:val="00643306"/>
    <w:rsid w:val="0064344A"/>
    <w:rsid w:val="006437D0"/>
    <w:rsid w:val="00643D06"/>
    <w:rsid w:val="00644EE6"/>
    <w:rsid w:val="006450F2"/>
    <w:rsid w:val="0064579A"/>
    <w:rsid w:val="00645A5E"/>
    <w:rsid w:val="00645B82"/>
    <w:rsid w:val="00645CD3"/>
    <w:rsid w:val="006467AD"/>
    <w:rsid w:val="0064697C"/>
    <w:rsid w:val="00646C63"/>
    <w:rsid w:val="00646E82"/>
    <w:rsid w:val="00646F98"/>
    <w:rsid w:val="00647855"/>
    <w:rsid w:val="006500AE"/>
    <w:rsid w:val="006500E9"/>
    <w:rsid w:val="00650231"/>
    <w:rsid w:val="00651703"/>
    <w:rsid w:val="00651B69"/>
    <w:rsid w:val="0065298F"/>
    <w:rsid w:val="00652ABD"/>
    <w:rsid w:val="0065369B"/>
    <w:rsid w:val="00654310"/>
    <w:rsid w:val="006544C5"/>
    <w:rsid w:val="006549C9"/>
    <w:rsid w:val="00654E56"/>
    <w:rsid w:val="006552B6"/>
    <w:rsid w:val="00655553"/>
    <w:rsid w:val="006565F2"/>
    <w:rsid w:val="00656746"/>
    <w:rsid w:val="00657049"/>
    <w:rsid w:val="00657755"/>
    <w:rsid w:val="00660662"/>
    <w:rsid w:val="0066067F"/>
    <w:rsid w:val="00660BDC"/>
    <w:rsid w:val="006622B7"/>
    <w:rsid w:val="006628B5"/>
    <w:rsid w:val="00662AD0"/>
    <w:rsid w:val="00662FD3"/>
    <w:rsid w:val="006632A7"/>
    <w:rsid w:val="00663AE5"/>
    <w:rsid w:val="00663BED"/>
    <w:rsid w:val="006641C8"/>
    <w:rsid w:val="006656AB"/>
    <w:rsid w:val="006657E4"/>
    <w:rsid w:val="00665A32"/>
    <w:rsid w:val="0066617A"/>
    <w:rsid w:val="0066645D"/>
    <w:rsid w:val="006666C1"/>
    <w:rsid w:val="00666B3F"/>
    <w:rsid w:val="00666DED"/>
    <w:rsid w:val="00667C79"/>
    <w:rsid w:val="00670026"/>
    <w:rsid w:val="0067004A"/>
    <w:rsid w:val="0067092B"/>
    <w:rsid w:val="006709F3"/>
    <w:rsid w:val="00670A42"/>
    <w:rsid w:val="006711A3"/>
    <w:rsid w:val="00671717"/>
    <w:rsid w:val="00671F0C"/>
    <w:rsid w:val="00671F4D"/>
    <w:rsid w:val="00672982"/>
    <w:rsid w:val="00673619"/>
    <w:rsid w:val="006736E2"/>
    <w:rsid w:val="00673A8E"/>
    <w:rsid w:val="006740B9"/>
    <w:rsid w:val="00674543"/>
    <w:rsid w:val="00675574"/>
    <w:rsid w:val="0067573A"/>
    <w:rsid w:val="006763D9"/>
    <w:rsid w:val="006768C5"/>
    <w:rsid w:val="00676CE8"/>
    <w:rsid w:val="00676FF7"/>
    <w:rsid w:val="00677221"/>
    <w:rsid w:val="00677587"/>
    <w:rsid w:val="00677DD5"/>
    <w:rsid w:val="00677FAF"/>
    <w:rsid w:val="00680A3F"/>
    <w:rsid w:val="00682A99"/>
    <w:rsid w:val="00682B36"/>
    <w:rsid w:val="00683E0E"/>
    <w:rsid w:val="006841D5"/>
    <w:rsid w:val="00684300"/>
    <w:rsid w:val="00684489"/>
    <w:rsid w:val="00684C35"/>
    <w:rsid w:val="0068537B"/>
    <w:rsid w:val="006858A5"/>
    <w:rsid w:val="006866CC"/>
    <w:rsid w:val="006869F7"/>
    <w:rsid w:val="00686B25"/>
    <w:rsid w:val="00687063"/>
    <w:rsid w:val="00687BBA"/>
    <w:rsid w:val="0069026B"/>
    <w:rsid w:val="00690630"/>
    <w:rsid w:val="006912E8"/>
    <w:rsid w:val="00691BE6"/>
    <w:rsid w:val="00691FC8"/>
    <w:rsid w:val="00692102"/>
    <w:rsid w:val="00692C81"/>
    <w:rsid w:val="00692CED"/>
    <w:rsid w:val="00693731"/>
    <w:rsid w:val="00693C1C"/>
    <w:rsid w:val="00693E46"/>
    <w:rsid w:val="00694A14"/>
    <w:rsid w:val="00694C7F"/>
    <w:rsid w:val="00694D7D"/>
    <w:rsid w:val="006951A9"/>
    <w:rsid w:val="006952E0"/>
    <w:rsid w:val="006977B1"/>
    <w:rsid w:val="006A06C7"/>
    <w:rsid w:val="006A09D9"/>
    <w:rsid w:val="006A0DCD"/>
    <w:rsid w:val="006A0E1D"/>
    <w:rsid w:val="006A1657"/>
    <w:rsid w:val="006A1676"/>
    <w:rsid w:val="006A1D27"/>
    <w:rsid w:val="006A1F60"/>
    <w:rsid w:val="006A26EC"/>
    <w:rsid w:val="006A29BC"/>
    <w:rsid w:val="006A31EA"/>
    <w:rsid w:val="006A3270"/>
    <w:rsid w:val="006A38C9"/>
    <w:rsid w:val="006A3950"/>
    <w:rsid w:val="006A3DDA"/>
    <w:rsid w:val="006A430F"/>
    <w:rsid w:val="006A4DAE"/>
    <w:rsid w:val="006A5042"/>
    <w:rsid w:val="006A5190"/>
    <w:rsid w:val="006A51D9"/>
    <w:rsid w:val="006A56EF"/>
    <w:rsid w:val="006A5DC5"/>
    <w:rsid w:val="006A6023"/>
    <w:rsid w:val="006A67E6"/>
    <w:rsid w:val="006A67FD"/>
    <w:rsid w:val="006A6F60"/>
    <w:rsid w:val="006A7017"/>
    <w:rsid w:val="006A7671"/>
    <w:rsid w:val="006A76C3"/>
    <w:rsid w:val="006B030E"/>
    <w:rsid w:val="006B0CE6"/>
    <w:rsid w:val="006B1966"/>
    <w:rsid w:val="006B1A94"/>
    <w:rsid w:val="006B1F3D"/>
    <w:rsid w:val="006B2D97"/>
    <w:rsid w:val="006B3615"/>
    <w:rsid w:val="006B3873"/>
    <w:rsid w:val="006B38CB"/>
    <w:rsid w:val="006B3B98"/>
    <w:rsid w:val="006B4240"/>
    <w:rsid w:val="006B4319"/>
    <w:rsid w:val="006B475F"/>
    <w:rsid w:val="006B4BBC"/>
    <w:rsid w:val="006B4BC8"/>
    <w:rsid w:val="006B566C"/>
    <w:rsid w:val="006B5AC7"/>
    <w:rsid w:val="006B5E1B"/>
    <w:rsid w:val="006B601E"/>
    <w:rsid w:val="006B6739"/>
    <w:rsid w:val="006B6980"/>
    <w:rsid w:val="006B6D17"/>
    <w:rsid w:val="006B6D50"/>
    <w:rsid w:val="006B743A"/>
    <w:rsid w:val="006B751D"/>
    <w:rsid w:val="006B762E"/>
    <w:rsid w:val="006B79F6"/>
    <w:rsid w:val="006C0A33"/>
    <w:rsid w:val="006C1072"/>
    <w:rsid w:val="006C14C1"/>
    <w:rsid w:val="006C1641"/>
    <w:rsid w:val="006C1751"/>
    <w:rsid w:val="006C1842"/>
    <w:rsid w:val="006C1BBC"/>
    <w:rsid w:val="006C20AF"/>
    <w:rsid w:val="006C2227"/>
    <w:rsid w:val="006C2BFD"/>
    <w:rsid w:val="006C30ED"/>
    <w:rsid w:val="006C3691"/>
    <w:rsid w:val="006C3AB9"/>
    <w:rsid w:val="006C4038"/>
    <w:rsid w:val="006C4073"/>
    <w:rsid w:val="006C434E"/>
    <w:rsid w:val="006C5A4B"/>
    <w:rsid w:val="006C6555"/>
    <w:rsid w:val="006C6599"/>
    <w:rsid w:val="006C6F73"/>
    <w:rsid w:val="006D06BE"/>
    <w:rsid w:val="006D07A2"/>
    <w:rsid w:val="006D087A"/>
    <w:rsid w:val="006D0940"/>
    <w:rsid w:val="006D09CA"/>
    <w:rsid w:val="006D1527"/>
    <w:rsid w:val="006D153E"/>
    <w:rsid w:val="006D181C"/>
    <w:rsid w:val="006D1B75"/>
    <w:rsid w:val="006D2579"/>
    <w:rsid w:val="006D2707"/>
    <w:rsid w:val="006D31CA"/>
    <w:rsid w:val="006D3BEC"/>
    <w:rsid w:val="006D495F"/>
    <w:rsid w:val="006D504E"/>
    <w:rsid w:val="006D5069"/>
    <w:rsid w:val="006D50E0"/>
    <w:rsid w:val="006D51D0"/>
    <w:rsid w:val="006D5565"/>
    <w:rsid w:val="006D5575"/>
    <w:rsid w:val="006D645B"/>
    <w:rsid w:val="006D7113"/>
    <w:rsid w:val="006D7351"/>
    <w:rsid w:val="006D73E8"/>
    <w:rsid w:val="006D74B2"/>
    <w:rsid w:val="006D7702"/>
    <w:rsid w:val="006D77A5"/>
    <w:rsid w:val="006D7D6F"/>
    <w:rsid w:val="006D7F66"/>
    <w:rsid w:val="006E088D"/>
    <w:rsid w:val="006E092F"/>
    <w:rsid w:val="006E16A5"/>
    <w:rsid w:val="006E209F"/>
    <w:rsid w:val="006E2263"/>
    <w:rsid w:val="006E234E"/>
    <w:rsid w:val="006E260B"/>
    <w:rsid w:val="006E2B6C"/>
    <w:rsid w:val="006E2C19"/>
    <w:rsid w:val="006E2E47"/>
    <w:rsid w:val="006E3065"/>
    <w:rsid w:val="006E314E"/>
    <w:rsid w:val="006E37F4"/>
    <w:rsid w:val="006E48B6"/>
    <w:rsid w:val="006E527D"/>
    <w:rsid w:val="006E531A"/>
    <w:rsid w:val="006E5B2D"/>
    <w:rsid w:val="006E5B3D"/>
    <w:rsid w:val="006E5E9E"/>
    <w:rsid w:val="006E725B"/>
    <w:rsid w:val="006E72B2"/>
    <w:rsid w:val="006E7FBE"/>
    <w:rsid w:val="006F10B6"/>
    <w:rsid w:val="006F1EE9"/>
    <w:rsid w:val="006F28C4"/>
    <w:rsid w:val="006F3932"/>
    <w:rsid w:val="006F3D64"/>
    <w:rsid w:val="006F4F9E"/>
    <w:rsid w:val="006F50BA"/>
    <w:rsid w:val="006F5128"/>
    <w:rsid w:val="006F5F99"/>
    <w:rsid w:val="006F5FE2"/>
    <w:rsid w:val="006F6238"/>
    <w:rsid w:val="006F63DC"/>
    <w:rsid w:val="006F68BF"/>
    <w:rsid w:val="006F7015"/>
    <w:rsid w:val="006F748C"/>
    <w:rsid w:val="006F7693"/>
    <w:rsid w:val="0070110B"/>
    <w:rsid w:val="00701582"/>
    <w:rsid w:val="00701649"/>
    <w:rsid w:val="00701754"/>
    <w:rsid w:val="007018FE"/>
    <w:rsid w:val="00701FF8"/>
    <w:rsid w:val="00702630"/>
    <w:rsid w:val="00702DD7"/>
    <w:rsid w:val="00702E5E"/>
    <w:rsid w:val="00702EBB"/>
    <w:rsid w:val="00703A84"/>
    <w:rsid w:val="007051BC"/>
    <w:rsid w:val="00705303"/>
    <w:rsid w:val="00706135"/>
    <w:rsid w:val="00706C8E"/>
    <w:rsid w:val="00707195"/>
    <w:rsid w:val="00707624"/>
    <w:rsid w:val="0070795A"/>
    <w:rsid w:val="00707DF6"/>
    <w:rsid w:val="007103B4"/>
    <w:rsid w:val="00710695"/>
    <w:rsid w:val="007109D8"/>
    <w:rsid w:val="00710E7A"/>
    <w:rsid w:val="007110B6"/>
    <w:rsid w:val="007112E5"/>
    <w:rsid w:val="00711326"/>
    <w:rsid w:val="007118A2"/>
    <w:rsid w:val="00711D59"/>
    <w:rsid w:val="00713523"/>
    <w:rsid w:val="00714239"/>
    <w:rsid w:val="00714465"/>
    <w:rsid w:val="00715098"/>
    <w:rsid w:val="00715268"/>
    <w:rsid w:val="0071583E"/>
    <w:rsid w:val="00715903"/>
    <w:rsid w:val="00715A83"/>
    <w:rsid w:val="0071666B"/>
    <w:rsid w:val="00716D21"/>
    <w:rsid w:val="00716D4C"/>
    <w:rsid w:val="00716EE5"/>
    <w:rsid w:val="00717D9B"/>
    <w:rsid w:val="00717DEF"/>
    <w:rsid w:val="007203CC"/>
    <w:rsid w:val="0072059A"/>
    <w:rsid w:val="00720BA1"/>
    <w:rsid w:val="00720F6D"/>
    <w:rsid w:val="00720FC1"/>
    <w:rsid w:val="00721241"/>
    <w:rsid w:val="00721E42"/>
    <w:rsid w:val="00722B77"/>
    <w:rsid w:val="00723C77"/>
    <w:rsid w:val="00723F59"/>
    <w:rsid w:val="007244F0"/>
    <w:rsid w:val="007249C7"/>
    <w:rsid w:val="00724F22"/>
    <w:rsid w:val="00726472"/>
    <w:rsid w:val="007266D6"/>
    <w:rsid w:val="007267A5"/>
    <w:rsid w:val="00726FDB"/>
    <w:rsid w:val="00727357"/>
    <w:rsid w:val="00727DEA"/>
    <w:rsid w:val="007302C2"/>
    <w:rsid w:val="00730542"/>
    <w:rsid w:val="00730FEA"/>
    <w:rsid w:val="007311A1"/>
    <w:rsid w:val="0073120C"/>
    <w:rsid w:val="00731579"/>
    <w:rsid w:val="0073178A"/>
    <w:rsid w:val="00731CA2"/>
    <w:rsid w:val="00731E35"/>
    <w:rsid w:val="007320B0"/>
    <w:rsid w:val="007325B4"/>
    <w:rsid w:val="00732C2C"/>
    <w:rsid w:val="007339EC"/>
    <w:rsid w:val="00733A71"/>
    <w:rsid w:val="00733BA2"/>
    <w:rsid w:val="007342E6"/>
    <w:rsid w:val="00734703"/>
    <w:rsid w:val="00734BCB"/>
    <w:rsid w:val="007353F8"/>
    <w:rsid w:val="0073543A"/>
    <w:rsid w:val="007358BC"/>
    <w:rsid w:val="00735A12"/>
    <w:rsid w:val="00735CDC"/>
    <w:rsid w:val="00735F42"/>
    <w:rsid w:val="00736788"/>
    <w:rsid w:val="00737137"/>
    <w:rsid w:val="00737FF9"/>
    <w:rsid w:val="0074086B"/>
    <w:rsid w:val="00740E96"/>
    <w:rsid w:val="0074167B"/>
    <w:rsid w:val="007417CC"/>
    <w:rsid w:val="00741B82"/>
    <w:rsid w:val="00741E20"/>
    <w:rsid w:val="00742514"/>
    <w:rsid w:val="00742757"/>
    <w:rsid w:val="0074330D"/>
    <w:rsid w:val="00743F6A"/>
    <w:rsid w:val="00744FAA"/>
    <w:rsid w:val="00745062"/>
    <w:rsid w:val="00745156"/>
    <w:rsid w:val="00745DF6"/>
    <w:rsid w:val="00745EC8"/>
    <w:rsid w:val="007467D5"/>
    <w:rsid w:val="00746A12"/>
    <w:rsid w:val="0074719F"/>
    <w:rsid w:val="007471E4"/>
    <w:rsid w:val="007474F2"/>
    <w:rsid w:val="00747519"/>
    <w:rsid w:val="00747C03"/>
    <w:rsid w:val="007508D2"/>
    <w:rsid w:val="007509BF"/>
    <w:rsid w:val="007518FA"/>
    <w:rsid w:val="00751E44"/>
    <w:rsid w:val="007520F2"/>
    <w:rsid w:val="00752888"/>
    <w:rsid w:val="00753621"/>
    <w:rsid w:val="00753911"/>
    <w:rsid w:val="00754658"/>
    <w:rsid w:val="007548C7"/>
    <w:rsid w:val="00754914"/>
    <w:rsid w:val="00754AF9"/>
    <w:rsid w:val="007554EF"/>
    <w:rsid w:val="00755562"/>
    <w:rsid w:val="00755A33"/>
    <w:rsid w:val="00755FC0"/>
    <w:rsid w:val="007561F4"/>
    <w:rsid w:val="007567E3"/>
    <w:rsid w:val="00757061"/>
    <w:rsid w:val="007571CB"/>
    <w:rsid w:val="00757884"/>
    <w:rsid w:val="00760571"/>
    <w:rsid w:val="00760609"/>
    <w:rsid w:val="0076082A"/>
    <w:rsid w:val="0076161D"/>
    <w:rsid w:val="00761728"/>
    <w:rsid w:val="0076413A"/>
    <w:rsid w:val="007641CD"/>
    <w:rsid w:val="00764489"/>
    <w:rsid w:val="00764910"/>
    <w:rsid w:val="00764BBE"/>
    <w:rsid w:val="007651C8"/>
    <w:rsid w:val="0076570B"/>
    <w:rsid w:val="00765DFB"/>
    <w:rsid w:val="00765F9C"/>
    <w:rsid w:val="00767857"/>
    <w:rsid w:val="00767BBC"/>
    <w:rsid w:val="00770107"/>
    <w:rsid w:val="0077048C"/>
    <w:rsid w:val="007708C5"/>
    <w:rsid w:val="00770CED"/>
    <w:rsid w:val="00770CF6"/>
    <w:rsid w:val="00770F44"/>
    <w:rsid w:val="00771139"/>
    <w:rsid w:val="0077182D"/>
    <w:rsid w:val="00771B9E"/>
    <w:rsid w:val="007725FF"/>
    <w:rsid w:val="00772A1E"/>
    <w:rsid w:val="0077300E"/>
    <w:rsid w:val="0077352C"/>
    <w:rsid w:val="00773E6C"/>
    <w:rsid w:val="00773F4F"/>
    <w:rsid w:val="00774093"/>
    <w:rsid w:val="0077437B"/>
    <w:rsid w:val="00774572"/>
    <w:rsid w:val="00774CF9"/>
    <w:rsid w:val="00776077"/>
    <w:rsid w:val="007768CD"/>
    <w:rsid w:val="00776EDF"/>
    <w:rsid w:val="00777987"/>
    <w:rsid w:val="00780B4F"/>
    <w:rsid w:val="00780BA4"/>
    <w:rsid w:val="0078121E"/>
    <w:rsid w:val="00781433"/>
    <w:rsid w:val="0078145E"/>
    <w:rsid w:val="007815AB"/>
    <w:rsid w:val="0078193B"/>
    <w:rsid w:val="00783367"/>
    <w:rsid w:val="00783507"/>
    <w:rsid w:val="00783605"/>
    <w:rsid w:val="0078362E"/>
    <w:rsid w:val="00783639"/>
    <w:rsid w:val="00784828"/>
    <w:rsid w:val="00784857"/>
    <w:rsid w:val="007848FA"/>
    <w:rsid w:val="00784BC7"/>
    <w:rsid w:val="0078509D"/>
    <w:rsid w:val="007854EF"/>
    <w:rsid w:val="007857CD"/>
    <w:rsid w:val="00785F95"/>
    <w:rsid w:val="007865CE"/>
    <w:rsid w:val="00786C0E"/>
    <w:rsid w:val="00787DC7"/>
    <w:rsid w:val="00787DD5"/>
    <w:rsid w:val="00787E30"/>
    <w:rsid w:val="00790019"/>
    <w:rsid w:val="0079032C"/>
    <w:rsid w:val="00790BA0"/>
    <w:rsid w:val="00790E07"/>
    <w:rsid w:val="00790FEA"/>
    <w:rsid w:val="00791284"/>
    <w:rsid w:val="0079230E"/>
    <w:rsid w:val="007925D3"/>
    <w:rsid w:val="00792C20"/>
    <w:rsid w:val="00793473"/>
    <w:rsid w:val="007938F5"/>
    <w:rsid w:val="00793E7B"/>
    <w:rsid w:val="00793E8C"/>
    <w:rsid w:val="00793FB4"/>
    <w:rsid w:val="0079534C"/>
    <w:rsid w:val="0079588F"/>
    <w:rsid w:val="00795AAC"/>
    <w:rsid w:val="00796203"/>
    <w:rsid w:val="007964F7"/>
    <w:rsid w:val="007966D2"/>
    <w:rsid w:val="00796871"/>
    <w:rsid w:val="007969A6"/>
    <w:rsid w:val="00796C2A"/>
    <w:rsid w:val="00796CCA"/>
    <w:rsid w:val="0079717A"/>
    <w:rsid w:val="00797B1D"/>
    <w:rsid w:val="007A0E6D"/>
    <w:rsid w:val="007A129B"/>
    <w:rsid w:val="007A14DD"/>
    <w:rsid w:val="007A175F"/>
    <w:rsid w:val="007A21D5"/>
    <w:rsid w:val="007A2269"/>
    <w:rsid w:val="007A261A"/>
    <w:rsid w:val="007A2784"/>
    <w:rsid w:val="007A27B2"/>
    <w:rsid w:val="007A294E"/>
    <w:rsid w:val="007A2A34"/>
    <w:rsid w:val="007A2CC7"/>
    <w:rsid w:val="007A34A8"/>
    <w:rsid w:val="007A36EF"/>
    <w:rsid w:val="007A462B"/>
    <w:rsid w:val="007A4976"/>
    <w:rsid w:val="007A4EDE"/>
    <w:rsid w:val="007A5169"/>
    <w:rsid w:val="007A5842"/>
    <w:rsid w:val="007A6321"/>
    <w:rsid w:val="007A6C1B"/>
    <w:rsid w:val="007A6C2A"/>
    <w:rsid w:val="007A6DF4"/>
    <w:rsid w:val="007A6F4D"/>
    <w:rsid w:val="007A7074"/>
    <w:rsid w:val="007A7663"/>
    <w:rsid w:val="007A76E9"/>
    <w:rsid w:val="007A7701"/>
    <w:rsid w:val="007A7771"/>
    <w:rsid w:val="007A7ECD"/>
    <w:rsid w:val="007B0D73"/>
    <w:rsid w:val="007B1F2F"/>
    <w:rsid w:val="007B208B"/>
    <w:rsid w:val="007B2ED8"/>
    <w:rsid w:val="007B3103"/>
    <w:rsid w:val="007B38F9"/>
    <w:rsid w:val="007B3E8E"/>
    <w:rsid w:val="007B4317"/>
    <w:rsid w:val="007B4425"/>
    <w:rsid w:val="007B46E1"/>
    <w:rsid w:val="007B4846"/>
    <w:rsid w:val="007B5253"/>
    <w:rsid w:val="007B52CE"/>
    <w:rsid w:val="007B5BF8"/>
    <w:rsid w:val="007B5D11"/>
    <w:rsid w:val="007B6E19"/>
    <w:rsid w:val="007B73B7"/>
    <w:rsid w:val="007C0390"/>
    <w:rsid w:val="007C03D9"/>
    <w:rsid w:val="007C0EF9"/>
    <w:rsid w:val="007C1589"/>
    <w:rsid w:val="007C2537"/>
    <w:rsid w:val="007C2955"/>
    <w:rsid w:val="007C2F22"/>
    <w:rsid w:val="007C3595"/>
    <w:rsid w:val="007C37B9"/>
    <w:rsid w:val="007C3BD3"/>
    <w:rsid w:val="007C424F"/>
    <w:rsid w:val="007C458C"/>
    <w:rsid w:val="007C58E5"/>
    <w:rsid w:val="007C58F7"/>
    <w:rsid w:val="007C59B0"/>
    <w:rsid w:val="007C5B18"/>
    <w:rsid w:val="007C5CC6"/>
    <w:rsid w:val="007C632B"/>
    <w:rsid w:val="007C6AFA"/>
    <w:rsid w:val="007C736E"/>
    <w:rsid w:val="007D0323"/>
    <w:rsid w:val="007D032F"/>
    <w:rsid w:val="007D0AB4"/>
    <w:rsid w:val="007D0B64"/>
    <w:rsid w:val="007D10D1"/>
    <w:rsid w:val="007D15D8"/>
    <w:rsid w:val="007D1F6C"/>
    <w:rsid w:val="007D283F"/>
    <w:rsid w:val="007D32C5"/>
    <w:rsid w:val="007D4373"/>
    <w:rsid w:val="007D609F"/>
    <w:rsid w:val="007D6320"/>
    <w:rsid w:val="007D6DED"/>
    <w:rsid w:val="007D6F52"/>
    <w:rsid w:val="007D6FA3"/>
    <w:rsid w:val="007D7569"/>
    <w:rsid w:val="007E0E11"/>
    <w:rsid w:val="007E0EE0"/>
    <w:rsid w:val="007E0FD1"/>
    <w:rsid w:val="007E17F7"/>
    <w:rsid w:val="007E1AD4"/>
    <w:rsid w:val="007E2465"/>
    <w:rsid w:val="007E27C5"/>
    <w:rsid w:val="007E2FA6"/>
    <w:rsid w:val="007E3495"/>
    <w:rsid w:val="007E34F0"/>
    <w:rsid w:val="007E3D92"/>
    <w:rsid w:val="007E3FA5"/>
    <w:rsid w:val="007E4059"/>
    <w:rsid w:val="007E4A71"/>
    <w:rsid w:val="007E5AAD"/>
    <w:rsid w:val="007E5C23"/>
    <w:rsid w:val="007E5F1E"/>
    <w:rsid w:val="007E647C"/>
    <w:rsid w:val="007E6681"/>
    <w:rsid w:val="007E6F93"/>
    <w:rsid w:val="007E78BE"/>
    <w:rsid w:val="007F0218"/>
    <w:rsid w:val="007F14D1"/>
    <w:rsid w:val="007F299B"/>
    <w:rsid w:val="007F2A0C"/>
    <w:rsid w:val="007F2D95"/>
    <w:rsid w:val="007F32FB"/>
    <w:rsid w:val="007F35D2"/>
    <w:rsid w:val="007F36ED"/>
    <w:rsid w:val="007F3D23"/>
    <w:rsid w:val="007F4083"/>
    <w:rsid w:val="007F443B"/>
    <w:rsid w:val="007F512E"/>
    <w:rsid w:val="007F52E0"/>
    <w:rsid w:val="007F537C"/>
    <w:rsid w:val="007F53DF"/>
    <w:rsid w:val="007F541F"/>
    <w:rsid w:val="007F6247"/>
    <w:rsid w:val="007F6536"/>
    <w:rsid w:val="007F76F2"/>
    <w:rsid w:val="007F77D7"/>
    <w:rsid w:val="007F7F77"/>
    <w:rsid w:val="008004F4"/>
    <w:rsid w:val="0080056D"/>
    <w:rsid w:val="00800E3D"/>
    <w:rsid w:val="00801380"/>
    <w:rsid w:val="0080163C"/>
    <w:rsid w:val="00802020"/>
    <w:rsid w:val="008023BD"/>
    <w:rsid w:val="008028C3"/>
    <w:rsid w:val="008036DF"/>
    <w:rsid w:val="008043A3"/>
    <w:rsid w:val="0080463C"/>
    <w:rsid w:val="008046B3"/>
    <w:rsid w:val="0080488B"/>
    <w:rsid w:val="00804F95"/>
    <w:rsid w:val="00805083"/>
    <w:rsid w:val="008051ED"/>
    <w:rsid w:val="0080630A"/>
    <w:rsid w:val="00806AD6"/>
    <w:rsid w:val="00807257"/>
    <w:rsid w:val="00807E1F"/>
    <w:rsid w:val="00810366"/>
    <w:rsid w:val="00810BDC"/>
    <w:rsid w:val="00810CE8"/>
    <w:rsid w:val="00811734"/>
    <w:rsid w:val="00811765"/>
    <w:rsid w:val="00811958"/>
    <w:rsid w:val="00811AB7"/>
    <w:rsid w:val="00812014"/>
    <w:rsid w:val="0081220F"/>
    <w:rsid w:val="008126B7"/>
    <w:rsid w:val="0081277F"/>
    <w:rsid w:val="00812C9C"/>
    <w:rsid w:val="00812F9E"/>
    <w:rsid w:val="008133D8"/>
    <w:rsid w:val="008134A4"/>
    <w:rsid w:val="00813A0C"/>
    <w:rsid w:val="00813D30"/>
    <w:rsid w:val="00813FC6"/>
    <w:rsid w:val="0081459E"/>
    <w:rsid w:val="0081467F"/>
    <w:rsid w:val="008148FC"/>
    <w:rsid w:val="008163C9"/>
    <w:rsid w:val="0081728A"/>
    <w:rsid w:val="00817318"/>
    <w:rsid w:val="00820506"/>
    <w:rsid w:val="0082077B"/>
    <w:rsid w:val="008209A1"/>
    <w:rsid w:val="00821CDB"/>
    <w:rsid w:val="00821E29"/>
    <w:rsid w:val="008226A7"/>
    <w:rsid w:val="00823A23"/>
    <w:rsid w:val="00824431"/>
    <w:rsid w:val="00824A90"/>
    <w:rsid w:val="008259A0"/>
    <w:rsid w:val="00825FE2"/>
    <w:rsid w:val="00826324"/>
    <w:rsid w:val="00826673"/>
    <w:rsid w:val="008266D5"/>
    <w:rsid w:val="00826C7B"/>
    <w:rsid w:val="00827947"/>
    <w:rsid w:val="00830217"/>
    <w:rsid w:val="0083042E"/>
    <w:rsid w:val="00831293"/>
    <w:rsid w:val="00831333"/>
    <w:rsid w:val="008319CE"/>
    <w:rsid w:val="00831F08"/>
    <w:rsid w:val="008329D2"/>
    <w:rsid w:val="0083313F"/>
    <w:rsid w:val="008331F1"/>
    <w:rsid w:val="008334B5"/>
    <w:rsid w:val="008336B0"/>
    <w:rsid w:val="008336FB"/>
    <w:rsid w:val="0083411A"/>
    <w:rsid w:val="00834D03"/>
    <w:rsid w:val="008355FC"/>
    <w:rsid w:val="008358C2"/>
    <w:rsid w:val="008358C7"/>
    <w:rsid w:val="00835D21"/>
    <w:rsid w:val="008361DE"/>
    <w:rsid w:val="00836701"/>
    <w:rsid w:val="008374D0"/>
    <w:rsid w:val="008375EB"/>
    <w:rsid w:val="008378EC"/>
    <w:rsid w:val="00837EED"/>
    <w:rsid w:val="008404D3"/>
    <w:rsid w:val="008410A0"/>
    <w:rsid w:val="0084171E"/>
    <w:rsid w:val="00841DFA"/>
    <w:rsid w:val="00842041"/>
    <w:rsid w:val="00842132"/>
    <w:rsid w:val="0084219D"/>
    <w:rsid w:val="0084222D"/>
    <w:rsid w:val="00842B11"/>
    <w:rsid w:val="00842BA5"/>
    <w:rsid w:val="00842CF7"/>
    <w:rsid w:val="008432A6"/>
    <w:rsid w:val="0084334F"/>
    <w:rsid w:val="00844AE4"/>
    <w:rsid w:val="00845128"/>
    <w:rsid w:val="008451E5"/>
    <w:rsid w:val="00845302"/>
    <w:rsid w:val="00845E5C"/>
    <w:rsid w:val="00845F1A"/>
    <w:rsid w:val="00846F30"/>
    <w:rsid w:val="00847325"/>
    <w:rsid w:val="0085085D"/>
    <w:rsid w:val="008508EE"/>
    <w:rsid w:val="00850F54"/>
    <w:rsid w:val="008514FF"/>
    <w:rsid w:val="008517E1"/>
    <w:rsid w:val="008520D7"/>
    <w:rsid w:val="00852267"/>
    <w:rsid w:val="00853700"/>
    <w:rsid w:val="00854230"/>
    <w:rsid w:val="00854354"/>
    <w:rsid w:val="008543BD"/>
    <w:rsid w:val="00854CCD"/>
    <w:rsid w:val="008561EE"/>
    <w:rsid w:val="00856750"/>
    <w:rsid w:val="0085771B"/>
    <w:rsid w:val="0085795B"/>
    <w:rsid w:val="00857E2F"/>
    <w:rsid w:val="00860437"/>
    <w:rsid w:val="00860C15"/>
    <w:rsid w:val="008612E3"/>
    <w:rsid w:val="00861B42"/>
    <w:rsid w:val="00861DC8"/>
    <w:rsid w:val="00861E3A"/>
    <w:rsid w:val="0086252E"/>
    <w:rsid w:val="0086253D"/>
    <w:rsid w:val="008625F7"/>
    <w:rsid w:val="00863012"/>
    <w:rsid w:val="008632C0"/>
    <w:rsid w:val="008632C1"/>
    <w:rsid w:val="008632CF"/>
    <w:rsid w:val="00863504"/>
    <w:rsid w:val="00863C74"/>
    <w:rsid w:val="008640FE"/>
    <w:rsid w:val="00864711"/>
    <w:rsid w:val="00864B26"/>
    <w:rsid w:val="00864C20"/>
    <w:rsid w:val="00865119"/>
    <w:rsid w:val="008657FF"/>
    <w:rsid w:val="00866094"/>
    <w:rsid w:val="00866164"/>
    <w:rsid w:val="008666F9"/>
    <w:rsid w:val="00866BCC"/>
    <w:rsid w:val="00866CBB"/>
    <w:rsid w:val="008672D2"/>
    <w:rsid w:val="00867D85"/>
    <w:rsid w:val="0087134F"/>
    <w:rsid w:val="00871F27"/>
    <w:rsid w:val="00872235"/>
    <w:rsid w:val="008722AF"/>
    <w:rsid w:val="00872406"/>
    <w:rsid w:val="00873503"/>
    <w:rsid w:val="008741DE"/>
    <w:rsid w:val="0087428B"/>
    <w:rsid w:val="0087504D"/>
    <w:rsid w:val="0087580F"/>
    <w:rsid w:val="00876056"/>
    <w:rsid w:val="00876DE2"/>
    <w:rsid w:val="00876FBC"/>
    <w:rsid w:val="00877034"/>
    <w:rsid w:val="008774A4"/>
    <w:rsid w:val="0087789B"/>
    <w:rsid w:val="00877B58"/>
    <w:rsid w:val="00880447"/>
    <w:rsid w:val="00881BB0"/>
    <w:rsid w:val="00881FA7"/>
    <w:rsid w:val="008821B3"/>
    <w:rsid w:val="008822F2"/>
    <w:rsid w:val="008833E6"/>
    <w:rsid w:val="008847EC"/>
    <w:rsid w:val="00884E41"/>
    <w:rsid w:val="0088537B"/>
    <w:rsid w:val="00885586"/>
    <w:rsid w:val="008860A4"/>
    <w:rsid w:val="008860BD"/>
    <w:rsid w:val="0088656A"/>
    <w:rsid w:val="008872BC"/>
    <w:rsid w:val="00887445"/>
    <w:rsid w:val="008877AD"/>
    <w:rsid w:val="00887988"/>
    <w:rsid w:val="0089006A"/>
    <w:rsid w:val="00890446"/>
    <w:rsid w:val="0089059A"/>
    <w:rsid w:val="00890856"/>
    <w:rsid w:val="0089132A"/>
    <w:rsid w:val="0089144D"/>
    <w:rsid w:val="0089154A"/>
    <w:rsid w:val="00891A98"/>
    <w:rsid w:val="0089235E"/>
    <w:rsid w:val="00892BF5"/>
    <w:rsid w:val="00892C4E"/>
    <w:rsid w:val="00892CC2"/>
    <w:rsid w:val="00892E09"/>
    <w:rsid w:val="00893A55"/>
    <w:rsid w:val="00893E92"/>
    <w:rsid w:val="00894A5A"/>
    <w:rsid w:val="00894A90"/>
    <w:rsid w:val="00894D70"/>
    <w:rsid w:val="00894FF3"/>
    <w:rsid w:val="00895240"/>
    <w:rsid w:val="00895384"/>
    <w:rsid w:val="00895A5D"/>
    <w:rsid w:val="0089641B"/>
    <w:rsid w:val="00896768"/>
    <w:rsid w:val="00896D9E"/>
    <w:rsid w:val="008970F2"/>
    <w:rsid w:val="00897F89"/>
    <w:rsid w:val="008A0037"/>
    <w:rsid w:val="008A0A90"/>
    <w:rsid w:val="008A17C1"/>
    <w:rsid w:val="008A2913"/>
    <w:rsid w:val="008A318B"/>
    <w:rsid w:val="008A3745"/>
    <w:rsid w:val="008A37B6"/>
    <w:rsid w:val="008A3941"/>
    <w:rsid w:val="008A3B51"/>
    <w:rsid w:val="008A3C5C"/>
    <w:rsid w:val="008A3E1E"/>
    <w:rsid w:val="008A4045"/>
    <w:rsid w:val="008A45CA"/>
    <w:rsid w:val="008A4785"/>
    <w:rsid w:val="008A4FD3"/>
    <w:rsid w:val="008A5231"/>
    <w:rsid w:val="008A5537"/>
    <w:rsid w:val="008A56D5"/>
    <w:rsid w:val="008A58D6"/>
    <w:rsid w:val="008A5AE9"/>
    <w:rsid w:val="008A5DA1"/>
    <w:rsid w:val="008A61BA"/>
    <w:rsid w:val="008A69A9"/>
    <w:rsid w:val="008A70BA"/>
    <w:rsid w:val="008A7147"/>
    <w:rsid w:val="008A742F"/>
    <w:rsid w:val="008A7C2B"/>
    <w:rsid w:val="008A7F5D"/>
    <w:rsid w:val="008B0167"/>
    <w:rsid w:val="008B0F37"/>
    <w:rsid w:val="008B1410"/>
    <w:rsid w:val="008B16E5"/>
    <w:rsid w:val="008B1DF8"/>
    <w:rsid w:val="008B26AA"/>
    <w:rsid w:val="008B2D8A"/>
    <w:rsid w:val="008B34A4"/>
    <w:rsid w:val="008B3857"/>
    <w:rsid w:val="008B3CA9"/>
    <w:rsid w:val="008B4044"/>
    <w:rsid w:val="008B4CF7"/>
    <w:rsid w:val="008B58B6"/>
    <w:rsid w:val="008B6958"/>
    <w:rsid w:val="008B730B"/>
    <w:rsid w:val="008B795D"/>
    <w:rsid w:val="008B7F4E"/>
    <w:rsid w:val="008C006D"/>
    <w:rsid w:val="008C0A81"/>
    <w:rsid w:val="008C0B8A"/>
    <w:rsid w:val="008C0F4D"/>
    <w:rsid w:val="008C1AD3"/>
    <w:rsid w:val="008C207C"/>
    <w:rsid w:val="008C26D0"/>
    <w:rsid w:val="008C2D87"/>
    <w:rsid w:val="008C36C4"/>
    <w:rsid w:val="008C488A"/>
    <w:rsid w:val="008C4D8B"/>
    <w:rsid w:val="008C533E"/>
    <w:rsid w:val="008C57F1"/>
    <w:rsid w:val="008C5837"/>
    <w:rsid w:val="008C5C3E"/>
    <w:rsid w:val="008C5D38"/>
    <w:rsid w:val="008C6082"/>
    <w:rsid w:val="008C61F0"/>
    <w:rsid w:val="008C64A1"/>
    <w:rsid w:val="008C6693"/>
    <w:rsid w:val="008C6D79"/>
    <w:rsid w:val="008D058E"/>
    <w:rsid w:val="008D1BF8"/>
    <w:rsid w:val="008D1E19"/>
    <w:rsid w:val="008D1F4D"/>
    <w:rsid w:val="008D2195"/>
    <w:rsid w:val="008D237C"/>
    <w:rsid w:val="008D26BF"/>
    <w:rsid w:val="008D3194"/>
    <w:rsid w:val="008D31B1"/>
    <w:rsid w:val="008D3569"/>
    <w:rsid w:val="008D37C6"/>
    <w:rsid w:val="008D4122"/>
    <w:rsid w:val="008D5C45"/>
    <w:rsid w:val="008D5EA5"/>
    <w:rsid w:val="008D6F2D"/>
    <w:rsid w:val="008D750C"/>
    <w:rsid w:val="008D7539"/>
    <w:rsid w:val="008D7665"/>
    <w:rsid w:val="008D7ECB"/>
    <w:rsid w:val="008E0D90"/>
    <w:rsid w:val="008E1741"/>
    <w:rsid w:val="008E1CD5"/>
    <w:rsid w:val="008E20C2"/>
    <w:rsid w:val="008E2398"/>
    <w:rsid w:val="008E259F"/>
    <w:rsid w:val="008E3317"/>
    <w:rsid w:val="008E3843"/>
    <w:rsid w:val="008E3E7C"/>
    <w:rsid w:val="008E4265"/>
    <w:rsid w:val="008E4311"/>
    <w:rsid w:val="008E47D1"/>
    <w:rsid w:val="008E4BE0"/>
    <w:rsid w:val="008E5074"/>
    <w:rsid w:val="008E5449"/>
    <w:rsid w:val="008E547F"/>
    <w:rsid w:val="008E560D"/>
    <w:rsid w:val="008E59B6"/>
    <w:rsid w:val="008E5B18"/>
    <w:rsid w:val="008E6347"/>
    <w:rsid w:val="008E68D9"/>
    <w:rsid w:val="008E68DD"/>
    <w:rsid w:val="008E69F3"/>
    <w:rsid w:val="008E6A58"/>
    <w:rsid w:val="008E7C23"/>
    <w:rsid w:val="008E7CF6"/>
    <w:rsid w:val="008F02AA"/>
    <w:rsid w:val="008F03E4"/>
    <w:rsid w:val="008F04C6"/>
    <w:rsid w:val="008F0540"/>
    <w:rsid w:val="008F0791"/>
    <w:rsid w:val="008F0C08"/>
    <w:rsid w:val="008F0F64"/>
    <w:rsid w:val="008F12DE"/>
    <w:rsid w:val="008F13A8"/>
    <w:rsid w:val="008F183E"/>
    <w:rsid w:val="008F18B8"/>
    <w:rsid w:val="008F1B92"/>
    <w:rsid w:val="008F23D6"/>
    <w:rsid w:val="008F2538"/>
    <w:rsid w:val="008F4598"/>
    <w:rsid w:val="008F4C2C"/>
    <w:rsid w:val="008F4F1C"/>
    <w:rsid w:val="008F54A5"/>
    <w:rsid w:val="008F58B5"/>
    <w:rsid w:val="008F5AC5"/>
    <w:rsid w:val="008F6684"/>
    <w:rsid w:val="008F77DB"/>
    <w:rsid w:val="008F782D"/>
    <w:rsid w:val="008F78E8"/>
    <w:rsid w:val="008F78F1"/>
    <w:rsid w:val="008F7BF3"/>
    <w:rsid w:val="008F7DBA"/>
    <w:rsid w:val="00900209"/>
    <w:rsid w:val="009003F9"/>
    <w:rsid w:val="0090126E"/>
    <w:rsid w:val="00901877"/>
    <w:rsid w:val="00902CDC"/>
    <w:rsid w:val="009032AA"/>
    <w:rsid w:val="00903970"/>
    <w:rsid w:val="00903DA9"/>
    <w:rsid w:val="00904E46"/>
    <w:rsid w:val="00904FE6"/>
    <w:rsid w:val="00905AD9"/>
    <w:rsid w:val="0090601D"/>
    <w:rsid w:val="0090673A"/>
    <w:rsid w:val="00906DBB"/>
    <w:rsid w:val="009070D0"/>
    <w:rsid w:val="0090733A"/>
    <w:rsid w:val="00907785"/>
    <w:rsid w:val="00907DC4"/>
    <w:rsid w:val="00911138"/>
    <w:rsid w:val="0091172C"/>
    <w:rsid w:val="009118FA"/>
    <w:rsid w:val="00911F08"/>
    <w:rsid w:val="009123ED"/>
    <w:rsid w:val="00912A92"/>
    <w:rsid w:val="009139DA"/>
    <w:rsid w:val="00913E56"/>
    <w:rsid w:val="009140DE"/>
    <w:rsid w:val="00914170"/>
    <w:rsid w:val="009147D7"/>
    <w:rsid w:val="0091500D"/>
    <w:rsid w:val="0091563A"/>
    <w:rsid w:val="009161C1"/>
    <w:rsid w:val="0091693B"/>
    <w:rsid w:val="00917971"/>
    <w:rsid w:val="00917C4C"/>
    <w:rsid w:val="00917F75"/>
    <w:rsid w:val="009201A4"/>
    <w:rsid w:val="0092070D"/>
    <w:rsid w:val="009213F3"/>
    <w:rsid w:val="00921634"/>
    <w:rsid w:val="00921797"/>
    <w:rsid w:val="00921899"/>
    <w:rsid w:val="009219D1"/>
    <w:rsid w:val="00921CD2"/>
    <w:rsid w:val="009220FC"/>
    <w:rsid w:val="00922280"/>
    <w:rsid w:val="00922435"/>
    <w:rsid w:val="00922F30"/>
    <w:rsid w:val="00922F73"/>
    <w:rsid w:val="0092327E"/>
    <w:rsid w:val="009232CF"/>
    <w:rsid w:val="009234F2"/>
    <w:rsid w:val="00923ADA"/>
    <w:rsid w:val="00923E78"/>
    <w:rsid w:val="009246BC"/>
    <w:rsid w:val="0092528D"/>
    <w:rsid w:val="00925859"/>
    <w:rsid w:val="00925931"/>
    <w:rsid w:val="00925BF9"/>
    <w:rsid w:val="00925E9D"/>
    <w:rsid w:val="0092631F"/>
    <w:rsid w:val="0092664A"/>
    <w:rsid w:val="00926A9F"/>
    <w:rsid w:val="00926C92"/>
    <w:rsid w:val="00926CB1"/>
    <w:rsid w:val="00927CC3"/>
    <w:rsid w:val="00927E6A"/>
    <w:rsid w:val="00927FE2"/>
    <w:rsid w:val="00930498"/>
    <w:rsid w:val="0093097B"/>
    <w:rsid w:val="00931103"/>
    <w:rsid w:val="009312A4"/>
    <w:rsid w:val="0093149D"/>
    <w:rsid w:val="0093176E"/>
    <w:rsid w:val="009317C3"/>
    <w:rsid w:val="00931966"/>
    <w:rsid w:val="00931C98"/>
    <w:rsid w:val="0093206A"/>
    <w:rsid w:val="00932D08"/>
    <w:rsid w:val="009332AE"/>
    <w:rsid w:val="0093356B"/>
    <w:rsid w:val="009335F2"/>
    <w:rsid w:val="00933BA0"/>
    <w:rsid w:val="00933C9F"/>
    <w:rsid w:val="009343B3"/>
    <w:rsid w:val="00934AFF"/>
    <w:rsid w:val="009356D9"/>
    <w:rsid w:val="00935C5D"/>
    <w:rsid w:val="009367D9"/>
    <w:rsid w:val="009375C9"/>
    <w:rsid w:val="0093768E"/>
    <w:rsid w:val="009376BF"/>
    <w:rsid w:val="009400A5"/>
    <w:rsid w:val="00940408"/>
    <w:rsid w:val="00940FA3"/>
    <w:rsid w:val="00941921"/>
    <w:rsid w:val="00941D3A"/>
    <w:rsid w:val="009423BA"/>
    <w:rsid w:val="009429CA"/>
    <w:rsid w:val="00942E6B"/>
    <w:rsid w:val="00943992"/>
    <w:rsid w:val="00943CEF"/>
    <w:rsid w:val="0094476A"/>
    <w:rsid w:val="0094490E"/>
    <w:rsid w:val="00945225"/>
    <w:rsid w:val="00945380"/>
    <w:rsid w:val="0094554D"/>
    <w:rsid w:val="009464E1"/>
    <w:rsid w:val="00946A6D"/>
    <w:rsid w:val="0094711F"/>
    <w:rsid w:val="00947186"/>
    <w:rsid w:val="0094776F"/>
    <w:rsid w:val="00947BDD"/>
    <w:rsid w:val="00947C8B"/>
    <w:rsid w:val="00947F85"/>
    <w:rsid w:val="00950006"/>
    <w:rsid w:val="0095079D"/>
    <w:rsid w:val="00950DF5"/>
    <w:rsid w:val="00951067"/>
    <w:rsid w:val="009513F5"/>
    <w:rsid w:val="009515CE"/>
    <w:rsid w:val="00951938"/>
    <w:rsid w:val="00951A07"/>
    <w:rsid w:val="00951C1B"/>
    <w:rsid w:val="00951E81"/>
    <w:rsid w:val="00952868"/>
    <w:rsid w:val="00952F38"/>
    <w:rsid w:val="00953364"/>
    <w:rsid w:val="0095415E"/>
    <w:rsid w:val="009548AA"/>
    <w:rsid w:val="00954B7E"/>
    <w:rsid w:val="00954DD0"/>
    <w:rsid w:val="0095634E"/>
    <w:rsid w:val="009563FD"/>
    <w:rsid w:val="0095686A"/>
    <w:rsid w:val="00956C36"/>
    <w:rsid w:val="00956E0A"/>
    <w:rsid w:val="0096042C"/>
    <w:rsid w:val="00960904"/>
    <w:rsid w:val="00960984"/>
    <w:rsid w:val="00961230"/>
    <w:rsid w:val="00961CA6"/>
    <w:rsid w:val="0096241D"/>
    <w:rsid w:val="00962487"/>
    <w:rsid w:val="009625E7"/>
    <w:rsid w:val="009634DA"/>
    <w:rsid w:val="0096369D"/>
    <w:rsid w:val="0096386A"/>
    <w:rsid w:val="009639C7"/>
    <w:rsid w:val="00963A93"/>
    <w:rsid w:val="009640CC"/>
    <w:rsid w:val="009649FB"/>
    <w:rsid w:val="00964BF3"/>
    <w:rsid w:val="0096583A"/>
    <w:rsid w:val="009659B5"/>
    <w:rsid w:val="009659C9"/>
    <w:rsid w:val="0096668F"/>
    <w:rsid w:val="009667A3"/>
    <w:rsid w:val="00967236"/>
    <w:rsid w:val="00967C4D"/>
    <w:rsid w:val="00967CE4"/>
    <w:rsid w:val="0097017D"/>
    <w:rsid w:val="00970B11"/>
    <w:rsid w:val="00970E60"/>
    <w:rsid w:val="00970FE5"/>
    <w:rsid w:val="0097157B"/>
    <w:rsid w:val="009715E7"/>
    <w:rsid w:val="009721CD"/>
    <w:rsid w:val="00972743"/>
    <w:rsid w:val="00972927"/>
    <w:rsid w:val="00972D4E"/>
    <w:rsid w:val="00972DC1"/>
    <w:rsid w:val="009733D7"/>
    <w:rsid w:val="00973A9F"/>
    <w:rsid w:val="00974697"/>
    <w:rsid w:val="00974E2D"/>
    <w:rsid w:val="009751C5"/>
    <w:rsid w:val="009753EB"/>
    <w:rsid w:val="00976278"/>
    <w:rsid w:val="0097659E"/>
    <w:rsid w:val="00976EDD"/>
    <w:rsid w:val="009773C9"/>
    <w:rsid w:val="009774A6"/>
    <w:rsid w:val="00977A72"/>
    <w:rsid w:val="009809A2"/>
    <w:rsid w:val="00981063"/>
    <w:rsid w:val="00981129"/>
    <w:rsid w:val="009818B1"/>
    <w:rsid w:val="00982158"/>
    <w:rsid w:val="0098230A"/>
    <w:rsid w:val="00982767"/>
    <w:rsid w:val="0098277A"/>
    <w:rsid w:val="00982823"/>
    <w:rsid w:val="0098386C"/>
    <w:rsid w:val="00983CF1"/>
    <w:rsid w:val="009849A3"/>
    <w:rsid w:val="00984D98"/>
    <w:rsid w:val="009850B1"/>
    <w:rsid w:val="009851C4"/>
    <w:rsid w:val="009851DC"/>
    <w:rsid w:val="00985693"/>
    <w:rsid w:val="00985B6B"/>
    <w:rsid w:val="00985C34"/>
    <w:rsid w:val="009864D2"/>
    <w:rsid w:val="0098657E"/>
    <w:rsid w:val="009868AA"/>
    <w:rsid w:val="00986A12"/>
    <w:rsid w:val="00987205"/>
    <w:rsid w:val="00987264"/>
    <w:rsid w:val="009878DD"/>
    <w:rsid w:val="0099038B"/>
    <w:rsid w:val="00990614"/>
    <w:rsid w:val="00990743"/>
    <w:rsid w:val="009907D2"/>
    <w:rsid w:val="00990815"/>
    <w:rsid w:val="00990BFA"/>
    <w:rsid w:val="00991E50"/>
    <w:rsid w:val="00992582"/>
    <w:rsid w:val="00992BEA"/>
    <w:rsid w:val="009930C8"/>
    <w:rsid w:val="00993FAC"/>
    <w:rsid w:val="009940C8"/>
    <w:rsid w:val="00994835"/>
    <w:rsid w:val="009967F1"/>
    <w:rsid w:val="0099740B"/>
    <w:rsid w:val="0099744D"/>
    <w:rsid w:val="00997614"/>
    <w:rsid w:val="00997E2F"/>
    <w:rsid w:val="009A01A8"/>
    <w:rsid w:val="009A0D3D"/>
    <w:rsid w:val="009A1300"/>
    <w:rsid w:val="009A2BFD"/>
    <w:rsid w:val="009A2D28"/>
    <w:rsid w:val="009A2EDA"/>
    <w:rsid w:val="009A306A"/>
    <w:rsid w:val="009A381E"/>
    <w:rsid w:val="009A3DE6"/>
    <w:rsid w:val="009A4AB2"/>
    <w:rsid w:val="009A4DA6"/>
    <w:rsid w:val="009A51A6"/>
    <w:rsid w:val="009A541D"/>
    <w:rsid w:val="009A5766"/>
    <w:rsid w:val="009A579F"/>
    <w:rsid w:val="009A59E0"/>
    <w:rsid w:val="009A6102"/>
    <w:rsid w:val="009A6BE3"/>
    <w:rsid w:val="009A75F9"/>
    <w:rsid w:val="009A7642"/>
    <w:rsid w:val="009A76CA"/>
    <w:rsid w:val="009A7795"/>
    <w:rsid w:val="009A7818"/>
    <w:rsid w:val="009B00D9"/>
    <w:rsid w:val="009B0155"/>
    <w:rsid w:val="009B073A"/>
    <w:rsid w:val="009B08CE"/>
    <w:rsid w:val="009B15F6"/>
    <w:rsid w:val="009B23AA"/>
    <w:rsid w:val="009B3A13"/>
    <w:rsid w:val="009B3BF1"/>
    <w:rsid w:val="009B4E72"/>
    <w:rsid w:val="009B4ED2"/>
    <w:rsid w:val="009B4F6C"/>
    <w:rsid w:val="009B516C"/>
    <w:rsid w:val="009B5A1B"/>
    <w:rsid w:val="009B5CE8"/>
    <w:rsid w:val="009B685E"/>
    <w:rsid w:val="009B6D48"/>
    <w:rsid w:val="009B6FEB"/>
    <w:rsid w:val="009B7266"/>
    <w:rsid w:val="009B78C1"/>
    <w:rsid w:val="009B7A46"/>
    <w:rsid w:val="009B7F78"/>
    <w:rsid w:val="009C0020"/>
    <w:rsid w:val="009C0729"/>
    <w:rsid w:val="009C0978"/>
    <w:rsid w:val="009C0A38"/>
    <w:rsid w:val="009C1AD4"/>
    <w:rsid w:val="009C1F2F"/>
    <w:rsid w:val="009C2185"/>
    <w:rsid w:val="009C23AF"/>
    <w:rsid w:val="009C28A8"/>
    <w:rsid w:val="009C2C7A"/>
    <w:rsid w:val="009C2FD0"/>
    <w:rsid w:val="009C3DDF"/>
    <w:rsid w:val="009C4060"/>
    <w:rsid w:val="009C41E5"/>
    <w:rsid w:val="009C4348"/>
    <w:rsid w:val="009C4436"/>
    <w:rsid w:val="009C4B06"/>
    <w:rsid w:val="009C4C5A"/>
    <w:rsid w:val="009C4D0C"/>
    <w:rsid w:val="009C54E6"/>
    <w:rsid w:val="009C580E"/>
    <w:rsid w:val="009C5BEB"/>
    <w:rsid w:val="009C69A0"/>
    <w:rsid w:val="009C6A46"/>
    <w:rsid w:val="009C7C8E"/>
    <w:rsid w:val="009C7CD9"/>
    <w:rsid w:val="009D0435"/>
    <w:rsid w:val="009D0722"/>
    <w:rsid w:val="009D0A99"/>
    <w:rsid w:val="009D0BBF"/>
    <w:rsid w:val="009D0D5F"/>
    <w:rsid w:val="009D0DBA"/>
    <w:rsid w:val="009D0FE1"/>
    <w:rsid w:val="009D104C"/>
    <w:rsid w:val="009D17EA"/>
    <w:rsid w:val="009D1A77"/>
    <w:rsid w:val="009D1C63"/>
    <w:rsid w:val="009D20B2"/>
    <w:rsid w:val="009D297F"/>
    <w:rsid w:val="009D2D27"/>
    <w:rsid w:val="009D3368"/>
    <w:rsid w:val="009D396A"/>
    <w:rsid w:val="009D4930"/>
    <w:rsid w:val="009D4F56"/>
    <w:rsid w:val="009D6A00"/>
    <w:rsid w:val="009D6D6D"/>
    <w:rsid w:val="009D6F6F"/>
    <w:rsid w:val="009D6FA2"/>
    <w:rsid w:val="009D70DB"/>
    <w:rsid w:val="009D74B1"/>
    <w:rsid w:val="009E01C0"/>
    <w:rsid w:val="009E0634"/>
    <w:rsid w:val="009E0F2E"/>
    <w:rsid w:val="009E169C"/>
    <w:rsid w:val="009E1ED3"/>
    <w:rsid w:val="009E2E8B"/>
    <w:rsid w:val="009E3114"/>
    <w:rsid w:val="009E3ACD"/>
    <w:rsid w:val="009E400D"/>
    <w:rsid w:val="009E4A72"/>
    <w:rsid w:val="009E4F46"/>
    <w:rsid w:val="009E778E"/>
    <w:rsid w:val="009E7D40"/>
    <w:rsid w:val="009F03C6"/>
    <w:rsid w:val="009F03EC"/>
    <w:rsid w:val="009F069A"/>
    <w:rsid w:val="009F1187"/>
    <w:rsid w:val="009F11F8"/>
    <w:rsid w:val="009F1A18"/>
    <w:rsid w:val="009F1A84"/>
    <w:rsid w:val="009F27CA"/>
    <w:rsid w:val="009F37A5"/>
    <w:rsid w:val="009F4884"/>
    <w:rsid w:val="009F4AA7"/>
    <w:rsid w:val="009F4C65"/>
    <w:rsid w:val="009F5BB7"/>
    <w:rsid w:val="009F6023"/>
    <w:rsid w:val="009F68D6"/>
    <w:rsid w:val="009F6C71"/>
    <w:rsid w:val="009F6F41"/>
    <w:rsid w:val="009F72BA"/>
    <w:rsid w:val="009F7CE0"/>
    <w:rsid w:val="009F7F32"/>
    <w:rsid w:val="00A00413"/>
    <w:rsid w:val="00A00F16"/>
    <w:rsid w:val="00A01B13"/>
    <w:rsid w:val="00A01C1B"/>
    <w:rsid w:val="00A01D9F"/>
    <w:rsid w:val="00A02FA6"/>
    <w:rsid w:val="00A030EA"/>
    <w:rsid w:val="00A03920"/>
    <w:rsid w:val="00A03965"/>
    <w:rsid w:val="00A039AF"/>
    <w:rsid w:val="00A03A53"/>
    <w:rsid w:val="00A03F75"/>
    <w:rsid w:val="00A04670"/>
    <w:rsid w:val="00A047B5"/>
    <w:rsid w:val="00A04964"/>
    <w:rsid w:val="00A04FC8"/>
    <w:rsid w:val="00A05CFD"/>
    <w:rsid w:val="00A063ED"/>
    <w:rsid w:val="00A064D4"/>
    <w:rsid w:val="00A06A4F"/>
    <w:rsid w:val="00A06D2B"/>
    <w:rsid w:val="00A07749"/>
    <w:rsid w:val="00A07D95"/>
    <w:rsid w:val="00A10649"/>
    <w:rsid w:val="00A10690"/>
    <w:rsid w:val="00A10727"/>
    <w:rsid w:val="00A10820"/>
    <w:rsid w:val="00A10D6D"/>
    <w:rsid w:val="00A113C1"/>
    <w:rsid w:val="00A11954"/>
    <w:rsid w:val="00A12216"/>
    <w:rsid w:val="00A1239B"/>
    <w:rsid w:val="00A1247E"/>
    <w:rsid w:val="00A13AE6"/>
    <w:rsid w:val="00A13AF7"/>
    <w:rsid w:val="00A159CC"/>
    <w:rsid w:val="00A16150"/>
    <w:rsid w:val="00A16406"/>
    <w:rsid w:val="00A1673C"/>
    <w:rsid w:val="00A169D7"/>
    <w:rsid w:val="00A16F87"/>
    <w:rsid w:val="00A17BC8"/>
    <w:rsid w:val="00A201A2"/>
    <w:rsid w:val="00A2031B"/>
    <w:rsid w:val="00A20723"/>
    <w:rsid w:val="00A20B4F"/>
    <w:rsid w:val="00A217F1"/>
    <w:rsid w:val="00A220AF"/>
    <w:rsid w:val="00A22A2D"/>
    <w:rsid w:val="00A22D16"/>
    <w:rsid w:val="00A22F4E"/>
    <w:rsid w:val="00A235E9"/>
    <w:rsid w:val="00A239C6"/>
    <w:rsid w:val="00A24554"/>
    <w:rsid w:val="00A24FD9"/>
    <w:rsid w:val="00A250C9"/>
    <w:rsid w:val="00A2517F"/>
    <w:rsid w:val="00A25384"/>
    <w:rsid w:val="00A25451"/>
    <w:rsid w:val="00A263CD"/>
    <w:rsid w:val="00A263FB"/>
    <w:rsid w:val="00A26631"/>
    <w:rsid w:val="00A266E4"/>
    <w:rsid w:val="00A26A3F"/>
    <w:rsid w:val="00A26E51"/>
    <w:rsid w:val="00A271BB"/>
    <w:rsid w:val="00A271D1"/>
    <w:rsid w:val="00A275C7"/>
    <w:rsid w:val="00A2769A"/>
    <w:rsid w:val="00A279C3"/>
    <w:rsid w:val="00A30A3C"/>
    <w:rsid w:val="00A30FA7"/>
    <w:rsid w:val="00A317CD"/>
    <w:rsid w:val="00A31B73"/>
    <w:rsid w:val="00A321CE"/>
    <w:rsid w:val="00A321D9"/>
    <w:rsid w:val="00A324CA"/>
    <w:rsid w:val="00A326F6"/>
    <w:rsid w:val="00A32BFC"/>
    <w:rsid w:val="00A331F9"/>
    <w:rsid w:val="00A3344D"/>
    <w:rsid w:val="00A339E0"/>
    <w:rsid w:val="00A34836"/>
    <w:rsid w:val="00A34DA8"/>
    <w:rsid w:val="00A34E14"/>
    <w:rsid w:val="00A35432"/>
    <w:rsid w:val="00A35453"/>
    <w:rsid w:val="00A3587E"/>
    <w:rsid w:val="00A35C1E"/>
    <w:rsid w:val="00A36915"/>
    <w:rsid w:val="00A403F1"/>
    <w:rsid w:val="00A405B1"/>
    <w:rsid w:val="00A41885"/>
    <w:rsid w:val="00A42151"/>
    <w:rsid w:val="00A42248"/>
    <w:rsid w:val="00A43C18"/>
    <w:rsid w:val="00A43D10"/>
    <w:rsid w:val="00A43ED6"/>
    <w:rsid w:val="00A43F29"/>
    <w:rsid w:val="00A4408E"/>
    <w:rsid w:val="00A443A4"/>
    <w:rsid w:val="00A44492"/>
    <w:rsid w:val="00A44F28"/>
    <w:rsid w:val="00A4510A"/>
    <w:rsid w:val="00A45283"/>
    <w:rsid w:val="00A45E22"/>
    <w:rsid w:val="00A46691"/>
    <w:rsid w:val="00A468BC"/>
    <w:rsid w:val="00A46CEB"/>
    <w:rsid w:val="00A46DA9"/>
    <w:rsid w:val="00A47050"/>
    <w:rsid w:val="00A47E2E"/>
    <w:rsid w:val="00A5015D"/>
    <w:rsid w:val="00A50A4B"/>
    <w:rsid w:val="00A51A01"/>
    <w:rsid w:val="00A51AE5"/>
    <w:rsid w:val="00A51E22"/>
    <w:rsid w:val="00A5235D"/>
    <w:rsid w:val="00A5239C"/>
    <w:rsid w:val="00A5247B"/>
    <w:rsid w:val="00A5324D"/>
    <w:rsid w:val="00A5329D"/>
    <w:rsid w:val="00A53AD1"/>
    <w:rsid w:val="00A53D7D"/>
    <w:rsid w:val="00A53F9B"/>
    <w:rsid w:val="00A545F0"/>
    <w:rsid w:val="00A54632"/>
    <w:rsid w:val="00A54744"/>
    <w:rsid w:val="00A54ECF"/>
    <w:rsid w:val="00A54F91"/>
    <w:rsid w:val="00A56335"/>
    <w:rsid w:val="00A56643"/>
    <w:rsid w:val="00A56CC2"/>
    <w:rsid w:val="00A57CFA"/>
    <w:rsid w:val="00A57D05"/>
    <w:rsid w:val="00A609D8"/>
    <w:rsid w:val="00A61244"/>
    <w:rsid w:val="00A61E4D"/>
    <w:rsid w:val="00A630D4"/>
    <w:rsid w:val="00A631F7"/>
    <w:rsid w:val="00A63973"/>
    <w:rsid w:val="00A63F48"/>
    <w:rsid w:val="00A64430"/>
    <w:rsid w:val="00A65834"/>
    <w:rsid w:val="00A658BD"/>
    <w:rsid w:val="00A65A6D"/>
    <w:rsid w:val="00A66A3B"/>
    <w:rsid w:val="00A66DFD"/>
    <w:rsid w:val="00A673E2"/>
    <w:rsid w:val="00A676DC"/>
    <w:rsid w:val="00A678DE"/>
    <w:rsid w:val="00A700C7"/>
    <w:rsid w:val="00A70670"/>
    <w:rsid w:val="00A7132F"/>
    <w:rsid w:val="00A71A92"/>
    <w:rsid w:val="00A720FD"/>
    <w:rsid w:val="00A723DD"/>
    <w:rsid w:val="00A724EC"/>
    <w:rsid w:val="00A734AD"/>
    <w:rsid w:val="00A73D5F"/>
    <w:rsid w:val="00A74115"/>
    <w:rsid w:val="00A74599"/>
    <w:rsid w:val="00A749A1"/>
    <w:rsid w:val="00A75A43"/>
    <w:rsid w:val="00A75DEF"/>
    <w:rsid w:val="00A75E87"/>
    <w:rsid w:val="00A75FC6"/>
    <w:rsid w:val="00A766D9"/>
    <w:rsid w:val="00A77288"/>
    <w:rsid w:val="00A773FC"/>
    <w:rsid w:val="00A775D9"/>
    <w:rsid w:val="00A80AE2"/>
    <w:rsid w:val="00A80B87"/>
    <w:rsid w:val="00A81270"/>
    <w:rsid w:val="00A81830"/>
    <w:rsid w:val="00A81DC0"/>
    <w:rsid w:val="00A830B4"/>
    <w:rsid w:val="00A83359"/>
    <w:rsid w:val="00A83E25"/>
    <w:rsid w:val="00A84956"/>
    <w:rsid w:val="00A858A1"/>
    <w:rsid w:val="00A86546"/>
    <w:rsid w:val="00A86ECD"/>
    <w:rsid w:val="00A8734A"/>
    <w:rsid w:val="00A87647"/>
    <w:rsid w:val="00A90290"/>
    <w:rsid w:val="00A908D7"/>
    <w:rsid w:val="00A90AEE"/>
    <w:rsid w:val="00A90B81"/>
    <w:rsid w:val="00A91121"/>
    <w:rsid w:val="00A91A19"/>
    <w:rsid w:val="00A92249"/>
    <w:rsid w:val="00A923CF"/>
    <w:rsid w:val="00A926DE"/>
    <w:rsid w:val="00A926E0"/>
    <w:rsid w:val="00A92D41"/>
    <w:rsid w:val="00A933A6"/>
    <w:rsid w:val="00A9351F"/>
    <w:rsid w:val="00A938B1"/>
    <w:rsid w:val="00A93B12"/>
    <w:rsid w:val="00A9417E"/>
    <w:rsid w:val="00A94240"/>
    <w:rsid w:val="00A94D6F"/>
    <w:rsid w:val="00A95C63"/>
    <w:rsid w:val="00A95DF6"/>
    <w:rsid w:val="00A961F5"/>
    <w:rsid w:val="00A963BC"/>
    <w:rsid w:val="00A96662"/>
    <w:rsid w:val="00A96981"/>
    <w:rsid w:val="00A969C7"/>
    <w:rsid w:val="00A97378"/>
    <w:rsid w:val="00A973CE"/>
    <w:rsid w:val="00A973DE"/>
    <w:rsid w:val="00A97AE4"/>
    <w:rsid w:val="00AA01FF"/>
    <w:rsid w:val="00AA0243"/>
    <w:rsid w:val="00AA1C27"/>
    <w:rsid w:val="00AA21F3"/>
    <w:rsid w:val="00AA2835"/>
    <w:rsid w:val="00AA284D"/>
    <w:rsid w:val="00AA322C"/>
    <w:rsid w:val="00AA4341"/>
    <w:rsid w:val="00AA48E4"/>
    <w:rsid w:val="00AA4B82"/>
    <w:rsid w:val="00AA5E7D"/>
    <w:rsid w:val="00AA648D"/>
    <w:rsid w:val="00AA64B7"/>
    <w:rsid w:val="00AA6F76"/>
    <w:rsid w:val="00AA7204"/>
    <w:rsid w:val="00AA7685"/>
    <w:rsid w:val="00AA76D1"/>
    <w:rsid w:val="00AA7C01"/>
    <w:rsid w:val="00AB027D"/>
    <w:rsid w:val="00AB0315"/>
    <w:rsid w:val="00AB0536"/>
    <w:rsid w:val="00AB17EA"/>
    <w:rsid w:val="00AB1985"/>
    <w:rsid w:val="00AB1D93"/>
    <w:rsid w:val="00AB1E82"/>
    <w:rsid w:val="00AB2ABC"/>
    <w:rsid w:val="00AB3A5F"/>
    <w:rsid w:val="00AB3F3B"/>
    <w:rsid w:val="00AB43FC"/>
    <w:rsid w:val="00AB4B51"/>
    <w:rsid w:val="00AB4E33"/>
    <w:rsid w:val="00AB55E9"/>
    <w:rsid w:val="00AB5733"/>
    <w:rsid w:val="00AB62D7"/>
    <w:rsid w:val="00AB674C"/>
    <w:rsid w:val="00AB6DBA"/>
    <w:rsid w:val="00AB749A"/>
    <w:rsid w:val="00AB7C41"/>
    <w:rsid w:val="00AB7CC7"/>
    <w:rsid w:val="00AC0140"/>
    <w:rsid w:val="00AC015D"/>
    <w:rsid w:val="00AC0989"/>
    <w:rsid w:val="00AC0E14"/>
    <w:rsid w:val="00AC2886"/>
    <w:rsid w:val="00AC36E1"/>
    <w:rsid w:val="00AC3901"/>
    <w:rsid w:val="00AC4007"/>
    <w:rsid w:val="00AC44A7"/>
    <w:rsid w:val="00AC4D4A"/>
    <w:rsid w:val="00AC53C9"/>
    <w:rsid w:val="00AC55C8"/>
    <w:rsid w:val="00AC5740"/>
    <w:rsid w:val="00AC59E9"/>
    <w:rsid w:val="00AC5E94"/>
    <w:rsid w:val="00AC6B95"/>
    <w:rsid w:val="00AC6E6D"/>
    <w:rsid w:val="00AC7353"/>
    <w:rsid w:val="00AD086E"/>
    <w:rsid w:val="00AD0C44"/>
    <w:rsid w:val="00AD0D2C"/>
    <w:rsid w:val="00AD0FF8"/>
    <w:rsid w:val="00AD13CD"/>
    <w:rsid w:val="00AD145E"/>
    <w:rsid w:val="00AD30C0"/>
    <w:rsid w:val="00AD32F3"/>
    <w:rsid w:val="00AD3AE8"/>
    <w:rsid w:val="00AD46C0"/>
    <w:rsid w:val="00AD4A06"/>
    <w:rsid w:val="00AD4F53"/>
    <w:rsid w:val="00AD4F7C"/>
    <w:rsid w:val="00AD5146"/>
    <w:rsid w:val="00AD5257"/>
    <w:rsid w:val="00AD54C7"/>
    <w:rsid w:val="00AD62AE"/>
    <w:rsid w:val="00AD7467"/>
    <w:rsid w:val="00AE0246"/>
    <w:rsid w:val="00AE0C40"/>
    <w:rsid w:val="00AE0E67"/>
    <w:rsid w:val="00AE10C4"/>
    <w:rsid w:val="00AE11BD"/>
    <w:rsid w:val="00AE219A"/>
    <w:rsid w:val="00AE267F"/>
    <w:rsid w:val="00AE2F55"/>
    <w:rsid w:val="00AE3A4C"/>
    <w:rsid w:val="00AE3B65"/>
    <w:rsid w:val="00AE40B1"/>
    <w:rsid w:val="00AE4325"/>
    <w:rsid w:val="00AE4AC4"/>
    <w:rsid w:val="00AE4B55"/>
    <w:rsid w:val="00AE523F"/>
    <w:rsid w:val="00AE5425"/>
    <w:rsid w:val="00AE565F"/>
    <w:rsid w:val="00AE571C"/>
    <w:rsid w:val="00AE577E"/>
    <w:rsid w:val="00AE5F4B"/>
    <w:rsid w:val="00AE672E"/>
    <w:rsid w:val="00AE67D0"/>
    <w:rsid w:val="00AE6C34"/>
    <w:rsid w:val="00AE6EC4"/>
    <w:rsid w:val="00AF0D2D"/>
    <w:rsid w:val="00AF1281"/>
    <w:rsid w:val="00AF1E25"/>
    <w:rsid w:val="00AF2ED4"/>
    <w:rsid w:val="00AF335E"/>
    <w:rsid w:val="00AF364A"/>
    <w:rsid w:val="00AF37AA"/>
    <w:rsid w:val="00AF3BA7"/>
    <w:rsid w:val="00AF3BB6"/>
    <w:rsid w:val="00AF4477"/>
    <w:rsid w:val="00AF482C"/>
    <w:rsid w:val="00AF4CC6"/>
    <w:rsid w:val="00AF4E6E"/>
    <w:rsid w:val="00AF5E0B"/>
    <w:rsid w:val="00AF7BD2"/>
    <w:rsid w:val="00B00275"/>
    <w:rsid w:val="00B00341"/>
    <w:rsid w:val="00B01319"/>
    <w:rsid w:val="00B019A2"/>
    <w:rsid w:val="00B02672"/>
    <w:rsid w:val="00B028DE"/>
    <w:rsid w:val="00B030F3"/>
    <w:rsid w:val="00B035A2"/>
    <w:rsid w:val="00B0369C"/>
    <w:rsid w:val="00B0441B"/>
    <w:rsid w:val="00B04959"/>
    <w:rsid w:val="00B058F2"/>
    <w:rsid w:val="00B05DE7"/>
    <w:rsid w:val="00B05EFC"/>
    <w:rsid w:val="00B06068"/>
    <w:rsid w:val="00B065EE"/>
    <w:rsid w:val="00B069F5"/>
    <w:rsid w:val="00B07884"/>
    <w:rsid w:val="00B07886"/>
    <w:rsid w:val="00B07BFE"/>
    <w:rsid w:val="00B1034B"/>
    <w:rsid w:val="00B10356"/>
    <w:rsid w:val="00B107C8"/>
    <w:rsid w:val="00B10A39"/>
    <w:rsid w:val="00B11256"/>
    <w:rsid w:val="00B116FE"/>
    <w:rsid w:val="00B119ED"/>
    <w:rsid w:val="00B11AF9"/>
    <w:rsid w:val="00B11C85"/>
    <w:rsid w:val="00B12712"/>
    <w:rsid w:val="00B12782"/>
    <w:rsid w:val="00B12979"/>
    <w:rsid w:val="00B12A59"/>
    <w:rsid w:val="00B12DFE"/>
    <w:rsid w:val="00B133A8"/>
    <w:rsid w:val="00B133FF"/>
    <w:rsid w:val="00B13E01"/>
    <w:rsid w:val="00B13F87"/>
    <w:rsid w:val="00B143E2"/>
    <w:rsid w:val="00B149EA"/>
    <w:rsid w:val="00B14B62"/>
    <w:rsid w:val="00B14CE3"/>
    <w:rsid w:val="00B14E25"/>
    <w:rsid w:val="00B16198"/>
    <w:rsid w:val="00B16BE2"/>
    <w:rsid w:val="00B16C8B"/>
    <w:rsid w:val="00B16D05"/>
    <w:rsid w:val="00B17679"/>
    <w:rsid w:val="00B20FA0"/>
    <w:rsid w:val="00B218C9"/>
    <w:rsid w:val="00B21E9B"/>
    <w:rsid w:val="00B21F62"/>
    <w:rsid w:val="00B226BA"/>
    <w:rsid w:val="00B227A3"/>
    <w:rsid w:val="00B2285A"/>
    <w:rsid w:val="00B22926"/>
    <w:rsid w:val="00B2299D"/>
    <w:rsid w:val="00B22C68"/>
    <w:rsid w:val="00B231FE"/>
    <w:rsid w:val="00B236E2"/>
    <w:rsid w:val="00B23C37"/>
    <w:rsid w:val="00B2404C"/>
    <w:rsid w:val="00B24F1A"/>
    <w:rsid w:val="00B25740"/>
    <w:rsid w:val="00B259FB"/>
    <w:rsid w:val="00B25A6C"/>
    <w:rsid w:val="00B25BD2"/>
    <w:rsid w:val="00B25CDE"/>
    <w:rsid w:val="00B25E11"/>
    <w:rsid w:val="00B26288"/>
    <w:rsid w:val="00B2727A"/>
    <w:rsid w:val="00B27A1B"/>
    <w:rsid w:val="00B300A3"/>
    <w:rsid w:val="00B3046D"/>
    <w:rsid w:val="00B309B3"/>
    <w:rsid w:val="00B30ED3"/>
    <w:rsid w:val="00B314F1"/>
    <w:rsid w:val="00B31826"/>
    <w:rsid w:val="00B32193"/>
    <w:rsid w:val="00B3249E"/>
    <w:rsid w:val="00B328FD"/>
    <w:rsid w:val="00B3410E"/>
    <w:rsid w:val="00B34B05"/>
    <w:rsid w:val="00B34E82"/>
    <w:rsid w:val="00B3585C"/>
    <w:rsid w:val="00B35943"/>
    <w:rsid w:val="00B361B5"/>
    <w:rsid w:val="00B36331"/>
    <w:rsid w:val="00B364DA"/>
    <w:rsid w:val="00B36A23"/>
    <w:rsid w:val="00B36E9B"/>
    <w:rsid w:val="00B37C23"/>
    <w:rsid w:val="00B37C59"/>
    <w:rsid w:val="00B4081B"/>
    <w:rsid w:val="00B40CED"/>
    <w:rsid w:val="00B40F63"/>
    <w:rsid w:val="00B40FDF"/>
    <w:rsid w:val="00B41141"/>
    <w:rsid w:val="00B41477"/>
    <w:rsid w:val="00B41599"/>
    <w:rsid w:val="00B41608"/>
    <w:rsid w:val="00B420CE"/>
    <w:rsid w:val="00B426E1"/>
    <w:rsid w:val="00B428AC"/>
    <w:rsid w:val="00B42A20"/>
    <w:rsid w:val="00B42ADF"/>
    <w:rsid w:val="00B430D4"/>
    <w:rsid w:val="00B4319F"/>
    <w:rsid w:val="00B431C2"/>
    <w:rsid w:val="00B44040"/>
    <w:rsid w:val="00B44175"/>
    <w:rsid w:val="00B44C5E"/>
    <w:rsid w:val="00B45955"/>
    <w:rsid w:val="00B45FB7"/>
    <w:rsid w:val="00B4661A"/>
    <w:rsid w:val="00B46887"/>
    <w:rsid w:val="00B5050B"/>
    <w:rsid w:val="00B505CB"/>
    <w:rsid w:val="00B5075F"/>
    <w:rsid w:val="00B5105D"/>
    <w:rsid w:val="00B512B1"/>
    <w:rsid w:val="00B51BA4"/>
    <w:rsid w:val="00B51C7A"/>
    <w:rsid w:val="00B52382"/>
    <w:rsid w:val="00B526B6"/>
    <w:rsid w:val="00B53130"/>
    <w:rsid w:val="00B534F0"/>
    <w:rsid w:val="00B53762"/>
    <w:rsid w:val="00B53BF4"/>
    <w:rsid w:val="00B541B4"/>
    <w:rsid w:val="00B5539D"/>
    <w:rsid w:val="00B554EE"/>
    <w:rsid w:val="00B555A8"/>
    <w:rsid w:val="00B557C5"/>
    <w:rsid w:val="00B55D97"/>
    <w:rsid w:val="00B56364"/>
    <w:rsid w:val="00B567AB"/>
    <w:rsid w:val="00B577F4"/>
    <w:rsid w:val="00B57A63"/>
    <w:rsid w:val="00B57B76"/>
    <w:rsid w:val="00B60180"/>
    <w:rsid w:val="00B6158C"/>
    <w:rsid w:val="00B615A4"/>
    <w:rsid w:val="00B61B42"/>
    <w:rsid w:val="00B61CDA"/>
    <w:rsid w:val="00B62068"/>
    <w:rsid w:val="00B6304A"/>
    <w:rsid w:val="00B634E0"/>
    <w:rsid w:val="00B63B4C"/>
    <w:rsid w:val="00B64BD6"/>
    <w:rsid w:val="00B64F14"/>
    <w:rsid w:val="00B657AA"/>
    <w:rsid w:val="00B661EA"/>
    <w:rsid w:val="00B66601"/>
    <w:rsid w:val="00B66B74"/>
    <w:rsid w:val="00B66FB0"/>
    <w:rsid w:val="00B6711C"/>
    <w:rsid w:val="00B671EF"/>
    <w:rsid w:val="00B67B0A"/>
    <w:rsid w:val="00B70AA2"/>
    <w:rsid w:val="00B713E7"/>
    <w:rsid w:val="00B71EFB"/>
    <w:rsid w:val="00B731DA"/>
    <w:rsid w:val="00B73273"/>
    <w:rsid w:val="00B73BFF"/>
    <w:rsid w:val="00B73D90"/>
    <w:rsid w:val="00B7428B"/>
    <w:rsid w:val="00B745AF"/>
    <w:rsid w:val="00B74787"/>
    <w:rsid w:val="00B74C90"/>
    <w:rsid w:val="00B74EC7"/>
    <w:rsid w:val="00B7513F"/>
    <w:rsid w:val="00B75315"/>
    <w:rsid w:val="00B762EB"/>
    <w:rsid w:val="00B763CE"/>
    <w:rsid w:val="00B7669A"/>
    <w:rsid w:val="00B769DC"/>
    <w:rsid w:val="00B76E15"/>
    <w:rsid w:val="00B76FD5"/>
    <w:rsid w:val="00B77651"/>
    <w:rsid w:val="00B77BF1"/>
    <w:rsid w:val="00B77CBD"/>
    <w:rsid w:val="00B77D9C"/>
    <w:rsid w:val="00B804DB"/>
    <w:rsid w:val="00B808C4"/>
    <w:rsid w:val="00B81E8A"/>
    <w:rsid w:val="00B820A8"/>
    <w:rsid w:val="00B82102"/>
    <w:rsid w:val="00B823C8"/>
    <w:rsid w:val="00B82D15"/>
    <w:rsid w:val="00B836C5"/>
    <w:rsid w:val="00B84001"/>
    <w:rsid w:val="00B84FC6"/>
    <w:rsid w:val="00B857D4"/>
    <w:rsid w:val="00B866C3"/>
    <w:rsid w:val="00B8693C"/>
    <w:rsid w:val="00B871DF"/>
    <w:rsid w:val="00B8749E"/>
    <w:rsid w:val="00B87DEA"/>
    <w:rsid w:val="00B901BA"/>
    <w:rsid w:val="00B90C58"/>
    <w:rsid w:val="00B91D71"/>
    <w:rsid w:val="00B9242A"/>
    <w:rsid w:val="00B92E96"/>
    <w:rsid w:val="00B930CD"/>
    <w:rsid w:val="00B9361A"/>
    <w:rsid w:val="00B93DC6"/>
    <w:rsid w:val="00B94057"/>
    <w:rsid w:val="00B9418C"/>
    <w:rsid w:val="00B94315"/>
    <w:rsid w:val="00B9553F"/>
    <w:rsid w:val="00B95731"/>
    <w:rsid w:val="00B95E09"/>
    <w:rsid w:val="00B96390"/>
    <w:rsid w:val="00B967CB"/>
    <w:rsid w:val="00B97271"/>
    <w:rsid w:val="00B976DD"/>
    <w:rsid w:val="00B97806"/>
    <w:rsid w:val="00BA0602"/>
    <w:rsid w:val="00BA0B98"/>
    <w:rsid w:val="00BA0D73"/>
    <w:rsid w:val="00BA11DD"/>
    <w:rsid w:val="00BA1250"/>
    <w:rsid w:val="00BA16B7"/>
    <w:rsid w:val="00BA2676"/>
    <w:rsid w:val="00BA289F"/>
    <w:rsid w:val="00BA2B71"/>
    <w:rsid w:val="00BA30A2"/>
    <w:rsid w:val="00BA35BF"/>
    <w:rsid w:val="00BA39BF"/>
    <w:rsid w:val="00BA411B"/>
    <w:rsid w:val="00BA44A7"/>
    <w:rsid w:val="00BA4545"/>
    <w:rsid w:val="00BA4ECE"/>
    <w:rsid w:val="00BA52C5"/>
    <w:rsid w:val="00BA584E"/>
    <w:rsid w:val="00BA59A7"/>
    <w:rsid w:val="00BA6DAC"/>
    <w:rsid w:val="00BA6DF2"/>
    <w:rsid w:val="00BA72A2"/>
    <w:rsid w:val="00BA79CC"/>
    <w:rsid w:val="00BB13EC"/>
    <w:rsid w:val="00BB166C"/>
    <w:rsid w:val="00BB24F3"/>
    <w:rsid w:val="00BB2BCE"/>
    <w:rsid w:val="00BB3282"/>
    <w:rsid w:val="00BB4180"/>
    <w:rsid w:val="00BB5744"/>
    <w:rsid w:val="00BB5BD9"/>
    <w:rsid w:val="00BB6413"/>
    <w:rsid w:val="00BB64BE"/>
    <w:rsid w:val="00BB66DD"/>
    <w:rsid w:val="00BB6A60"/>
    <w:rsid w:val="00BB6C14"/>
    <w:rsid w:val="00BB7032"/>
    <w:rsid w:val="00BB70D2"/>
    <w:rsid w:val="00BB76B2"/>
    <w:rsid w:val="00BB7FBE"/>
    <w:rsid w:val="00BC028F"/>
    <w:rsid w:val="00BC0629"/>
    <w:rsid w:val="00BC14DF"/>
    <w:rsid w:val="00BC17F8"/>
    <w:rsid w:val="00BC197D"/>
    <w:rsid w:val="00BC1C56"/>
    <w:rsid w:val="00BC1EC2"/>
    <w:rsid w:val="00BC1F04"/>
    <w:rsid w:val="00BC1F99"/>
    <w:rsid w:val="00BC27BD"/>
    <w:rsid w:val="00BC2BD1"/>
    <w:rsid w:val="00BC2E60"/>
    <w:rsid w:val="00BC31CF"/>
    <w:rsid w:val="00BC3483"/>
    <w:rsid w:val="00BC3B29"/>
    <w:rsid w:val="00BC3E9D"/>
    <w:rsid w:val="00BC3EB4"/>
    <w:rsid w:val="00BC4561"/>
    <w:rsid w:val="00BC46E5"/>
    <w:rsid w:val="00BC4C36"/>
    <w:rsid w:val="00BC585F"/>
    <w:rsid w:val="00BC62BC"/>
    <w:rsid w:val="00BC7128"/>
    <w:rsid w:val="00BC76BF"/>
    <w:rsid w:val="00BC7897"/>
    <w:rsid w:val="00BC7917"/>
    <w:rsid w:val="00BC7C83"/>
    <w:rsid w:val="00BD0743"/>
    <w:rsid w:val="00BD0915"/>
    <w:rsid w:val="00BD1000"/>
    <w:rsid w:val="00BD1948"/>
    <w:rsid w:val="00BD1E78"/>
    <w:rsid w:val="00BD24A1"/>
    <w:rsid w:val="00BD2885"/>
    <w:rsid w:val="00BD415E"/>
    <w:rsid w:val="00BD45FC"/>
    <w:rsid w:val="00BD462A"/>
    <w:rsid w:val="00BD4987"/>
    <w:rsid w:val="00BD5257"/>
    <w:rsid w:val="00BD527E"/>
    <w:rsid w:val="00BD56FC"/>
    <w:rsid w:val="00BD5B88"/>
    <w:rsid w:val="00BD5E1C"/>
    <w:rsid w:val="00BD63DB"/>
    <w:rsid w:val="00BD6F52"/>
    <w:rsid w:val="00BD7723"/>
    <w:rsid w:val="00BD7C9C"/>
    <w:rsid w:val="00BE09B3"/>
    <w:rsid w:val="00BE138D"/>
    <w:rsid w:val="00BE1B4B"/>
    <w:rsid w:val="00BE1C5B"/>
    <w:rsid w:val="00BE1EAD"/>
    <w:rsid w:val="00BE2F61"/>
    <w:rsid w:val="00BE3226"/>
    <w:rsid w:val="00BE3EA0"/>
    <w:rsid w:val="00BE47C4"/>
    <w:rsid w:val="00BE4BED"/>
    <w:rsid w:val="00BE5896"/>
    <w:rsid w:val="00BE6056"/>
    <w:rsid w:val="00BE6294"/>
    <w:rsid w:val="00BE6749"/>
    <w:rsid w:val="00BE6E45"/>
    <w:rsid w:val="00BE77CF"/>
    <w:rsid w:val="00BE7846"/>
    <w:rsid w:val="00BE794E"/>
    <w:rsid w:val="00BE7DB2"/>
    <w:rsid w:val="00BF0386"/>
    <w:rsid w:val="00BF0EDA"/>
    <w:rsid w:val="00BF1EBB"/>
    <w:rsid w:val="00BF21D9"/>
    <w:rsid w:val="00BF2A39"/>
    <w:rsid w:val="00BF2BC8"/>
    <w:rsid w:val="00BF2D08"/>
    <w:rsid w:val="00BF2F76"/>
    <w:rsid w:val="00BF397F"/>
    <w:rsid w:val="00BF3EF8"/>
    <w:rsid w:val="00BF44D9"/>
    <w:rsid w:val="00BF628E"/>
    <w:rsid w:val="00BF6570"/>
    <w:rsid w:val="00BF698E"/>
    <w:rsid w:val="00BF6C5B"/>
    <w:rsid w:val="00BF709D"/>
    <w:rsid w:val="00BF7DB8"/>
    <w:rsid w:val="00C0093F"/>
    <w:rsid w:val="00C00DAC"/>
    <w:rsid w:val="00C00F79"/>
    <w:rsid w:val="00C02620"/>
    <w:rsid w:val="00C02627"/>
    <w:rsid w:val="00C02839"/>
    <w:rsid w:val="00C02F14"/>
    <w:rsid w:val="00C032DC"/>
    <w:rsid w:val="00C035D6"/>
    <w:rsid w:val="00C0458E"/>
    <w:rsid w:val="00C04985"/>
    <w:rsid w:val="00C04A7E"/>
    <w:rsid w:val="00C04B08"/>
    <w:rsid w:val="00C0610E"/>
    <w:rsid w:val="00C06785"/>
    <w:rsid w:val="00C06994"/>
    <w:rsid w:val="00C06AC7"/>
    <w:rsid w:val="00C06DEB"/>
    <w:rsid w:val="00C06DFD"/>
    <w:rsid w:val="00C07CD6"/>
    <w:rsid w:val="00C07D80"/>
    <w:rsid w:val="00C07E38"/>
    <w:rsid w:val="00C07FF4"/>
    <w:rsid w:val="00C10DC6"/>
    <w:rsid w:val="00C122FB"/>
    <w:rsid w:val="00C127BE"/>
    <w:rsid w:val="00C134A0"/>
    <w:rsid w:val="00C13598"/>
    <w:rsid w:val="00C1394E"/>
    <w:rsid w:val="00C13A93"/>
    <w:rsid w:val="00C142F7"/>
    <w:rsid w:val="00C14A2F"/>
    <w:rsid w:val="00C14BC1"/>
    <w:rsid w:val="00C15428"/>
    <w:rsid w:val="00C160C2"/>
    <w:rsid w:val="00C16300"/>
    <w:rsid w:val="00C16422"/>
    <w:rsid w:val="00C16685"/>
    <w:rsid w:val="00C16947"/>
    <w:rsid w:val="00C16F0D"/>
    <w:rsid w:val="00C17260"/>
    <w:rsid w:val="00C173E8"/>
    <w:rsid w:val="00C17B1C"/>
    <w:rsid w:val="00C17BF3"/>
    <w:rsid w:val="00C205E8"/>
    <w:rsid w:val="00C20795"/>
    <w:rsid w:val="00C20E36"/>
    <w:rsid w:val="00C20F95"/>
    <w:rsid w:val="00C21221"/>
    <w:rsid w:val="00C214C9"/>
    <w:rsid w:val="00C2154C"/>
    <w:rsid w:val="00C22675"/>
    <w:rsid w:val="00C237B8"/>
    <w:rsid w:val="00C23B5C"/>
    <w:rsid w:val="00C23D80"/>
    <w:rsid w:val="00C23EB8"/>
    <w:rsid w:val="00C2433F"/>
    <w:rsid w:val="00C24F48"/>
    <w:rsid w:val="00C2566D"/>
    <w:rsid w:val="00C25B49"/>
    <w:rsid w:val="00C25CD3"/>
    <w:rsid w:val="00C26361"/>
    <w:rsid w:val="00C26445"/>
    <w:rsid w:val="00C265CA"/>
    <w:rsid w:val="00C27130"/>
    <w:rsid w:val="00C27EA1"/>
    <w:rsid w:val="00C30054"/>
    <w:rsid w:val="00C30291"/>
    <w:rsid w:val="00C3123C"/>
    <w:rsid w:val="00C312F7"/>
    <w:rsid w:val="00C31DBC"/>
    <w:rsid w:val="00C3264E"/>
    <w:rsid w:val="00C32776"/>
    <w:rsid w:val="00C32C2E"/>
    <w:rsid w:val="00C344CF"/>
    <w:rsid w:val="00C34D92"/>
    <w:rsid w:val="00C34EBB"/>
    <w:rsid w:val="00C3531B"/>
    <w:rsid w:val="00C35B18"/>
    <w:rsid w:val="00C35CD0"/>
    <w:rsid w:val="00C35EC0"/>
    <w:rsid w:val="00C362A1"/>
    <w:rsid w:val="00C366E9"/>
    <w:rsid w:val="00C3675B"/>
    <w:rsid w:val="00C37B1B"/>
    <w:rsid w:val="00C4018C"/>
    <w:rsid w:val="00C404B3"/>
    <w:rsid w:val="00C406EB"/>
    <w:rsid w:val="00C42997"/>
    <w:rsid w:val="00C433BC"/>
    <w:rsid w:val="00C43942"/>
    <w:rsid w:val="00C43E43"/>
    <w:rsid w:val="00C43F68"/>
    <w:rsid w:val="00C448F5"/>
    <w:rsid w:val="00C44A0C"/>
    <w:rsid w:val="00C44A27"/>
    <w:rsid w:val="00C44FED"/>
    <w:rsid w:val="00C452D1"/>
    <w:rsid w:val="00C45AEF"/>
    <w:rsid w:val="00C45B1E"/>
    <w:rsid w:val="00C45F90"/>
    <w:rsid w:val="00C465F6"/>
    <w:rsid w:val="00C46F38"/>
    <w:rsid w:val="00C505D2"/>
    <w:rsid w:val="00C50EFE"/>
    <w:rsid w:val="00C510DA"/>
    <w:rsid w:val="00C516BF"/>
    <w:rsid w:val="00C51CD5"/>
    <w:rsid w:val="00C52908"/>
    <w:rsid w:val="00C5349D"/>
    <w:rsid w:val="00C53827"/>
    <w:rsid w:val="00C53CA3"/>
    <w:rsid w:val="00C5418F"/>
    <w:rsid w:val="00C549A7"/>
    <w:rsid w:val="00C54A46"/>
    <w:rsid w:val="00C551AE"/>
    <w:rsid w:val="00C55B07"/>
    <w:rsid w:val="00C566CE"/>
    <w:rsid w:val="00C56713"/>
    <w:rsid w:val="00C56A66"/>
    <w:rsid w:val="00C56AC1"/>
    <w:rsid w:val="00C56BC7"/>
    <w:rsid w:val="00C57C79"/>
    <w:rsid w:val="00C608E6"/>
    <w:rsid w:val="00C60FFE"/>
    <w:rsid w:val="00C611EB"/>
    <w:rsid w:val="00C6143B"/>
    <w:rsid w:val="00C61867"/>
    <w:rsid w:val="00C631D0"/>
    <w:rsid w:val="00C632C0"/>
    <w:rsid w:val="00C63BA9"/>
    <w:rsid w:val="00C63ED7"/>
    <w:rsid w:val="00C64FA7"/>
    <w:rsid w:val="00C6549E"/>
    <w:rsid w:val="00C6572F"/>
    <w:rsid w:val="00C66441"/>
    <w:rsid w:val="00C676E8"/>
    <w:rsid w:val="00C677AD"/>
    <w:rsid w:val="00C70641"/>
    <w:rsid w:val="00C709AA"/>
    <w:rsid w:val="00C70AD3"/>
    <w:rsid w:val="00C711D2"/>
    <w:rsid w:val="00C7148F"/>
    <w:rsid w:val="00C71A3A"/>
    <w:rsid w:val="00C72434"/>
    <w:rsid w:val="00C7272B"/>
    <w:rsid w:val="00C72B87"/>
    <w:rsid w:val="00C733E2"/>
    <w:rsid w:val="00C73458"/>
    <w:rsid w:val="00C73A20"/>
    <w:rsid w:val="00C73E99"/>
    <w:rsid w:val="00C745C7"/>
    <w:rsid w:val="00C7583C"/>
    <w:rsid w:val="00C763CA"/>
    <w:rsid w:val="00C7645F"/>
    <w:rsid w:val="00C7688E"/>
    <w:rsid w:val="00C77695"/>
    <w:rsid w:val="00C7773D"/>
    <w:rsid w:val="00C77A5C"/>
    <w:rsid w:val="00C77A70"/>
    <w:rsid w:val="00C77D79"/>
    <w:rsid w:val="00C8112D"/>
    <w:rsid w:val="00C81157"/>
    <w:rsid w:val="00C81213"/>
    <w:rsid w:val="00C81B13"/>
    <w:rsid w:val="00C81FE2"/>
    <w:rsid w:val="00C82868"/>
    <w:rsid w:val="00C828B0"/>
    <w:rsid w:val="00C82B19"/>
    <w:rsid w:val="00C8350D"/>
    <w:rsid w:val="00C839FA"/>
    <w:rsid w:val="00C83BAF"/>
    <w:rsid w:val="00C83CBF"/>
    <w:rsid w:val="00C83E97"/>
    <w:rsid w:val="00C83F5A"/>
    <w:rsid w:val="00C840E4"/>
    <w:rsid w:val="00C8452F"/>
    <w:rsid w:val="00C84D31"/>
    <w:rsid w:val="00C84FE2"/>
    <w:rsid w:val="00C8592A"/>
    <w:rsid w:val="00C85942"/>
    <w:rsid w:val="00C85A88"/>
    <w:rsid w:val="00C85B30"/>
    <w:rsid w:val="00C86379"/>
    <w:rsid w:val="00C86865"/>
    <w:rsid w:val="00C87143"/>
    <w:rsid w:val="00C87E5A"/>
    <w:rsid w:val="00C9071A"/>
    <w:rsid w:val="00C908BE"/>
    <w:rsid w:val="00C9125E"/>
    <w:rsid w:val="00C918EB"/>
    <w:rsid w:val="00C919C9"/>
    <w:rsid w:val="00C919D6"/>
    <w:rsid w:val="00C91DBB"/>
    <w:rsid w:val="00C934F3"/>
    <w:rsid w:val="00C937C8"/>
    <w:rsid w:val="00C93E83"/>
    <w:rsid w:val="00C9408F"/>
    <w:rsid w:val="00C94182"/>
    <w:rsid w:val="00C94483"/>
    <w:rsid w:val="00C9462C"/>
    <w:rsid w:val="00C947FA"/>
    <w:rsid w:val="00C949FC"/>
    <w:rsid w:val="00C94E02"/>
    <w:rsid w:val="00C95C74"/>
    <w:rsid w:val="00C974E2"/>
    <w:rsid w:val="00CA056C"/>
    <w:rsid w:val="00CA06C5"/>
    <w:rsid w:val="00CA0941"/>
    <w:rsid w:val="00CA0953"/>
    <w:rsid w:val="00CA0F98"/>
    <w:rsid w:val="00CA11E0"/>
    <w:rsid w:val="00CA1771"/>
    <w:rsid w:val="00CA22F0"/>
    <w:rsid w:val="00CA25EA"/>
    <w:rsid w:val="00CA26D4"/>
    <w:rsid w:val="00CA2E3C"/>
    <w:rsid w:val="00CA3585"/>
    <w:rsid w:val="00CA35F2"/>
    <w:rsid w:val="00CA3FA4"/>
    <w:rsid w:val="00CA3FB3"/>
    <w:rsid w:val="00CA4702"/>
    <w:rsid w:val="00CA49A7"/>
    <w:rsid w:val="00CA5113"/>
    <w:rsid w:val="00CA6DD4"/>
    <w:rsid w:val="00CA70C2"/>
    <w:rsid w:val="00CA7627"/>
    <w:rsid w:val="00CA7C38"/>
    <w:rsid w:val="00CA7CE8"/>
    <w:rsid w:val="00CA7DB3"/>
    <w:rsid w:val="00CB0049"/>
    <w:rsid w:val="00CB0383"/>
    <w:rsid w:val="00CB0D03"/>
    <w:rsid w:val="00CB119D"/>
    <w:rsid w:val="00CB2DDA"/>
    <w:rsid w:val="00CB32D3"/>
    <w:rsid w:val="00CB377C"/>
    <w:rsid w:val="00CB3968"/>
    <w:rsid w:val="00CB3A38"/>
    <w:rsid w:val="00CB3D52"/>
    <w:rsid w:val="00CB3E61"/>
    <w:rsid w:val="00CB475F"/>
    <w:rsid w:val="00CB497D"/>
    <w:rsid w:val="00CB4D8D"/>
    <w:rsid w:val="00CB5A00"/>
    <w:rsid w:val="00CB5F15"/>
    <w:rsid w:val="00CB6304"/>
    <w:rsid w:val="00CB6EA5"/>
    <w:rsid w:val="00CB79F3"/>
    <w:rsid w:val="00CB7EB0"/>
    <w:rsid w:val="00CC0E40"/>
    <w:rsid w:val="00CC119C"/>
    <w:rsid w:val="00CC11B3"/>
    <w:rsid w:val="00CC11B4"/>
    <w:rsid w:val="00CC1373"/>
    <w:rsid w:val="00CC1394"/>
    <w:rsid w:val="00CC1C7E"/>
    <w:rsid w:val="00CC2854"/>
    <w:rsid w:val="00CC30EC"/>
    <w:rsid w:val="00CC375D"/>
    <w:rsid w:val="00CC411C"/>
    <w:rsid w:val="00CC5113"/>
    <w:rsid w:val="00CC548C"/>
    <w:rsid w:val="00CC5B1C"/>
    <w:rsid w:val="00CC5E0E"/>
    <w:rsid w:val="00CC5F74"/>
    <w:rsid w:val="00CC6B15"/>
    <w:rsid w:val="00CC6D52"/>
    <w:rsid w:val="00CC73D9"/>
    <w:rsid w:val="00CC7699"/>
    <w:rsid w:val="00CC76FC"/>
    <w:rsid w:val="00CD03EA"/>
    <w:rsid w:val="00CD04A3"/>
    <w:rsid w:val="00CD0982"/>
    <w:rsid w:val="00CD13D6"/>
    <w:rsid w:val="00CD14AE"/>
    <w:rsid w:val="00CD15EE"/>
    <w:rsid w:val="00CD180C"/>
    <w:rsid w:val="00CD1BC2"/>
    <w:rsid w:val="00CD232B"/>
    <w:rsid w:val="00CD2352"/>
    <w:rsid w:val="00CD2B68"/>
    <w:rsid w:val="00CD2B80"/>
    <w:rsid w:val="00CD2BD7"/>
    <w:rsid w:val="00CD2DD4"/>
    <w:rsid w:val="00CD2E1C"/>
    <w:rsid w:val="00CD2EF5"/>
    <w:rsid w:val="00CD3614"/>
    <w:rsid w:val="00CD409A"/>
    <w:rsid w:val="00CD412F"/>
    <w:rsid w:val="00CD4205"/>
    <w:rsid w:val="00CD4BC6"/>
    <w:rsid w:val="00CD4C10"/>
    <w:rsid w:val="00CD52BD"/>
    <w:rsid w:val="00CD54F9"/>
    <w:rsid w:val="00CD5573"/>
    <w:rsid w:val="00CD68E1"/>
    <w:rsid w:val="00CD696A"/>
    <w:rsid w:val="00CD70AA"/>
    <w:rsid w:val="00CD7334"/>
    <w:rsid w:val="00CD75E8"/>
    <w:rsid w:val="00CE06A6"/>
    <w:rsid w:val="00CE0850"/>
    <w:rsid w:val="00CE08D7"/>
    <w:rsid w:val="00CE13CC"/>
    <w:rsid w:val="00CE1438"/>
    <w:rsid w:val="00CE1BF2"/>
    <w:rsid w:val="00CE1D56"/>
    <w:rsid w:val="00CE2746"/>
    <w:rsid w:val="00CE27A2"/>
    <w:rsid w:val="00CE28ED"/>
    <w:rsid w:val="00CE2B17"/>
    <w:rsid w:val="00CE2B3E"/>
    <w:rsid w:val="00CE2C20"/>
    <w:rsid w:val="00CE2ECF"/>
    <w:rsid w:val="00CE3039"/>
    <w:rsid w:val="00CE3A68"/>
    <w:rsid w:val="00CE3C16"/>
    <w:rsid w:val="00CE43FD"/>
    <w:rsid w:val="00CE458D"/>
    <w:rsid w:val="00CE4ACB"/>
    <w:rsid w:val="00CE625B"/>
    <w:rsid w:val="00CE6DEC"/>
    <w:rsid w:val="00CE76A7"/>
    <w:rsid w:val="00CE79F8"/>
    <w:rsid w:val="00CE7FBE"/>
    <w:rsid w:val="00CF055A"/>
    <w:rsid w:val="00CF0B1F"/>
    <w:rsid w:val="00CF0B73"/>
    <w:rsid w:val="00CF1762"/>
    <w:rsid w:val="00CF35D0"/>
    <w:rsid w:val="00CF3E14"/>
    <w:rsid w:val="00CF577F"/>
    <w:rsid w:val="00CF5883"/>
    <w:rsid w:val="00CF59D0"/>
    <w:rsid w:val="00CF5C14"/>
    <w:rsid w:val="00CF643B"/>
    <w:rsid w:val="00CF6C33"/>
    <w:rsid w:val="00CF6F6D"/>
    <w:rsid w:val="00CF74DD"/>
    <w:rsid w:val="00CF74F2"/>
    <w:rsid w:val="00CF78DA"/>
    <w:rsid w:val="00D00DF4"/>
    <w:rsid w:val="00D00E56"/>
    <w:rsid w:val="00D015A7"/>
    <w:rsid w:val="00D0166B"/>
    <w:rsid w:val="00D02140"/>
    <w:rsid w:val="00D02EB9"/>
    <w:rsid w:val="00D0370B"/>
    <w:rsid w:val="00D039BD"/>
    <w:rsid w:val="00D03D8E"/>
    <w:rsid w:val="00D03E57"/>
    <w:rsid w:val="00D03F74"/>
    <w:rsid w:val="00D04416"/>
    <w:rsid w:val="00D04901"/>
    <w:rsid w:val="00D04A32"/>
    <w:rsid w:val="00D04D58"/>
    <w:rsid w:val="00D05EBB"/>
    <w:rsid w:val="00D063A6"/>
    <w:rsid w:val="00D06906"/>
    <w:rsid w:val="00D06940"/>
    <w:rsid w:val="00D07E02"/>
    <w:rsid w:val="00D10112"/>
    <w:rsid w:val="00D1026F"/>
    <w:rsid w:val="00D10318"/>
    <w:rsid w:val="00D10C76"/>
    <w:rsid w:val="00D10D07"/>
    <w:rsid w:val="00D10DB0"/>
    <w:rsid w:val="00D11388"/>
    <w:rsid w:val="00D116F4"/>
    <w:rsid w:val="00D11A48"/>
    <w:rsid w:val="00D11F55"/>
    <w:rsid w:val="00D1215F"/>
    <w:rsid w:val="00D12683"/>
    <w:rsid w:val="00D12945"/>
    <w:rsid w:val="00D12C5B"/>
    <w:rsid w:val="00D12C99"/>
    <w:rsid w:val="00D12DF6"/>
    <w:rsid w:val="00D12F5F"/>
    <w:rsid w:val="00D13B7D"/>
    <w:rsid w:val="00D13D1A"/>
    <w:rsid w:val="00D13D22"/>
    <w:rsid w:val="00D14537"/>
    <w:rsid w:val="00D14BE8"/>
    <w:rsid w:val="00D15809"/>
    <w:rsid w:val="00D15910"/>
    <w:rsid w:val="00D15DDB"/>
    <w:rsid w:val="00D1608C"/>
    <w:rsid w:val="00D16A16"/>
    <w:rsid w:val="00D172B1"/>
    <w:rsid w:val="00D174A0"/>
    <w:rsid w:val="00D17BD7"/>
    <w:rsid w:val="00D2047D"/>
    <w:rsid w:val="00D20D37"/>
    <w:rsid w:val="00D211AE"/>
    <w:rsid w:val="00D213EB"/>
    <w:rsid w:val="00D217A7"/>
    <w:rsid w:val="00D21DF1"/>
    <w:rsid w:val="00D2242E"/>
    <w:rsid w:val="00D23466"/>
    <w:rsid w:val="00D234B5"/>
    <w:rsid w:val="00D23534"/>
    <w:rsid w:val="00D240D0"/>
    <w:rsid w:val="00D24948"/>
    <w:rsid w:val="00D252EE"/>
    <w:rsid w:val="00D25472"/>
    <w:rsid w:val="00D25E1B"/>
    <w:rsid w:val="00D2642C"/>
    <w:rsid w:val="00D26E5E"/>
    <w:rsid w:val="00D27206"/>
    <w:rsid w:val="00D27E41"/>
    <w:rsid w:val="00D301F3"/>
    <w:rsid w:val="00D30CFF"/>
    <w:rsid w:val="00D31587"/>
    <w:rsid w:val="00D31C9B"/>
    <w:rsid w:val="00D32D8D"/>
    <w:rsid w:val="00D3460A"/>
    <w:rsid w:val="00D3471A"/>
    <w:rsid w:val="00D35D71"/>
    <w:rsid w:val="00D36138"/>
    <w:rsid w:val="00D3671F"/>
    <w:rsid w:val="00D36CC0"/>
    <w:rsid w:val="00D36EA2"/>
    <w:rsid w:val="00D3759A"/>
    <w:rsid w:val="00D37815"/>
    <w:rsid w:val="00D3787F"/>
    <w:rsid w:val="00D379D4"/>
    <w:rsid w:val="00D4024A"/>
    <w:rsid w:val="00D403B6"/>
    <w:rsid w:val="00D40AD6"/>
    <w:rsid w:val="00D41106"/>
    <w:rsid w:val="00D41583"/>
    <w:rsid w:val="00D41D5C"/>
    <w:rsid w:val="00D41E63"/>
    <w:rsid w:val="00D41F06"/>
    <w:rsid w:val="00D41FBB"/>
    <w:rsid w:val="00D42425"/>
    <w:rsid w:val="00D42821"/>
    <w:rsid w:val="00D42B6F"/>
    <w:rsid w:val="00D42C11"/>
    <w:rsid w:val="00D42D2E"/>
    <w:rsid w:val="00D42EE7"/>
    <w:rsid w:val="00D44C15"/>
    <w:rsid w:val="00D44DFA"/>
    <w:rsid w:val="00D44F94"/>
    <w:rsid w:val="00D4545F"/>
    <w:rsid w:val="00D47B71"/>
    <w:rsid w:val="00D506FD"/>
    <w:rsid w:val="00D513F3"/>
    <w:rsid w:val="00D5212D"/>
    <w:rsid w:val="00D52A83"/>
    <w:rsid w:val="00D52C4D"/>
    <w:rsid w:val="00D52D58"/>
    <w:rsid w:val="00D5304C"/>
    <w:rsid w:val="00D5389E"/>
    <w:rsid w:val="00D53A0E"/>
    <w:rsid w:val="00D54126"/>
    <w:rsid w:val="00D54180"/>
    <w:rsid w:val="00D54197"/>
    <w:rsid w:val="00D543B3"/>
    <w:rsid w:val="00D54605"/>
    <w:rsid w:val="00D54A5B"/>
    <w:rsid w:val="00D54D49"/>
    <w:rsid w:val="00D550A5"/>
    <w:rsid w:val="00D554A1"/>
    <w:rsid w:val="00D5556F"/>
    <w:rsid w:val="00D5562E"/>
    <w:rsid w:val="00D557DE"/>
    <w:rsid w:val="00D55917"/>
    <w:rsid w:val="00D55AB0"/>
    <w:rsid w:val="00D5626B"/>
    <w:rsid w:val="00D571DA"/>
    <w:rsid w:val="00D5739A"/>
    <w:rsid w:val="00D57822"/>
    <w:rsid w:val="00D57C92"/>
    <w:rsid w:val="00D57CC4"/>
    <w:rsid w:val="00D60536"/>
    <w:rsid w:val="00D60623"/>
    <w:rsid w:val="00D61453"/>
    <w:rsid w:val="00D616FF"/>
    <w:rsid w:val="00D61BC2"/>
    <w:rsid w:val="00D62EF5"/>
    <w:rsid w:val="00D63242"/>
    <w:rsid w:val="00D63244"/>
    <w:rsid w:val="00D63300"/>
    <w:rsid w:val="00D63902"/>
    <w:rsid w:val="00D639D2"/>
    <w:rsid w:val="00D64856"/>
    <w:rsid w:val="00D64AFE"/>
    <w:rsid w:val="00D64E7E"/>
    <w:rsid w:val="00D6621F"/>
    <w:rsid w:val="00D66C21"/>
    <w:rsid w:val="00D6791B"/>
    <w:rsid w:val="00D67FB6"/>
    <w:rsid w:val="00D704D6"/>
    <w:rsid w:val="00D70E56"/>
    <w:rsid w:val="00D70E9C"/>
    <w:rsid w:val="00D7211A"/>
    <w:rsid w:val="00D727D6"/>
    <w:rsid w:val="00D73042"/>
    <w:rsid w:val="00D74560"/>
    <w:rsid w:val="00D74A2B"/>
    <w:rsid w:val="00D74C82"/>
    <w:rsid w:val="00D74E4E"/>
    <w:rsid w:val="00D7581F"/>
    <w:rsid w:val="00D7643D"/>
    <w:rsid w:val="00D76531"/>
    <w:rsid w:val="00D8068C"/>
    <w:rsid w:val="00D806C7"/>
    <w:rsid w:val="00D80F23"/>
    <w:rsid w:val="00D80F2B"/>
    <w:rsid w:val="00D81221"/>
    <w:rsid w:val="00D818FB"/>
    <w:rsid w:val="00D820FA"/>
    <w:rsid w:val="00D82617"/>
    <w:rsid w:val="00D83216"/>
    <w:rsid w:val="00D83332"/>
    <w:rsid w:val="00D83911"/>
    <w:rsid w:val="00D83A62"/>
    <w:rsid w:val="00D84AEC"/>
    <w:rsid w:val="00D84DE8"/>
    <w:rsid w:val="00D85F6E"/>
    <w:rsid w:val="00D85FB5"/>
    <w:rsid w:val="00D86993"/>
    <w:rsid w:val="00D86C93"/>
    <w:rsid w:val="00D86E80"/>
    <w:rsid w:val="00D86FD1"/>
    <w:rsid w:val="00D878B4"/>
    <w:rsid w:val="00D904B5"/>
    <w:rsid w:val="00D90666"/>
    <w:rsid w:val="00D90E7D"/>
    <w:rsid w:val="00D92C54"/>
    <w:rsid w:val="00D92DDC"/>
    <w:rsid w:val="00D93859"/>
    <w:rsid w:val="00D94161"/>
    <w:rsid w:val="00D9421A"/>
    <w:rsid w:val="00D942EC"/>
    <w:rsid w:val="00D944C9"/>
    <w:rsid w:val="00D94ECF"/>
    <w:rsid w:val="00D9513E"/>
    <w:rsid w:val="00D9522A"/>
    <w:rsid w:val="00D95F49"/>
    <w:rsid w:val="00D96262"/>
    <w:rsid w:val="00D96935"/>
    <w:rsid w:val="00D96952"/>
    <w:rsid w:val="00D96C72"/>
    <w:rsid w:val="00D96EC8"/>
    <w:rsid w:val="00D96F12"/>
    <w:rsid w:val="00D97BBC"/>
    <w:rsid w:val="00DA0179"/>
    <w:rsid w:val="00DA01EF"/>
    <w:rsid w:val="00DA0389"/>
    <w:rsid w:val="00DA0EB9"/>
    <w:rsid w:val="00DA1029"/>
    <w:rsid w:val="00DA1233"/>
    <w:rsid w:val="00DA15E6"/>
    <w:rsid w:val="00DA16DD"/>
    <w:rsid w:val="00DA1925"/>
    <w:rsid w:val="00DA19F7"/>
    <w:rsid w:val="00DA1AD6"/>
    <w:rsid w:val="00DA219A"/>
    <w:rsid w:val="00DA221F"/>
    <w:rsid w:val="00DA2A0F"/>
    <w:rsid w:val="00DA311D"/>
    <w:rsid w:val="00DA3177"/>
    <w:rsid w:val="00DA37D6"/>
    <w:rsid w:val="00DA3AC4"/>
    <w:rsid w:val="00DA3DF7"/>
    <w:rsid w:val="00DA3F55"/>
    <w:rsid w:val="00DA46E8"/>
    <w:rsid w:val="00DA4A35"/>
    <w:rsid w:val="00DA52B6"/>
    <w:rsid w:val="00DA5B40"/>
    <w:rsid w:val="00DA5FE1"/>
    <w:rsid w:val="00DA622F"/>
    <w:rsid w:val="00DA6935"/>
    <w:rsid w:val="00DA7B7F"/>
    <w:rsid w:val="00DB00DF"/>
    <w:rsid w:val="00DB02E4"/>
    <w:rsid w:val="00DB0465"/>
    <w:rsid w:val="00DB0855"/>
    <w:rsid w:val="00DB0889"/>
    <w:rsid w:val="00DB0946"/>
    <w:rsid w:val="00DB0E97"/>
    <w:rsid w:val="00DB23F3"/>
    <w:rsid w:val="00DB2AED"/>
    <w:rsid w:val="00DB2F15"/>
    <w:rsid w:val="00DB3366"/>
    <w:rsid w:val="00DB3978"/>
    <w:rsid w:val="00DB3CBE"/>
    <w:rsid w:val="00DB3F2F"/>
    <w:rsid w:val="00DB3FE6"/>
    <w:rsid w:val="00DB46EE"/>
    <w:rsid w:val="00DB4856"/>
    <w:rsid w:val="00DB5832"/>
    <w:rsid w:val="00DB5B36"/>
    <w:rsid w:val="00DB5DED"/>
    <w:rsid w:val="00DB70E3"/>
    <w:rsid w:val="00DB72F0"/>
    <w:rsid w:val="00DB7E89"/>
    <w:rsid w:val="00DC0101"/>
    <w:rsid w:val="00DC0578"/>
    <w:rsid w:val="00DC10CE"/>
    <w:rsid w:val="00DC11A9"/>
    <w:rsid w:val="00DC11AD"/>
    <w:rsid w:val="00DC150B"/>
    <w:rsid w:val="00DC1C23"/>
    <w:rsid w:val="00DC2158"/>
    <w:rsid w:val="00DC2A58"/>
    <w:rsid w:val="00DC31AC"/>
    <w:rsid w:val="00DC32D4"/>
    <w:rsid w:val="00DC37C0"/>
    <w:rsid w:val="00DC3A51"/>
    <w:rsid w:val="00DC3C3D"/>
    <w:rsid w:val="00DC3FD5"/>
    <w:rsid w:val="00DC40EB"/>
    <w:rsid w:val="00DC529C"/>
    <w:rsid w:val="00DC53DE"/>
    <w:rsid w:val="00DC5735"/>
    <w:rsid w:val="00DC5804"/>
    <w:rsid w:val="00DC59B1"/>
    <w:rsid w:val="00DC5DE7"/>
    <w:rsid w:val="00DC61FD"/>
    <w:rsid w:val="00DC6207"/>
    <w:rsid w:val="00DC651F"/>
    <w:rsid w:val="00DC79F5"/>
    <w:rsid w:val="00DC7C77"/>
    <w:rsid w:val="00DD0366"/>
    <w:rsid w:val="00DD055B"/>
    <w:rsid w:val="00DD0B07"/>
    <w:rsid w:val="00DD0BC8"/>
    <w:rsid w:val="00DD0C72"/>
    <w:rsid w:val="00DD0F14"/>
    <w:rsid w:val="00DD149A"/>
    <w:rsid w:val="00DD3277"/>
    <w:rsid w:val="00DD3555"/>
    <w:rsid w:val="00DD38CB"/>
    <w:rsid w:val="00DD3B6B"/>
    <w:rsid w:val="00DD3DF2"/>
    <w:rsid w:val="00DD46AD"/>
    <w:rsid w:val="00DD5521"/>
    <w:rsid w:val="00DD58E2"/>
    <w:rsid w:val="00DD67CF"/>
    <w:rsid w:val="00DD6AE1"/>
    <w:rsid w:val="00DD745B"/>
    <w:rsid w:val="00DD7C02"/>
    <w:rsid w:val="00DE04C9"/>
    <w:rsid w:val="00DE12EC"/>
    <w:rsid w:val="00DE1DB9"/>
    <w:rsid w:val="00DE2498"/>
    <w:rsid w:val="00DE289B"/>
    <w:rsid w:val="00DE2991"/>
    <w:rsid w:val="00DE2A87"/>
    <w:rsid w:val="00DE2FF8"/>
    <w:rsid w:val="00DE30A9"/>
    <w:rsid w:val="00DE33CA"/>
    <w:rsid w:val="00DE3562"/>
    <w:rsid w:val="00DE3A23"/>
    <w:rsid w:val="00DE3D15"/>
    <w:rsid w:val="00DE3D96"/>
    <w:rsid w:val="00DE3E32"/>
    <w:rsid w:val="00DE410A"/>
    <w:rsid w:val="00DE4B81"/>
    <w:rsid w:val="00DE4CEB"/>
    <w:rsid w:val="00DE4EC2"/>
    <w:rsid w:val="00DE609D"/>
    <w:rsid w:val="00DE618E"/>
    <w:rsid w:val="00DE64EB"/>
    <w:rsid w:val="00DE6670"/>
    <w:rsid w:val="00DE6DA7"/>
    <w:rsid w:val="00DE6F40"/>
    <w:rsid w:val="00DE72CD"/>
    <w:rsid w:val="00DE7307"/>
    <w:rsid w:val="00DF04DE"/>
    <w:rsid w:val="00DF0A3F"/>
    <w:rsid w:val="00DF136C"/>
    <w:rsid w:val="00DF14EE"/>
    <w:rsid w:val="00DF1E7A"/>
    <w:rsid w:val="00DF2405"/>
    <w:rsid w:val="00DF24F2"/>
    <w:rsid w:val="00DF2E1B"/>
    <w:rsid w:val="00DF30BB"/>
    <w:rsid w:val="00DF3473"/>
    <w:rsid w:val="00DF3716"/>
    <w:rsid w:val="00DF3E79"/>
    <w:rsid w:val="00DF4129"/>
    <w:rsid w:val="00DF4CCB"/>
    <w:rsid w:val="00DF4E33"/>
    <w:rsid w:val="00DF55E4"/>
    <w:rsid w:val="00DF5B0D"/>
    <w:rsid w:val="00DF5EE4"/>
    <w:rsid w:val="00DF6639"/>
    <w:rsid w:val="00DF6DB5"/>
    <w:rsid w:val="00DF6FCE"/>
    <w:rsid w:val="00DF7565"/>
    <w:rsid w:val="00DF7A2C"/>
    <w:rsid w:val="00DF7AC4"/>
    <w:rsid w:val="00DF7C3B"/>
    <w:rsid w:val="00DF7F27"/>
    <w:rsid w:val="00E008AC"/>
    <w:rsid w:val="00E00D1D"/>
    <w:rsid w:val="00E010C3"/>
    <w:rsid w:val="00E01542"/>
    <w:rsid w:val="00E01D0C"/>
    <w:rsid w:val="00E01E23"/>
    <w:rsid w:val="00E0249A"/>
    <w:rsid w:val="00E0284C"/>
    <w:rsid w:val="00E0287E"/>
    <w:rsid w:val="00E02A7F"/>
    <w:rsid w:val="00E02B19"/>
    <w:rsid w:val="00E0311F"/>
    <w:rsid w:val="00E03333"/>
    <w:rsid w:val="00E03880"/>
    <w:rsid w:val="00E043C2"/>
    <w:rsid w:val="00E052B7"/>
    <w:rsid w:val="00E0554E"/>
    <w:rsid w:val="00E05587"/>
    <w:rsid w:val="00E0640C"/>
    <w:rsid w:val="00E06788"/>
    <w:rsid w:val="00E06A68"/>
    <w:rsid w:val="00E07840"/>
    <w:rsid w:val="00E079BA"/>
    <w:rsid w:val="00E1030B"/>
    <w:rsid w:val="00E104C4"/>
    <w:rsid w:val="00E105DF"/>
    <w:rsid w:val="00E108CB"/>
    <w:rsid w:val="00E11298"/>
    <w:rsid w:val="00E112DF"/>
    <w:rsid w:val="00E11305"/>
    <w:rsid w:val="00E11888"/>
    <w:rsid w:val="00E12269"/>
    <w:rsid w:val="00E132C7"/>
    <w:rsid w:val="00E138CA"/>
    <w:rsid w:val="00E13B7B"/>
    <w:rsid w:val="00E142BC"/>
    <w:rsid w:val="00E146AF"/>
    <w:rsid w:val="00E14752"/>
    <w:rsid w:val="00E14AD5"/>
    <w:rsid w:val="00E14E57"/>
    <w:rsid w:val="00E14F9F"/>
    <w:rsid w:val="00E15D06"/>
    <w:rsid w:val="00E169EB"/>
    <w:rsid w:val="00E16F2E"/>
    <w:rsid w:val="00E17000"/>
    <w:rsid w:val="00E17002"/>
    <w:rsid w:val="00E172AB"/>
    <w:rsid w:val="00E1790C"/>
    <w:rsid w:val="00E179DE"/>
    <w:rsid w:val="00E17AF8"/>
    <w:rsid w:val="00E17EA8"/>
    <w:rsid w:val="00E2003A"/>
    <w:rsid w:val="00E20316"/>
    <w:rsid w:val="00E2043C"/>
    <w:rsid w:val="00E204F9"/>
    <w:rsid w:val="00E2060D"/>
    <w:rsid w:val="00E209CC"/>
    <w:rsid w:val="00E20E14"/>
    <w:rsid w:val="00E215FF"/>
    <w:rsid w:val="00E21721"/>
    <w:rsid w:val="00E22046"/>
    <w:rsid w:val="00E222B2"/>
    <w:rsid w:val="00E2253A"/>
    <w:rsid w:val="00E229AB"/>
    <w:rsid w:val="00E23841"/>
    <w:rsid w:val="00E23B79"/>
    <w:rsid w:val="00E23C30"/>
    <w:rsid w:val="00E23DCF"/>
    <w:rsid w:val="00E24454"/>
    <w:rsid w:val="00E24FD2"/>
    <w:rsid w:val="00E253BE"/>
    <w:rsid w:val="00E2567E"/>
    <w:rsid w:val="00E25CD7"/>
    <w:rsid w:val="00E269EC"/>
    <w:rsid w:val="00E26BFB"/>
    <w:rsid w:val="00E271FB"/>
    <w:rsid w:val="00E27251"/>
    <w:rsid w:val="00E27E3F"/>
    <w:rsid w:val="00E3095C"/>
    <w:rsid w:val="00E30D0B"/>
    <w:rsid w:val="00E310BD"/>
    <w:rsid w:val="00E319D7"/>
    <w:rsid w:val="00E31B89"/>
    <w:rsid w:val="00E31C07"/>
    <w:rsid w:val="00E3262C"/>
    <w:rsid w:val="00E33CBA"/>
    <w:rsid w:val="00E342E7"/>
    <w:rsid w:val="00E34666"/>
    <w:rsid w:val="00E34861"/>
    <w:rsid w:val="00E34AE7"/>
    <w:rsid w:val="00E34AF2"/>
    <w:rsid w:val="00E35561"/>
    <w:rsid w:val="00E35B60"/>
    <w:rsid w:val="00E35E14"/>
    <w:rsid w:val="00E362CD"/>
    <w:rsid w:val="00E36875"/>
    <w:rsid w:val="00E36C24"/>
    <w:rsid w:val="00E376E9"/>
    <w:rsid w:val="00E377A1"/>
    <w:rsid w:val="00E377DB"/>
    <w:rsid w:val="00E37913"/>
    <w:rsid w:val="00E37AF0"/>
    <w:rsid w:val="00E37AF3"/>
    <w:rsid w:val="00E37CFC"/>
    <w:rsid w:val="00E41361"/>
    <w:rsid w:val="00E41C96"/>
    <w:rsid w:val="00E422DD"/>
    <w:rsid w:val="00E423FC"/>
    <w:rsid w:val="00E424BE"/>
    <w:rsid w:val="00E42976"/>
    <w:rsid w:val="00E434DA"/>
    <w:rsid w:val="00E43D90"/>
    <w:rsid w:val="00E44459"/>
    <w:rsid w:val="00E445F8"/>
    <w:rsid w:val="00E44837"/>
    <w:rsid w:val="00E45431"/>
    <w:rsid w:val="00E45516"/>
    <w:rsid w:val="00E467EE"/>
    <w:rsid w:val="00E46905"/>
    <w:rsid w:val="00E471B3"/>
    <w:rsid w:val="00E4776C"/>
    <w:rsid w:val="00E47923"/>
    <w:rsid w:val="00E47F9E"/>
    <w:rsid w:val="00E50635"/>
    <w:rsid w:val="00E50771"/>
    <w:rsid w:val="00E50920"/>
    <w:rsid w:val="00E50E1D"/>
    <w:rsid w:val="00E5123F"/>
    <w:rsid w:val="00E513A4"/>
    <w:rsid w:val="00E51AE7"/>
    <w:rsid w:val="00E52039"/>
    <w:rsid w:val="00E5324C"/>
    <w:rsid w:val="00E535BE"/>
    <w:rsid w:val="00E543AA"/>
    <w:rsid w:val="00E5554C"/>
    <w:rsid w:val="00E569E3"/>
    <w:rsid w:val="00E56D5F"/>
    <w:rsid w:val="00E56E3B"/>
    <w:rsid w:val="00E57373"/>
    <w:rsid w:val="00E57786"/>
    <w:rsid w:val="00E57896"/>
    <w:rsid w:val="00E57F67"/>
    <w:rsid w:val="00E60291"/>
    <w:rsid w:val="00E60475"/>
    <w:rsid w:val="00E609F8"/>
    <w:rsid w:val="00E60BAB"/>
    <w:rsid w:val="00E615A9"/>
    <w:rsid w:val="00E61FD1"/>
    <w:rsid w:val="00E62C77"/>
    <w:rsid w:val="00E63663"/>
    <w:rsid w:val="00E63A6B"/>
    <w:rsid w:val="00E64746"/>
    <w:rsid w:val="00E64F66"/>
    <w:rsid w:val="00E6571D"/>
    <w:rsid w:val="00E65E1C"/>
    <w:rsid w:val="00E7009A"/>
    <w:rsid w:val="00E7010D"/>
    <w:rsid w:val="00E701F2"/>
    <w:rsid w:val="00E70784"/>
    <w:rsid w:val="00E70A98"/>
    <w:rsid w:val="00E7113F"/>
    <w:rsid w:val="00E715A3"/>
    <w:rsid w:val="00E715A8"/>
    <w:rsid w:val="00E71A6D"/>
    <w:rsid w:val="00E728C0"/>
    <w:rsid w:val="00E730A8"/>
    <w:rsid w:val="00E73853"/>
    <w:rsid w:val="00E754C7"/>
    <w:rsid w:val="00E759A7"/>
    <w:rsid w:val="00E762D9"/>
    <w:rsid w:val="00E769CB"/>
    <w:rsid w:val="00E76AF4"/>
    <w:rsid w:val="00E76BCE"/>
    <w:rsid w:val="00E77910"/>
    <w:rsid w:val="00E77F3D"/>
    <w:rsid w:val="00E800DD"/>
    <w:rsid w:val="00E8045B"/>
    <w:rsid w:val="00E80B21"/>
    <w:rsid w:val="00E81157"/>
    <w:rsid w:val="00E817CC"/>
    <w:rsid w:val="00E81A67"/>
    <w:rsid w:val="00E8237F"/>
    <w:rsid w:val="00E8263B"/>
    <w:rsid w:val="00E82853"/>
    <w:rsid w:val="00E83092"/>
    <w:rsid w:val="00E83E9B"/>
    <w:rsid w:val="00E84B34"/>
    <w:rsid w:val="00E84E7D"/>
    <w:rsid w:val="00E858F6"/>
    <w:rsid w:val="00E85D99"/>
    <w:rsid w:val="00E86442"/>
    <w:rsid w:val="00E8677C"/>
    <w:rsid w:val="00E868CB"/>
    <w:rsid w:val="00E86CC9"/>
    <w:rsid w:val="00E86CD6"/>
    <w:rsid w:val="00E86E81"/>
    <w:rsid w:val="00E9003D"/>
    <w:rsid w:val="00E90984"/>
    <w:rsid w:val="00E909A3"/>
    <w:rsid w:val="00E90D33"/>
    <w:rsid w:val="00E929C9"/>
    <w:rsid w:val="00E92A0E"/>
    <w:rsid w:val="00E92A45"/>
    <w:rsid w:val="00E92E4B"/>
    <w:rsid w:val="00E9344F"/>
    <w:rsid w:val="00E946AA"/>
    <w:rsid w:val="00E948D3"/>
    <w:rsid w:val="00E94B44"/>
    <w:rsid w:val="00E95348"/>
    <w:rsid w:val="00E966A7"/>
    <w:rsid w:val="00E97ADB"/>
    <w:rsid w:val="00E97E44"/>
    <w:rsid w:val="00EA0A5A"/>
    <w:rsid w:val="00EA12C4"/>
    <w:rsid w:val="00EA1322"/>
    <w:rsid w:val="00EA1973"/>
    <w:rsid w:val="00EA26F2"/>
    <w:rsid w:val="00EA2706"/>
    <w:rsid w:val="00EA2F18"/>
    <w:rsid w:val="00EA2FC9"/>
    <w:rsid w:val="00EA3219"/>
    <w:rsid w:val="00EA3F33"/>
    <w:rsid w:val="00EA4AFF"/>
    <w:rsid w:val="00EA542E"/>
    <w:rsid w:val="00EA5A43"/>
    <w:rsid w:val="00EA5B27"/>
    <w:rsid w:val="00EA5E57"/>
    <w:rsid w:val="00EA6A97"/>
    <w:rsid w:val="00EA6BD3"/>
    <w:rsid w:val="00EA6D2B"/>
    <w:rsid w:val="00EA6D4F"/>
    <w:rsid w:val="00EA7041"/>
    <w:rsid w:val="00EA74B1"/>
    <w:rsid w:val="00EA7DD7"/>
    <w:rsid w:val="00EA7F6C"/>
    <w:rsid w:val="00EB02CB"/>
    <w:rsid w:val="00EB0795"/>
    <w:rsid w:val="00EB0BBF"/>
    <w:rsid w:val="00EB0DF4"/>
    <w:rsid w:val="00EB1313"/>
    <w:rsid w:val="00EB1B61"/>
    <w:rsid w:val="00EB1BE1"/>
    <w:rsid w:val="00EB1C27"/>
    <w:rsid w:val="00EB2EDD"/>
    <w:rsid w:val="00EB3185"/>
    <w:rsid w:val="00EB4059"/>
    <w:rsid w:val="00EB44C1"/>
    <w:rsid w:val="00EB48C5"/>
    <w:rsid w:val="00EB48C9"/>
    <w:rsid w:val="00EB4B05"/>
    <w:rsid w:val="00EB4FDA"/>
    <w:rsid w:val="00EB536F"/>
    <w:rsid w:val="00EB53F8"/>
    <w:rsid w:val="00EB5796"/>
    <w:rsid w:val="00EB5BAA"/>
    <w:rsid w:val="00EB5D82"/>
    <w:rsid w:val="00EB5FE3"/>
    <w:rsid w:val="00EB6A7E"/>
    <w:rsid w:val="00EB731F"/>
    <w:rsid w:val="00EB74A1"/>
    <w:rsid w:val="00EC01C6"/>
    <w:rsid w:val="00EC02B7"/>
    <w:rsid w:val="00EC03A5"/>
    <w:rsid w:val="00EC0805"/>
    <w:rsid w:val="00EC1374"/>
    <w:rsid w:val="00EC1982"/>
    <w:rsid w:val="00EC1FDC"/>
    <w:rsid w:val="00EC2183"/>
    <w:rsid w:val="00EC2D35"/>
    <w:rsid w:val="00EC34E1"/>
    <w:rsid w:val="00EC379E"/>
    <w:rsid w:val="00EC3988"/>
    <w:rsid w:val="00EC3BCF"/>
    <w:rsid w:val="00EC465B"/>
    <w:rsid w:val="00EC47CE"/>
    <w:rsid w:val="00EC5623"/>
    <w:rsid w:val="00EC5792"/>
    <w:rsid w:val="00EC632C"/>
    <w:rsid w:val="00EC694C"/>
    <w:rsid w:val="00EC7313"/>
    <w:rsid w:val="00EC78CB"/>
    <w:rsid w:val="00EC7BA2"/>
    <w:rsid w:val="00EC7F50"/>
    <w:rsid w:val="00ED0555"/>
    <w:rsid w:val="00ED0579"/>
    <w:rsid w:val="00ED061A"/>
    <w:rsid w:val="00ED0A22"/>
    <w:rsid w:val="00ED11EC"/>
    <w:rsid w:val="00ED16B6"/>
    <w:rsid w:val="00ED1FE4"/>
    <w:rsid w:val="00ED22E7"/>
    <w:rsid w:val="00ED24F6"/>
    <w:rsid w:val="00ED32FA"/>
    <w:rsid w:val="00ED344E"/>
    <w:rsid w:val="00ED4579"/>
    <w:rsid w:val="00ED47B9"/>
    <w:rsid w:val="00ED497E"/>
    <w:rsid w:val="00ED55FB"/>
    <w:rsid w:val="00ED5996"/>
    <w:rsid w:val="00ED653A"/>
    <w:rsid w:val="00ED6762"/>
    <w:rsid w:val="00ED681D"/>
    <w:rsid w:val="00ED72E4"/>
    <w:rsid w:val="00ED7A1C"/>
    <w:rsid w:val="00EE0629"/>
    <w:rsid w:val="00EE0720"/>
    <w:rsid w:val="00EE0808"/>
    <w:rsid w:val="00EE0843"/>
    <w:rsid w:val="00EE0A83"/>
    <w:rsid w:val="00EE0D9E"/>
    <w:rsid w:val="00EE0E6E"/>
    <w:rsid w:val="00EE1204"/>
    <w:rsid w:val="00EE18F6"/>
    <w:rsid w:val="00EE1D41"/>
    <w:rsid w:val="00EE212F"/>
    <w:rsid w:val="00EE2D37"/>
    <w:rsid w:val="00EE2E0A"/>
    <w:rsid w:val="00EE2EC6"/>
    <w:rsid w:val="00EE342D"/>
    <w:rsid w:val="00EE3433"/>
    <w:rsid w:val="00EE3A2B"/>
    <w:rsid w:val="00EE4046"/>
    <w:rsid w:val="00EE440F"/>
    <w:rsid w:val="00EE46A2"/>
    <w:rsid w:val="00EE4CD8"/>
    <w:rsid w:val="00EE5DE1"/>
    <w:rsid w:val="00EE6290"/>
    <w:rsid w:val="00EE62F2"/>
    <w:rsid w:val="00EE64F4"/>
    <w:rsid w:val="00EE6A1A"/>
    <w:rsid w:val="00EE6D8A"/>
    <w:rsid w:val="00EE76EE"/>
    <w:rsid w:val="00EE7726"/>
    <w:rsid w:val="00EF03B4"/>
    <w:rsid w:val="00EF06E9"/>
    <w:rsid w:val="00EF0702"/>
    <w:rsid w:val="00EF08B5"/>
    <w:rsid w:val="00EF0C80"/>
    <w:rsid w:val="00EF0CC7"/>
    <w:rsid w:val="00EF1D10"/>
    <w:rsid w:val="00EF1EE3"/>
    <w:rsid w:val="00EF204B"/>
    <w:rsid w:val="00EF229B"/>
    <w:rsid w:val="00EF22EE"/>
    <w:rsid w:val="00EF3D13"/>
    <w:rsid w:val="00EF3DED"/>
    <w:rsid w:val="00EF41D1"/>
    <w:rsid w:val="00EF4E65"/>
    <w:rsid w:val="00EF4E6F"/>
    <w:rsid w:val="00EF626A"/>
    <w:rsid w:val="00EF7B1A"/>
    <w:rsid w:val="00F000B0"/>
    <w:rsid w:val="00F00116"/>
    <w:rsid w:val="00F0055A"/>
    <w:rsid w:val="00F009A9"/>
    <w:rsid w:val="00F00D46"/>
    <w:rsid w:val="00F02860"/>
    <w:rsid w:val="00F034B6"/>
    <w:rsid w:val="00F04530"/>
    <w:rsid w:val="00F0516A"/>
    <w:rsid w:val="00F05313"/>
    <w:rsid w:val="00F05610"/>
    <w:rsid w:val="00F05698"/>
    <w:rsid w:val="00F0581D"/>
    <w:rsid w:val="00F059AC"/>
    <w:rsid w:val="00F05CB8"/>
    <w:rsid w:val="00F06695"/>
    <w:rsid w:val="00F06ADC"/>
    <w:rsid w:val="00F07135"/>
    <w:rsid w:val="00F0763A"/>
    <w:rsid w:val="00F1016D"/>
    <w:rsid w:val="00F10269"/>
    <w:rsid w:val="00F10586"/>
    <w:rsid w:val="00F10CF4"/>
    <w:rsid w:val="00F11352"/>
    <w:rsid w:val="00F11848"/>
    <w:rsid w:val="00F11E78"/>
    <w:rsid w:val="00F121ED"/>
    <w:rsid w:val="00F122F2"/>
    <w:rsid w:val="00F12944"/>
    <w:rsid w:val="00F1345C"/>
    <w:rsid w:val="00F134B2"/>
    <w:rsid w:val="00F136C1"/>
    <w:rsid w:val="00F13F51"/>
    <w:rsid w:val="00F1485A"/>
    <w:rsid w:val="00F15779"/>
    <w:rsid w:val="00F157CC"/>
    <w:rsid w:val="00F15D91"/>
    <w:rsid w:val="00F163EC"/>
    <w:rsid w:val="00F164CC"/>
    <w:rsid w:val="00F170B6"/>
    <w:rsid w:val="00F174F4"/>
    <w:rsid w:val="00F17824"/>
    <w:rsid w:val="00F17E1B"/>
    <w:rsid w:val="00F17F6A"/>
    <w:rsid w:val="00F20600"/>
    <w:rsid w:val="00F210E8"/>
    <w:rsid w:val="00F2111F"/>
    <w:rsid w:val="00F212E2"/>
    <w:rsid w:val="00F213B1"/>
    <w:rsid w:val="00F215F2"/>
    <w:rsid w:val="00F22B13"/>
    <w:rsid w:val="00F23052"/>
    <w:rsid w:val="00F23143"/>
    <w:rsid w:val="00F23399"/>
    <w:rsid w:val="00F234DF"/>
    <w:rsid w:val="00F2391B"/>
    <w:rsid w:val="00F23A02"/>
    <w:rsid w:val="00F23ABA"/>
    <w:rsid w:val="00F23C72"/>
    <w:rsid w:val="00F23FF8"/>
    <w:rsid w:val="00F240CF"/>
    <w:rsid w:val="00F25145"/>
    <w:rsid w:val="00F2518B"/>
    <w:rsid w:val="00F25BED"/>
    <w:rsid w:val="00F25F0E"/>
    <w:rsid w:val="00F260BD"/>
    <w:rsid w:val="00F26785"/>
    <w:rsid w:val="00F267AB"/>
    <w:rsid w:val="00F26AB1"/>
    <w:rsid w:val="00F26B62"/>
    <w:rsid w:val="00F26E96"/>
    <w:rsid w:val="00F27192"/>
    <w:rsid w:val="00F27885"/>
    <w:rsid w:val="00F27F44"/>
    <w:rsid w:val="00F30264"/>
    <w:rsid w:val="00F306AB"/>
    <w:rsid w:val="00F30B34"/>
    <w:rsid w:val="00F312A7"/>
    <w:rsid w:val="00F312C2"/>
    <w:rsid w:val="00F31310"/>
    <w:rsid w:val="00F3177A"/>
    <w:rsid w:val="00F31D1B"/>
    <w:rsid w:val="00F320FE"/>
    <w:rsid w:val="00F3266D"/>
    <w:rsid w:val="00F327B8"/>
    <w:rsid w:val="00F331B6"/>
    <w:rsid w:val="00F33546"/>
    <w:rsid w:val="00F33D93"/>
    <w:rsid w:val="00F34A68"/>
    <w:rsid w:val="00F34B69"/>
    <w:rsid w:val="00F34E52"/>
    <w:rsid w:val="00F35020"/>
    <w:rsid w:val="00F35168"/>
    <w:rsid w:val="00F35927"/>
    <w:rsid w:val="00F35BEB"/>
    <w:rsid w:val="00F37252"/>
    <w:rsid w:val="00F372E7"/>
    <w:rsid w:val="00F375B2"/>
    <w:rsid w:val="00F4022F"/>
    <w:rsid w:val="00F40EA0"/>
    <w:rsid w:val="00F41F49"/>
    <w:rsid w:val="00F42154"/>
    <w:rsid w:val="00F42647"/>
    <w:rsid w:val="00F42AA3"/>
    <w:rsid w:val="00F42B8B"/>
    <w:rsid w:val="00F42CE2"/>
    <w:rsid w:val="00F437A8"/>
    <w:rsid w:val="00F441AB"/>
    <w:rsid w:val="00F446F3"/>
    <w:rsid w:val="00F44D20"/>
    <w:rsid w:val="00F4553F"/>
    <w:rsid w:val="00F456A1"/>
    <w:rsid w:val="00F45CFC"/>
    <w:rsid w:val="00F45F48"/>
    <w:rsid w:val="00F477F4"/>
    <w:rsid w:val="00F47A2A"/>
    <w:rsid w:val="00F50570"/>
    <w:rsid w:val="00F50A76"/>
    <w:rsid w:val="00F51D49"/>
    <w:rsid w:val="00F526B6"/>
    <w:rsid w:val="00F5280F"/>
    <w:rsid w:val="00F52BB8"/>
    <w:rsid w:val="00F5392B"/>
    <w:rsid w:val="00F53D2F"/>
    <w:rsid w:val="00F53FD1"/>
    <w:rsid w:val="00F54000"/>
    <w:rsid w:val="00F541DD"/>
    <w:rsid w:val="00F54346"/>
    <w:rsid w:val="00F5434E"/>
    <w:rsid w:val="00F54E4D"/>
    <w:rsid w:val="00F54E6F"/>
    <w:rsid w:val="00F55507"/>
    <w:rsid w:val="00F55B7A"/>
    <w:rsid w:val="00F55BFD"/>
    <w:rsid w:val="00F562C7"/>
    <w:rsid w:val="00F567F6"/>
    <w:rsid w:val="00F56903"/>
    <w:rsid w:val="00F6056D"/>
    <w:rsid w:val="00F60831"/>
    <w:rsid w:val="00F611BB"/>
    <w:rsid w:val="00F6138A"/>
    <w:rsid w:val="00F61A83"/>
    <w:rsid w:val="00F61E1A"/>
    <w:rsid w:val="00F61E81"/>
    <w:rsid w:val="00F61E9D"/>
    <w:rsid w:val="00F62135"/>
    <w:rsid w:val="00F62964"/>
    <w:rsid w:val="00F62B37"/>
    <w:rsid w:val="00F63BD5"/>
    <w:rsid w:val="00F640F3"/>
    <w:rsid w:val="00F65F94"/>
    <w:rsid w:val="00F661FC"/>
    <w:rsid w:val="00F66B5C"/>
    <w:rsid w:val="00F6703D"/>
    <w:rsid w:val="00F67788"/>
    <w:rsid w:val="00F7012A"/>
    <w:rsid w:val="00F7022B"/>
    <w:rsid w:val="00F70763"/>
    <w:rsid w:val="00F70D7B"/>
    <w:rsid w:val="00F710D6"/>
    <w:rsid w:val="00F71513"/>
    <w:rsid w:val="00F718BF"/>
    <w:rsid w:val="00F718D1"/>
    <w:rsid w:val="00F71A52"/>
    <w:rsid w:val="00F724AF"/>
    <w:rsid w:val="00F72645"/>
    <w:rsid w:val="00F72999"/>
    <w:rsid w:val="00F72CC1"/>
    <w:rsid w:val="00F72DA2"/>
    <w:rsid w:val="00F72F3C"/>
    <w:rsid w:val="00F733A5"/>
    <w:rsid w:val="00F73C0E"/>
    <w:rsid w:val="00F744E9"/>
    <w:rsid w:val="00F74500"/>
    <w:rsid w:val="00F74627"/>
    <w:rsid w:val="00F74A38"/>
    <w:rsid w:val="00F74D07"/>
    <w:rsid w:val="00F74EC5"/>
    <w:rsid w:val="00F750E2"/>
    <w:rsid w:val="00F751C6"/>
    <w:rsid w:val="00F75C71"/>
    <w:rsid w:val="00F75E58"/>
    <w:rsid w:val="00F76252"/>
    <w:rsid w:val="00F766FE"/>
    <w:rsid w:val="00F77274"/>
    <w:rsid w:val="00F77529"/>
    <w:rsid w:val="00F801C7"/>
    <w:rsid w:val="00F801C8"/>
    <w:rsid w:val="00F81112"/>
    <w:rsid w:val="00F81304"/>
    <w:rsid w:val="00F81A11"/>
    <w:rsid w:val="00F82067"/>
    <w:rsid w:val="00F826B8"/>
    <w:rsid w:val="00F82943"/>
    <w:rsid w:val="00F82D1B"/>
    <w:rsid w:val="00F82E45"/>
    <w:rsid w:val="00F83111"/>
    <w:rsid w:val="00F8340D"/>
    <w:rsid w:val="00F83436"/>
    <w:rsid w:val="00F83B12"/>
    <w:rsid w:val="00F83C9A"/>
    <w:rsid w:val="00F84020"/>
    <w:rsid w:val="00F84038"/>
    <w:rsid w:val="00F84B13"/>
    <w:rsid w:val="00F85336"/>
    <w:rsid w:val="00F85B63"/>
    <w:rsid w:val="00F85BC2"/>
    <w:rsid w:val="00F873B0"/>
    <w:rsid w:val="00F87A60"/>
    <w:rsid w:val="00F87AD1"/>
    <w:rsid w:val="00F87B6F"/>
    <w:rsid w:val="00F905BC"/>
    <w:rsid w:val="00F9092C"/>
    <w:rsid w:val="00F90A75"/>
    <w:rsid w:val="00F90C16"/>
    <w:rsid w:val="00F90F7C"/>
    <w:rsid w:val="00F9128E"/>
    <w:rsid w:val="00F9130F"/>
    <w:rsid w:val="00F9165B"/>
    <w:rsid w:val="00F91FB3"/>
    <w:rsid w:val="00F9258B"/>
    <w:rsid w:val="00F92FD2"/>
    <w:rsid w:val="00F9386C"/>
    <w:rsid w:val="00F9447B"/>
    <w:rsid w:val="00F947E0"/>
    <w:rsid w:val="00F94B1B"/>
    <w:rsid w:val="00F94BE5"/>
    <w:rsid w:val="00F95056"/>
    <w:rsid w:val="00F957FB"/>
    <w:rsid w:val="00F95D0F"/>
    <w:rsid w:val="00F95E87"/>
    <w:rsid w:val="00F9696B"/>
    <w:rsid w:val="00F97074"/>
    <w:rsid w:val="00F97EDD"/>
    <w:rsid w:val="00FA03DF"/>
    <w:rsid w:val="00FA1400"/>
    <w:rsid w:val="00FA15FF"/>
    <w:rsid w:val="00FA18CC"/>
    <w:rsid w:val="00FA1C80"/>
    <w:rsid w:val="00FA1E21"/>
    <w:rsid w:val="00FA2297"/>
    <w:rsid w:val="00FA2AA9"/>
    <w:rsid w:val="00FA327D"/>
    <w:rsid w:val="00FA3417"/>
    <w:rsid w:val="00FA37E3"/>
    <w:rsid w:val="00FA3A3E"/>
    <w:rsid w:val="00FA3A70"/>
    <w:rsid w:val="00FA3BF5"/>
    <w:rsid w:val="00FA3F27"/>
    <w:rsid w:val="00FA4307"/>
    <w:rsid w:val="00FA4685"/>
    <w:rsid w:val="00FA49D6"/>
    <w:rsid w:val="00FA4E8F"/>
    <w:rsid w:val="00FA58D7"/>
    <w:rsid w:val="00FA5B58"/>
    <w:rsid w:val="00FA5FBA"/>
    <w:rsid w:val="00FA61C2"/>
    <w:rsid w:val="00FA63F6"/>
    <w:rsid w:val="00FA6534"/>
    <w:rsid w:val="00FA67FB"/>
    <w:rsid w:val="00FA70F7"/>
    <w:rsid w:val="00FA73A5"/>
    <w:rsid w:val="00FB0C0B"/>
    <w:rsid w:val="00FB1C3D"/>
    <w:rsid w:val="00FB1FA0"/>
    <w:rsid w:val="00FB2760"/>
    <w:rsid w:val="00FB357C"/>
    <w:rsid w:val="00FB3675"/>
    <w:rsid w:val="00FB39CD"/>
    <w:rsid w:val="00FB4DA6"/>
    <w:rsid w:val="00FB4E58"/>
    <w:rsid w:val="00FB533B"/>
    <w:rsid w:val="00FB5744"/>
    <w:rsid w:val="00FB6108"/>
    <w:rsid w:val="00FB6814"/>
    <w:rsid w:val="00FB7557"/>
    <w:rsid w:val="00FB7B57"/>
    <w:rsid w:val="00FB7DDE"/>
    <w:rsid w:val="00FC0775"/>
    <w:rsid w:val="00FC1F38"/>
    <w:rsid w:val="00FC20AF"/>
    <w:rsid w:val="00FC23F9"/>
    <w:rsid w:val="00FC2DC9"/>
    <w:rsid w:val="00FC2FB3"/>
    <w:rsid w:val="00FC3645"/>
    <w:rsid w:val="00FC3923"/>
    <w:rsid w:val="00FC44DD"/>
    <w:rsid w:val="00FC44E0"/>
    <w:rsid w:val="00FC458D"/>
    <w:rsid w:val="00FC466A"/>
    <w:rsid w:val="00FC48F0"/>
    <w:rsid w:val="00FC4CC6"/>
    <w:rsid w:val="00FC54DA"/>
    <w:rsid w:val="00FC5D19"/>
    <w:rsid w:val="00FC6239"/>
    <w:rsid w:val="00FC6E6A"/>
    <w:rsid w:val="00FC75B1"/>
    <w:rsid w:val="00FD03C2"/>
    <w:rsid w:val="00FD03DA"/>
    <w:rsid w:val="00FD0637"/>
    <w:rsid w:val="00FD0AB7"/>
    <w:rsid w:val="00FD0AE0"/>
    <w:rsid w:val="00FD0C5B"/>
    <w:rsid w:val="00FD0D27"/>
    <w:rsid w:val="00FD1495"/>
    <w:rsid w:val="00FD14A6"/>
    <w:rsid w:val="00FD1EDA"/>
    <w:rsid w:val="00FD1F4D"/>
    <w:rsid w:val="00FD2375"/>
    <w:rsid w:val="00FD2A1A"/>
    <w:rsid w:val="00FD465F"/>
    <w:rsid w:val="00FD53AF"/>
    <w:rsid w:val="00FD58D9"/>
    <w:rsid w:val="00FD5971"/>
    <w:rsid w:val="00FD59EC"/>
    <w:rsid w:val="00FD5A84"/>
    <w:rsid w:val="00FD5C59"/>
    <w:rsid w:val="00FD5FE7"/>
    <w:rsid w:val="00FD62D0"/>
    <w:rsid w:val="00FD6578"/>
    <w:rsid w:val="00FD70E9"/>
    <w:rsid w:val="00FD72FA"/>
    <w:rsid w:val="00FD7339"/>
    <w:rsid w:val="00FD780A"/>
    <w:rsid w:val="00FD7935"/>
    <w:rsid w:val="00FD7B39"/>
    <w:rsid w:val="00FD7CE7"/>
    <w:rsid w:val="00FD7E92"/>
    <w:rsid w:val="00FD7FD4"/>
    <w:rsid w:val="00FE0779"/>
    <w:rsid w:val="00FE110A"/>
    <w:rsid w:val="00FE134F"/>
    <w:rsid w:val="00FE145E"/>
    <w:rsid w:val="00FE1D1D"/>
    <w:rsid w:val="00FE25B9"/>
    <w:rsid w:val="00FE2FBB"/>
    <w:rsid w:val="00FE37BE"/>
    <w:rsid w:val="00FE3A5F"/>
    <w:rsid w:val="00FE3AA5"/>
    <w:rsid w:val="00FE3B55"/>
    <w:rsid w:val="00FE46C0"/>
    <w:rsid w:val="00FE4DD3"/>
    <w:rsid w:val="00FE500D"/>
    <w:rsid w:val="00FE5199"/>
    <w:rsid w:val="00FE5271"/>
    <w:rsid w:val="00FE5701"/>
    <w:rsid w:val="00FE5964"/>
    <w:rsid w:val="00FE5A76"/>
    <w:rsid w:val="00FE5DE5"/>
    <w:rsid w:val="00FE5E12"/>
    <w:rsid w:val="00FE5E54"/>
    <w:rsid w:val="00FE65BF"/>
    <w:rsid w:val="00FE6645"/>
    <w:rsid w:val="00FE6702"/>
    <w:rsid w:val="00FE6A1A"/>
    <w:rsid w:val="00FE6B7D"/>
    <w:rsid w:val="00FE78D3"/>
    <w:rsid w:val="00FE79DE"/>
    <w:rsid w:val="00FF0EDC"/>
    <w:rsid w:val="00FF113A"/>
    <w:rsid w:val="00FF17B5"/>
    <w:rsid w:val="00FF17C8"/>
    <w:rsid w:val="00FF1972"/>
    <w:rsid w:val="00FF1B34"/>
    <w:rsid w:val="00FF1ED4"/>
    <w:rsid w:val="00FF352D"/>
    <w:rsid w:val="00FF44B4"/>
    <w:rsid w:val="00FF4617"/>
    <w:rsid w:val="00FF4B84"/>
    <w:rsid w:val="00FF4D9D"/>
    <w:rsid w:val="00FF542E"/>
    <w:rsid w:val="00FF55EC"/>
    <w:rsid w:val="00FF570F"/>
    <w:rsid w:val="00FF5F76"/>
    <w:rsid w:val="00FF61D2"/>
    <w:rsid w:val="00FF687F"/>
    <w:rsid w:val="00FF6943"/>
    <w:rsid w:val="00FF6B42"/>
    <w:rsid w:val="00FF6ECE"/>
    <w:rsid w:val="00FF706B"/>
    <w:rsid w:val="00FF7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42B313"/>
  <w15:docId w15:val="{11509DEE-502B-4954-8302-41F250959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2A1"/>
    <w:pPr>
      <w:widowControl w:val="0"/>
      <w:spacing w:after="200" w:line="276" w:lineRule="auto"/>
    </w:pPr>
    <w:rPr>
      <w:sz w:val="22"/>
      <w:szCs w:val="22"/>
    </w:rPr>
  </w:style>
  <w:style w:type="paragraph" w:styleId="Heading2">
    <w:name w:val="heading 2"/>
    <w:basedOn w:val="Normal"/>
    <w:next w:val="MTBody"/>
    <w:link w:val="Heading2Char"/>
    <w:uiPriority w:val="99"/>
    <w:qFormat/>
    <w:rsid w:val="000F0A0B"/>
    <w:pPr>
      <w:keepNext/>
      <w:widowControl/>
      <w:numPr>
        <w:ilvl w:val="1"/>
        <w:numId w:val="1"/>
      </w:numPr>
      <w:spacing w:before="240" w:after="240" w:line="240" w:lineRule="auto"/>
      <w:outlineLvl w:val="1"/>
    </w:pPr>
    <w:rPr>
      <w:rFonts w:ascii="Cambria" w:eastAsia="Times New Roman" w:hAnsi="Cambria"/>
      <w:b/>
      <w:i/>
      <w:sz w:val="28"/>
      <w:szCs w:val="20"/>
    </w:rPr>
  </w:style>
  <w:style w:type="paragraph" w:styleId="Heading3">
    <w:name w:val="heading 3"/>
    <w:basedOn w:val="Normal"/>
    <w:next w:val="MTBody"/>
    <w:link w:val="Heading3Char"/>
    <w:uiPriority w:val="99"/>
    <w:qFormat/>
    <w:rsid w:val="000F0A0B"/>
    <w:pPr>
      <w:keepNext/>
      <w:widowControl/>
      <w:numPr>
        <w:ilvl w:val="2"/>
        <w:numId w:val="1"/>
      </w:numPr>
      <w:spacing w:before="240" w:after="240" w:line="240" w:lineRule="auto"/>
      <w:outlineLvl w:val="2"/>
    </w:pPr>
    <w:rPr>
      <w:rFonts w:ascii="Cambria" w:eastAsia="Times New Roman" w:hAnsi="Cambria"/>
      <w:b/>
      <w:sz w:val="26"/>
      <w:szCs w:val="20"/>
    </w:rPr>
  </w:style>
  <w:style w:type="paragraph" w:styleId="Heading4">
    <w:name w:val="heading 4"/>
    <w:basedOn w:val="Normal"/>
    <w:next w:val="Normal"/>
    <w:link w:val="Heading4Char"/>
    <w:uiPriority w:val="99"/>
    <w:qFormat/>
    <w:rsid w:val="000F0A0B"/>
    <w:pPr>
      <w:keepNext/>
      <w:widowControl/>
      <w:numPr>
        <w:ilvl w:val="3"/>
        <w:numId w:val="1"/>
      </w:numPr>
      <w:spacing w:before="240" w:after="60" w:line="240" w:lineRule="auto"/>
      <w:outlineLvl w:val="3"/>
    </w:pPr>
    <w:rPr>
      <w:rFonts w:eastAsia="Times New Roman"/>
      <w:b/>
      <w:sz w:val="28"/>
      <w:szCs w:val="20"/>
    </w:rPr>
  </w:style>
  <w:style w:type="paragraph" w:styleId="Heading5">
    <w:name w:val="heading 5"/>
    <w:basedOn w:val="Normal"/>
    <w:next w:val="Normal"/>
    <w:link w:val="Heading5Char"/>
    <w:uiPriority w:val="99"/>
    <w:qFormat/>
    <w:rsid w:val="000F0A0B"/>
    <w:pPr>
      <w:widowControl/>
      <w:numPr>
        <w:ilvl w:val="4"/>
        <w:numId w:val="1"/>
      </w:numPr>
      <w:spacing w:before="240" w:after="60" w:line="240" w:lineRule="auto"/>
      <w:outlineLvl w:val="4"/>
    </w:pPr>
    <w:rPr>
      <w:rFonts w:eastAsia="Times New Roman"/>
      <w:b/>
      <w:i/>
      <w:sz w:val="26"/>
      <w:szCs w:val="20"/>
    </w:rPr>
  </w:style>
  <w:style w:type="paragraph" w:styleId="Heading6">
    <w:name w:val="heading 6"/>
    <w:basedOn w:val="Normal"/>
    <w:next w:val="Normal"/>
    <w:link w:val="Heading6Char"/>
    <w:uiPriority w:val="99"/>
    <w:qFormat/>
    <w:rsid w:val="000F0A0B"/>
    <w:pPr>
      <w:widowControl/>
      <w:numPr>
        <w:ilvl w:val="5"/>
        <w:numId w:val="1"/>
      </w:numPr>
      <w:spacing w:before="240" w:after="60" w:line="240" w:lineRule="auto"/>
      <w:outlineLvl w:val="5"/>
    </w:pPr>
    <w:rPr>
      <w:rFonts w:eastAsia="Times New Roman"/>
      <w:b/>
      <w:sz w:val="20"/>
      <w:szCs w:val="20"/>
    </w:rPr>
  </w:style>
  <w:style w:type="paragraph" w:styleId="Heading7">
    <w:name w:val="heading 7"/>
    <w:basedOn w:val="Normal"/>
    <w:next w:val="Normal"/>
    <w:link w:val="Heading7Char"/>
    <w:uiPriority w:val="99"/>
    <w:qFormat/>
    <w:rsid w:val="000F0A0B"/>
    <w:pPr>
      <w:widowControl/>
      <w:numPr>
        <w:ilvl w:val="6"/>
        <w:numId w:val="1"/>
      </w:numPr>
      <w:spacing w:before="240" w:after="60" w:line="240" w:lineRule="auto"/>
      <w:outlineLvl w:val="6"/>
    </w:pPr>
    <w:rPr>
      <w:rFonts w:eastAsia="Times New Roman"/>
      <w:sz w:val="24"/>
      <w:szCs w:val="20"/>
    </w:rPr>
  </w:style>
  <w:style w:type="paragraph" w:styleId="Heading8">
    <w:name w:val="heading 8"/>
    <w:basedOn w:val="Normal"/>
    <w:next w:val="Normal"/>
    <w:link w:val="Heading8Char"/>
    <w:uiPriority w:val="99"/>
    <w:qFormat/>
    <w:rsid w:val="000F0A0B"/>
    <w:pPr>
      <w:widowControl/>
      <w:numPr>
        <w:ilvl w:val="7"/>
        <w:numId w:val="1"/>
      </w:numPr>
      <w:spacing w:before="240" w:after="60" w:line="240" w:lineRule="auto"/>
      <w:outlineLvl w:val="7"/>
    </w:pPr>
    <w:rPr>
      <w:rFonts w:eastAsia="Times New Roman"/>
      <w:i/>
      <w:sz w:val="24"/>
      <w:szCs w:val="20"/>
    </w:rPr>
  </w:style>
  <w:style w:type="paragraph" w:styleId="Heading9">
    <w:name w:val="heading 9"/>
    <w:basedOn w:val="Normal"/>
    <w:next w:val="Normal"/>
    <w:link w:val="Heading9Char"/>
    <w:uiPriority w:val="99"/>
    <w:qFormat/>
    <w:rsid w:val="000F0A0B"/>
    <w:pPr>
      <w:widowControl/>
      <w:numPr>
        <w:ilvl w:val="8"/>
        <w:numId w:val="1"/>
      </w:numPr>
      <w:spacing w:before="240" w:after="60" w:line="240" w:lineRule="auto"/>
      <w:outlineLvl w:val="8"/>
    </w:pPr>
    <w:rPr>
      <w:rFonts w:ascii="Cambria" w:eastAsia="Times New Roman"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AF2"/>
    <w:pPr>
      <w:ind w:left="720"/>
      <w:contextualSpacing/>
    </w:pPr>
  </w:style>
  <w:style w:type="table" w:styleId="TableGrid">
    <w:name w:val="Table Grid"/>
    <w:basedOn w:val="TableNormal"/>
    <w:uiPriority w:val="39"/>
    <w:rsid w:val="00406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6A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06AF2"/>
    <w:rPr>
      <w:rFonts w:ascii="Tahoma" w:hAnsi="Tahoma" w:cs="Tahoma"/>
      <w:sz w:val="16"/>
      <w:szCs w:val="16"/>
    </w:rPr>
  </w:style>
  <w:style w:type="table" w:customStyle="1" w:styleId="TableGrid1">
    <w:name w:val="Table Grid1"/>
    <w:basedOn w:val="TableNormal"/>
    <w:next w:val="TableGrid"/>
    <w:uiPriority w:val="59"/>
    <w:rsid w:val="00123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9"/>
    <w:rsid w:val="000F0A0B"/>
    <w:rPr>
      <w:rFonts w:ascii="Cambria" w:eastAsia="Times New Roman" w:hAnsi="Cambria"/>
      <w:b/>
      <w:i/>
      <w:sz w:val="28"/>
    </w:rPr>
  </w:style>
  <w:style w:type="character" w:customStyle="1" w:styleId="Heading3Char">
    <w:name w:val="Heading 3 Char"/>
    <w:link w:val="Heading3"/>
    <w:uiPriority w:val="99"/>
    <w:rsid w:val="000F0A0B"/>
    <w:rPr>
      <w:rFonts w:ascii="Cambria" w:eastAsia="Times New Roman" w:hAnsi="Cambria"/>
      <w:b/>
      <w:sz w:val="26"/>
    </w:rPr>
  </w:style>
  <w:style w:type="character" w:customStyle="1" w:styleId="Heading4Char">
    <w:name w:val="Heading 4 Char"/>
    <w:link w:val="Heading4"/>
    <w:uiPriority w:val="99"/>
    <w:rsid w:val="000F0A0B"/>
    <w:rPr>
      <w:rFonts w:eastAsia="Times New Roman"/>
      <w:b/>
      <w:sz w:val="28"/>
    </w:rPr>
  </w:style>
  <w:style w:type="character" w:customStyle="1" w:styleId="Heading5Char">
    <w:name w:val="Heading 5 Char"/>
    <w:link w:val="Heading5"/>
    <w:uiPriority w:val="99"/>
    <w:rsid w:val="000F0A0B"/>
    <w:rPr>
      <w:rFonts w:eastAsia="Times New Roman"/>
      <w:b/>
      <w:i/>
      <w:sz w:val="26"/>
    </w:rPr>
  </w:style>
  <w:style w:type="character" w:customStyle="1" w:styleId="Heading6Char">
    <w:name w:val="Heading 6 Char"/>
    <w:link w:val="Heading6"/>
    <w:uiPriority w:val="99"/>
    <w:rsid w:val="000F0A0B"/>
    <w:rPr>
      <w:rFonts w:eastAsia="Times New Roman"/>
      <w:b/>
    </w:rPr>
  </w:style>
  <w:style w:type="character" w:customStyle="1" w:styleId="Heading7Char">
    <w:name w:val="Heading 7 Char"/>
    <w:link w:val="Heading7"/>
    <w:uiPriority w:val="99"/>
    <w:rsid w:val="000F0A0B"/>
    <w:rPr>
      <w:rFonts w:eastAsia="Times New Roman"/>
      <w:sz w:val="24"/>
    </w:rPr>
  </w:style>
  <w:style w:type="character" w:customStyle="1" w:styleId="Heading8Char">
    <w:name w:val="Heading 8 Char"/>
    <w:link w:val="Heading8"/>
    <w:uiPriority w:val="99"/>
    <w:rsid w:val="000F0A0B"/>
    <w:rPr>
      <w:rFonts w:eastAsia="Times New Roman"/>
      <w:i/>
      <w:sz w:val="24"/>
    </w:rPr>
  </w:style>
  <w:style w:type="character" w:customStyle="1" w:styleId="Heading9Char">
    <w:name w:val="Heading 9 Char"/>
    <w:link w:val="Heading9"/>
    <w:uiPriority w:val="99"/>
    <w:rsid w:val="000F0A0B"/>
    <w:rPr>
      <w:rFonts w:ascii="Cambria" w:eastAsia="Times New Roman" w:hAnsi="Cambria"/>
    </w:rPr>
  </w:style>
  <w:style w:type="numbering" w:customStyle="1" w:styleId="NoList1">
    <w:name w:val="No List1"/>
    <w:next w:val="NoList"/>
    <w:uiPriority w:val="99"/>
    <w:semiHidden/>
    <w:unhideWhenUsed/>
    <w:rsid w:val="000F0A0B"/>
  </w:style>
  <w:style w:type="paragraph" w:customStyle="1" w:styleId="MTBody">
    <w:name w:val="MTBody"/>
    <w:basedOn w:val="Normal"/>
    <w:uiPriority w:val="99"/>
    <w:rsid w:val="000F0A0B"/>
    <w:pPr>
      <w:widowControl/>
      <w:spacing w:after="240" w:line="240" w:lineRule="auto"/>
      <w:jc w:val="both"/>
    </w:pPr>
    <w:rPr>
      <w:rFonts w:ascii="Times New Roman" w:eastAsia="Times New Roman" w:hAnsi="Times New Roman"/>
      <w:sz w:val="21"/>
      <w:szCs w:val="24"/>
    </w:rPr>
  </w:style>
  <w:style w:type="paragraph" w:customStyle="1" w:styleId="MTBodyTab">
    <w:name w:val="MTBodyTab"/>
    <w:basedOn w:val="Normal"/>
    <w:uiPriority w:val="99"/>
    <w:rsid w:val="000F0A0B"/>
    <w:pPr>
      <w:widowControl/>
      <w:spacing w:after="240" w:line="240" w:lineRule="auto"/>
      <w:ind w:firstLine="720"/>
      <w:jc w:val="both"/>
    </w:pPr>
    <w:rPr>
      <w:rFonts w:ascii="Times New Roman" w:eastAsia="Times New Roman" w:hAnsi="Times New Roman"/>
      <w:sz w:val="21"/>
      <w:szCs w:val="24"/>
    </w:rPr>
  </w:style>
  <w:style w:type="character" w:styleId="FollowedHyperlink">
    <w:name w:val="FollowedHyperlink"/>
    <w:uiPriority w:val="99"/>
    <w:rsid w:val="000F0A0B"/>
    <w:rPr>
      <w:rFonts w:cs="Times New Roman"/>
      <w:color w:val="800080"/>
      <w:u w:val="single"/>
    </w:rPr>
  </w:style>
  <w:style w:type="paragraph" w:customStyle="1" w:styleId="MTTable">
    <w:name w:val="MTTable"/>
    <w:basedOn w:val="Normal"/>
    <w:uiPriority w:val="99"/>
    <w:rsid w:val="000F0A0B"/>
    <w:pPr>
      <w:widowControl/>
      <w:spacing w:before="20" w:after="20" w:line="240" w:lineRule="auto"/>
    </w:pPr>
    <w:rPr>
      <w:rFonts w:ascii="Times New Roman" w:eastAsia="Times New Roman" w:hAnsi="Times New Roman"/>
      <w:sz w:val="21"/>
      <w:szCs w:val="24"/>
    </w:rPr>
  </w:style>
  <w:style w:type="character" w:customStyle="1" w:styleId="MTBodyChar">
    <w:name w:val="MTBody Char"/>
    <w:uiPriority w:val="99"/>
    <w:rsid w:val="000F0A0B"/>
    <w:rPr>
      <w:sz w:val="24"/>
      <w:lang w:val="en-US" w:eastAsia="en-US"/>
    </w:rPr>
  </w:style>
  <w:style w:type="character" w:customStyle="1" w:styleId="MTBodyTabChar">
    <w:name w:val="MTBodyTab Char"/>
    <w:uiPriority w:val="99"/>
    <w:rsid w:val="000F0A0B"/>
    <w:rPr>
      <w:sz w:val="24"/>
      <w:lang w:val="en-US" w:eastAsia="en-US"/>
    </w:rPr>
  </w:style>
  <w:style w:type="paragraph" w:customStyle="1" w:styleId="MTTFactumReference">
    <w:name w:val="MTTFactumReference"/>
    <w:basedOn w:val="Normal"/>
    <w:next w:val="Normal"/>
    <w:uiPriority w:val="99"/>
    <w:rsid w:val="000F0A0B"/>
    <w:pPr>
      <w:widowControl/>
      <w:numPr>
        <w:numId w:val="1"/>
      </w:numPr>
      <w:spacing w:before="240" w:after="0" w:line="240" w:lineRule="auto"/>
    </w:pPr>
    <w:rPr>
      <w:rFonts w:ascii="Times New Roman" w:eastAsia="Times New Roman" w:hAnsi="Times New Roman"/>
      <w:sz w:val="21"/>
      <w:szCs w:val="24"/>
    </w:rPr>
  </w:style>
  <w:style w:type="character" w:styleId="Hyperlink">
    <w:name w:val="Hyperlink"/>
    <w:uiPriority w:val="99"/>
    <w:rsid w:val="000F0A0B"/>
    <w:rPr>
      <w:rFonts w:cs="Times New Roman"/>
      <w:color w:val="0000FF"/>
      <w:u w:val="single"/>
    </w:rPr>
  </w:style>
  <w:style w:type="paragraph" w:styleId="Footer">
    <w:name w:val="footer"/>
    <w:basedOn w:val="Normal"/>
    <w:link w:val="FooterChar"/>
    <w:uiPriority w:val="99"/>
    <w:rsid w:val="000F0A0B"/>
    <w:pPr>
      <w:widowControl/>
      <w:tabs>
        <w:tab w:val="center" w:pos="4320"/>
        <w:tab w:val="right" w:pos="8640"/>
      </w:tabs>
      <w:spacing w:after="0" w:line="240" w:lineRule="auto"/>
    </w:pPr>
    <w:rPr>
      <w:rFonts w:ascii="Times New Roman" w:eastAsia="Times New Roman" w:hAnsi="Times New Roman"/>
      <w:sz w:val="24"/>
      <w:szCs w:val="20"/>
    </w:rPr>
  </w:style>
  <w:style w:type="character" w:customStyle="1" w:styleId="FooterChar">
    <w:name w:val="Footer Char"/>
    <w:link w:val="Footer"/>
    <w:uiPriority w:val="99"/>
    <w:rsid w:val="000F0A0B"/>
    <w:rPr>
      <w:rFonts w:ascii="Times New Roman" w:eastAsia="Times New Roman" w:hAnsi="Times New Roman" w:cs="Times New Roman"/>
      <w:sz w:val="24"/>
      <w:szCs w:val="20"/>
    </w:rPr>
  </w:style>
  <w:style w:type="character" w:styleId="PageNumber">
    <w:name w:val="page number"/>
    <w:uiPriority w:val="99"/>
    <w:rsid w:val="000F0A0B"/>
    <w:rPr>
      <w:rFonts w:cs="Times New Roman"/>
    </w:rPr>
  </w:style>
  <w:style w:type="paragraph" w:styleId="Header">
    <w:name w:val="header"/>
    <w:basedOn w:val="Normal"/>
    <w:link w:val="HeaderChar"/>
    <w:rsid w:val="000F0A0B"/>
    <w:pPr>
      <w:widowControl/>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link w:val="Header"/>
    <w:rsid w:val="000F0A0B"/>
    <w:rPr>
      <w:rFonts w:ascii="Times New Roman" w:eastAsia="Times New Roman" w:hAnsi="Times New Roman" w:cs="Times New Roman"/>
      <w:sz w:val="24"/>
      <w:szCs w:val="20"/>
    </w:rPr>
  </w:style>
  <w:style w:type="paragraph" w:styleId="NoteHeading">
    <w:name w:val="Note Heading"/>
    <w:basedOn w:val="Normal"/>
    <w:link w:val="NoteHeadingChar"/>
    <w:uiPriority w:val="99"/>
    <w:rsid w:val="000F0A0B"/>
    <w:pPr>
      <w:autoSpaceDE w:val="0"/>
      <w:autoSpaceDN w:val="0"/>
      <w:adjustRightInd w:val="0"/>
      <w:spacing w:before="172" w:after="172" w:line="240" w:lineRule="auto"/>
    </w:pPr>
    <w:rPr>
      <w:rFonts w:ascii="Arial" w:eastAsia="Times New Roman" w:hAnsi="Arial"/>
      <w:b/>
      <w:color w:val="000000"/>
      <w:sz w:val="24"/>
      <w:szCs w:val="20"/>
      <w:lang w:val="en-CA" w:eastAsia="en-CA"/>
    </w:rPr>
  </w:style>
  <w:style w:type="character" w:customStyle="1" w:styleId="NoteHeadingChar">
    <w:name w:val="Note Heading Char"/>
    <w:link w:val="NoteHeading"/>
    <w:uiPriority w:val="99"/>
    <w:rsid w:val="000F0A0B"/>
    <w:rPr>
      <w:rFonts w:ascii="Arial" w:eastAsia="Times New Roman" w:hAnsi="Arial" w:cs="Times New Roman"/>
      <w:b/>
      <w:color w:val="000000"/>
      <w:sz w:val="24"/>
      <w:szCs w:val="20"/>
      <w:lang w:val="en-CA" w:eastAsia="en-CA"/>
    </w:rPr>
  </w:style>
  <w:style w:type="paragraph" w:customStyle="1" w:styleId="NoteSubheading">
    <w:name w:val="Note Subheading"/>
    <w:uiPriority w:val="99"/>
    <w:rsid w:val="000F0A0B"/>
    <w:pPr>
      <w:widowControl w:val="0"/>
      <w:autoSpaceDE w:val="0"/>
      <w:autoSpaceDN w:val="0"/>
      <w:adjustRightInd w:val="0"/>
      <w:spacing w:before="172" w:after="172"/>
    </w:pPr>
    <w:rPr>
      <w:rFonts w:ascii="Arial" w:eastAsia="Times New Roman" w:hAnsi="Arial" w:cs="Arial"/>
      <w:color w:val="000000"/>
      <w:sz w:val="24"/>
      <w:szCs w:val="24"/>
    </w:rPr>
  </w:style>
  <w:style w:type="table" w:styleId="TableClassic2">
    <w:name w:val="Table Classic 2"/>
    <w:basedOn w:val="TableNormal"/>
    <w:uiPriority w:val="99"/>
    <w:rsid w:val="000F0A0B"/>
    <w:rPr>
      <w:rFonts w:ascii="Times New Roman" w:eastAsia="Times New Roman" w:hAnsi="Times New Roman"/>
      <w:lang w:val="en-CA" w:eastAsia="en-CA"/>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1">
    <w:name w:val="Table Classic 1"/>
    <w:basedOn w:val="TableNormal"/>
    <w:uiPriority w:val="99"/>
    <w:rsid w:val="000F0A0B"/>
    <w:rPr>
      <w:rFonts w:ascii="Times New Roman" w:eastAsia="Times New Roman" w:hAnsi="Times New Roman"/>
      <w:lang w:val="en-CA" w:eastAsia="en-CA"/>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0F0A0B"/>
    <w:rPr>
      <w:rFonts w:ascii="Times New Roman" w:eastAsia="Times New Roman" w:hAnsi="Times New Roman"/>
      <w:lang w:val="en-CA" w:eastAsia="en-CA"/>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2">
    <w:name w:val="Table 3D effects 2"/>
    <w:basedOn w:val="TableNormal"/>
    <w:uiPriority w:val="99"/>
    <w:rsid w:val="000F0A0B"/>
    <w:rPr>
      <w:rFonts w:ascii="Times New Roman" w:eastAsia="Times New Roman" w:hAnsi="Times New Roman"/>
      <w:lang w:val="en-CA" w:eastAsia="en-CA"/>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1">
    <w:name w:val="Table 3D effects 1"/>
    <w:basedOn w:val="TableNormal"/>
    <w:uiPriority w:val="99"/>
    <w:rsid w:val="000F0A0B"/>
    <w:rPr>
      <w:rFonts w:ascii="Times New Roman" w:eastAsia="Times New Roman" w:hAnsi="Times New Roman"/>
      <w:lang w:val="en-CA" w:eastAsia="en-CA"/>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2">
    <w:name w:val="Table Grid2"/>
    <w:basedOn w:val="TableNormal"/>
    <w:next w:val="TableGrid"/>
    <w:uiPriority w:val="99"/>
    <w:rsid w:val="000F0A0B"/>
    <w:rPr>
      <w:rFonts w:ascii="Times New Roman" w:eastAsia="Times New Roman" w:hAnsi="Times New Roman"/>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orful2">
    <w:name w:val="Table Colorful 2"/>
    <w:basedOn w:val="TableNormal"/>
    <w:uiPriority w:val="99"/>
    <w:rsid w:val="000F0A0B"/>
    <w:rPr>
      <w:rFonts w:ascii="Times New Roman" w:eastAsia="Times New Roman" w:hAnsi="Times New Roman"/>
      <w:lang w:val="en-CA" w:eastAsia="en-CA"/>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lassic4">
    <w:name w:val="Table Classic 4"/>
    <w:basedOn w:val="TableNormal"/>
    <w:uiPriority w:val="99"/>
    <w:rsid w:val="000F0A0B"/>
    <w:rPr>
      <w:rFonts w:ascii="Times New Roman" w:eastAsia="Times New Roman" w:hAnsi="Times New Roman"/>
      <w:lang w:val="en-CA" w:eastAsia="en-CA"/>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Simple2">
    <w:name w:val="Table Simple 2"/>
    <w:basedOn w:val="TableNormal"/>
    <w:uiPriority w:val="99"/>
    <w:rsid w:val="000F0A0B"/>
    <w:rPr>
      <w:rFonts w:ascii="Times New Roman" w:eastAsia="Times New Roman" w:hAnsi="Times New Roman"/>
      <w:lang w:val="en-CA" w:eastAsia="en-CA"/>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character" w:styleId="CommentReference">
    <w:name w:val="annotation reference"/>
    <w:uiPriority w:val="99"/>
    <w:semiHidden/>
    <w:rsid w:val="000F0A0B"/>
    <w:rPr>
      <w:rFonts w:cs="Times New Roman"/>
      <w:sz w:val="16"/>
    </w:rPr>
  </w:style>
  <w:style w:type="paragraph" w:styleId="CommentText">
    <w:name w:val="annotation text"/>
    <w:basedOn w:val="Normal"/>
    <w:link w:val="CommentTextChar"/>
    <w:uiPriority w:val="99"/>
    <w:semiHidden/>
    <w:rsid w:val="000F0A0B"/>
    <w:pPr>
      <w:widowControl/>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semiHidden/>
    <w:rsid w:val="000F0A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0F0A0B"/>
    <w:rPr>
      <w:b/>
    </w:rPr>
  </w:style>
  <w:style w:type="character" w:customStyle="1" w:styleId="CommentSubjectChar">
    <w:name w:val="Comment Subject Char"/>
    <w:link w:val="CommentSubject"/>
    <w:uiPriority w:val="99"/>
    <w:semiHidden/>
    <w:rsid w:val="000F0A0B"/>
    <w:rPr>
      <w:rFonts w:ascii="Times New Roman" w:eastAsia="Times New Roman" w:hAnsi="Times New Roman" w:cs="Times New Roman"/>
      <w:b/>
      <w:sz w:val="20"/>
      <w:szCs w:val="20"/>
    </w:rPr>
  </w:style>
  <w:style w:type="paragraph" w:styleId="Revision">
    <w:name w:val="Revision"/>
    <w:hidden/>
    <w:uiPriority w:val="99"/>
    <w:semiHidden/>
    <w:rsid w:val="000F0A0B"/>
    <w:rPr>
      <w:rFonts w:ascii="Times New Roman" w:eastAsia="Times New Roman" w:hAnsi="Times New Roman"/>
      <w:sz w:val="21"/>
      <w:szCs w:val="24"/>
    </w:rPr>
  </w:style>
  <w:style w:type="paragraph" w:customStyle="1" w:styleId="Name">
    <w:name w:val="Name"/>
    <w:rsid w:val="000F0A0B"/>
    <w:pPr>
      <w:widowControl w:val="0"/>
      <w:autoSpaceDE w:val="0"/>
      <w:autoSpaceDN w:val="0"/>
      <w:adjustRightInd w:val="0"/>
      <w:spacing w:before="172"/>
    </w:pPr>
    <w:rPr>
      <w:rFonts w:ascii="Arial" w:eastAsia="Times New Roman" w:hAnsi="Arial" w:cs="Arial"/>
      <w:b/>
      <w:bCs/>
      <w:color w:val="000000"/>
      <w:sz w:val="32"/>
      <w:szCs w:val="32"/>
      <w:lang w:val="en-CA" w:eastAsia="en-CA"/>
    </w:rPr>
  </w:style>
  <w:style w:type="paragraph" w:styleId="Subtitle">
    <w:name w:val="Subtitle"/>
    <w:basedOn w:val="Normal"/>
    <w:link w:val="SubtitleChar"/>
    <w:uiPriority w:val="99"/>
    <w:qFormat/>
    <w:rsid w:val="000F0A0B"/>
    <w:pPr>
      <w:autoSpaceDE w:val="0"/>
      <w:autoSpaceDN w:val="0"/>
      <w:adjustRightInd w:val="0"/>
      <w:spacing w:before="172" w:after="0" w:line="240" w:lineRule="auto"/>
    </w:pPr>
    <w:rPr>
      <w:rFonts w:ascii="Cambria" w:eastAsia="Times New Roman" w:hAnsi="Cambria"/>
      <w:sz w:val="24"/>
      <w:szCs w:val="20"/>
    </w:rPr>
  </w:style>
  <w:style w:type="character" w:customStyle="1" w:styleId="SubtitleChar">
    <w:name w:val="Subtitle Char"/>
    <w:link w:val="Subtitle"/>
    <w:uiPriority w:val="11"/>
    <w:rsid w:val="000F0A0B"/>
    <w:rPr>
      <w:rFonts w:ascii="Cambria" w:eastAsia="Times New Roman" w:hAnsi="Cambria" w:cs="Times New Roman"/>
      <w:sz w:val="24"/>
      <w:szCs w:val="20"/>
    </w:rPr>
  </w:style>
  <w:style w:type="character" w:customStyle="1" w:styleId="apple-converted-space">
    <w:name w:val="apple-converted-space"/>
    <w:uiPriority w:val="99"/>
    <w:rsid w:val="000F0A0B"/>
  </w:style>
  <w:style w:type="paragraph" w:styleId="EndnoteText">
    <w:name w:val="endnote text"/>
    <w:basedOn w:val="Normal"/>
    <w:link w:val="EndnoteTextChar"/>
    <w:uiPriority w:val="99"/>
    <w:semiHidden/>
    <w:rsid w:val="000F0A0B"/>
    <w:pPr>
      <w:widowControl/>
      <w:spacing w:after="0" w:line="240" w:lineRule="auto"/>
    </w:pPr>
    <w:rPr>
      <w:rFonts w:ascii="Times New Roman" w:eastAsia="Times New Roman" w:hAnsi="Times New Roman"/>
      <w:sz w:val="20"/>
      <w:szCs w:val="20"/>
    </w:rPr>
  </w:style>
  <w:style w:type="character" w:customStyle="1" w:styleId="EndnoteTextChar">
    <w:name w:val="Endnote Text Char"/>
    <w:link w:val="EndnoteText"/>
    <w:uiPriority w:val="99"/>
    <w:semiHidden/>
    <w:rsid w:val="000F0A0B"/>
    <w:rPr>
      <w:rFonts w:ascii="Times New Roman" w:eastAsia="Times New Roman" w:hAnsi="Times New Roman" w:cs="Times New Roman"/>
      <w:sz w:val="20"/>
      <w:szCs w:val="20"/>
    </w:rPr>
  </w:style>
  <w:style w:type="character" w:styleId="EndnoteReference">
    <w:name w:val="endnote reference"/>
    <w:uiPriority w:val="99"/>
    <w:semiHidden/>
    <w:rsid w:val="000F0A0B"/>
    <w:rPr>
      <w:rFonts w:cs="Times New Roman"/>
      <w:vertAlign w:val="superscript"/>
    </w:rPr>
  </w:style>
  <w:style w:type="paragraph" w:styleId="FootnoteText">
    <w:name w:val="footnote text"/>
    <w:basedOn w:val="Normal"/>
    <w:link w:val="FootnoteTextChar"/>
    <w:uiPriority w:val="99"/>
    <w:rsid w:val="000F0A0B"/>
    <w:pPr>
      <w:widowControl/>
      <w:spacing w:after="0" w:line="240" w:lineRule="auto"/>
    </w:pPr>
    <w:rPr>
      <w:rFonts w:ascii="Times New Roman" w:eastAsia="Times New Roman" w:hAnsi="Times New Roman"/>
      <w:sz w:val="20"/>
      <w:szCs w:val="20"/>
    </w:rPr>
  </w:style>
  <w:style w:type="character" w:customStyle="1" w:styleId="FootnoteTextChar">
    <w:name w:val="Footnote Text Char"/>
    <w:link w:val="FootnoteText"/>
    <w:uiPriority w:val="99"/>
    <w:rsid w:val="000F0A0B"/>
    <w:rPr>
      <w:rFonts w:ascii="Times New Roman" w:eastAsia="Times New Roman" w:hAnsi="Times New Roman" w:cs="Times New Roman"/>
      <w:sz w:val="20"/>
      <w:szCs w:val="20"/>
    </w:rPr>
  </w:style>
  <w:style w:type="character" w:styleId="FootnoteReference">
    <w:name w:val="footnote reference"/>
    <w:uiPriority w:val="99"/>
    <w:semiHidden/>
    <w:rsid w:val="000F0A0B"/>
    <w:rPr>
      <w:rFonts w:cs="Times New Roman"/>
      <w:vertAlign w:val="superscript"/>
    </w:rPr>
  </w:style>
  <w:style w:type="character" w:styleId="Emphasis">
    <w:name w:val="Emphasis"/>
    <w:uiPriority w:val="99"/>
    <w:qFormat/>
    <w:rsid w:val="000F0A0B"/>
    <w:rPr>
      <w:rFonts w:cs="Times New Roman"/>
      <w:i/>
    </w:rPr>
  </w:style>
  <w:style w:type="paragraph" w:customStyle="1" w:styleId="mtbody0">
    <w:name w:val="mtbody"/>
    <w:basedOn w:val="Normal"/>
    <w:rsid w:val="000F0A0B"/>
    <w:pPr>
      <w:widowControl/>
      <w:spacing w:after="240" w:line="240" w:lineRule="auto"/>
      <w:jc w:val="both"/>
    </w:pPr>
    <w:rPr>
      <w:rFonts w:ascii="Times New Roman" w:eastAsia="Times New Roman" w:hAnsi="Times New Roman"/>
      <w:sz w:val="21"/>
      <w:szCs w:val="21"/>
      <w:lang w:val="en-CA" w:eastAsia="en-CA"/>
    </w:rPr>
  </w:style>
  <w:style w:type="paragraph" w:customStyle="1" w:styleId="Style1">
    <w:name w:val="Style1"/>
    <w:basedOn w:val="CommentText"/>
    <w:link w:val="Style1Char"/>
    <w:uiPriority w:val="99"/>
    <w:rsid w:val="000F0A0B"/>
    <w:pPr>
      <w:ind w:left="720"/>
    </w:pPr>
    <w:rPr>
      <w:sz w:val="24"/>
      <w:szCs w:val="24"/>
    </w:rPr>
  </w:style>
  <w:style w:type="character" w:customStyle="1" w:styleId="Style1Char">
    <w:name w:val="Style1 Char"/>
    <w:link w:val="Style1"/>
    <w:uiPriority w:val="99"/>
    <w:locked/>
    <w:rsid w:val="000F0A0B"/>
    <w:rPr>
      <w:rFonts w:ascii="Times New Roman" w:eastAsia="Times New Roman" w:hAnsi="Times New Roman" w:cs="Times New Roman"/>
      <w:sz w:val="24"/>
      <w:szCs w:val="24"/>
    </w:rPr>
  </w:style>
  <w:style w:type="paragraph" w:customStyle="1" w:styleId="Default">
    <w:name w:val="Default"/>
    <w:rsid w:val="000F0A0B"/>
    <w:pPr>
      <w:autoSpaceDE w:val="0"/>
      <w:autoSpaceDN w:val="0"/>
      <w:adjustRightInd w:val="0"/>
    </w:pPr>
    <w:rPr>
      <w:rFonts w:ascii="Times New Roman" w:eastAsia="Times New Roman" w:hAnsi="Times New Roman"/>
      <w:color w:val="000000"/>
      <w:sz w:val="24"/>
      <w:szCs w:val="24"/>
      <w:lang w:val="en-CA" w:eastAsia="en-CA"/>
    </w:rPr>
  </w:style>
  <w:style w:type="paragraph" w:styleId="NoSpacing">
    <w:name w:val="No Spacing"/>
    <w:uiPriority w:val="1"/>
    <w:qFormat/>
    <w:rsid w:val="000F0A0B"/>
    <w:rPr>
      <w:rFonts w:ascii="Times New Roman" w:eastAsia="Times New Roman" w:hAnsi="Times New Roman"/>
      <w:sz w:val="21"/>
      <w:szCs w:val="24"/>
    </w:rPr>
  </w:style>
  <w:style w:type="character" w:customStyle="1" w:styleId="Mention1">
    <w:name w:val="Mention1"/>
    <w:uiPriority w:val="99"/>
    <w:semiHidden/>
    <w:unhideWhenUsed/>
    <w:rsid w:val="00156388"/>
    <w:rPr>
      <w:color w:val="2B579A"/>
      <w:shd w:val="clear" w:color="auto" w:fill="E6E6E6"/>
    </w:rPr>
  </w:style>
  <w:style w:type="paragraph" w:styleId="BodyText">
    <w:name w:val="Body Text"/>
    <w:basedOn w:val="Normal"/>
    <w:link w:val="BodyTextChar"/>
    <w:uiPriority w:val="99"/>
    <w:semiHidden/>
    <w:unhideWhenUsed/>
    <w:rsid w:val="00541B80"/>
    <w:pPr>
      <w:spacing w:after="120"/>
    </w:pPr>
  </w:style>
  <w:style w:type="character" w:customStyle="1" w:styleId="BodyTextChar">
    <w:name w:val="Body Text Char"/>
    <w:basedOn w:val="DefaultParagraphFont"/>
    <w:link w:val="BodyText"/>
    <w:uiPriority w:val="99"/>
    <w:semiHidden/>
    <w:rsid w:val="00541B80"/>
    <w:rPr>
      <w:sz w:val="22"/>
      <w:szCs w:val="22"/>
    </w:rPr>
  </w:style>
  <w:style w:type="character" w:customStyle="1" w:styleId="UnresolvedMention1">
    <w:name w:val="Unresolved Mention1"/>
    <w:basedOn w:val="DefaultParagraphFont"/>
    <w:uiPriority w:val="99"/>
    <w:semiHidden/>
    <w:unhideWhenUsed/>
    <w:rsid w:val="005E0A39"/>
    <w:rPr>
      <w:color w:val="605E5C"/>
      <w:shd w:val="clear" w:color="auto" w:fill="E1DFDD"/>
    </w:rPr>
  </w:style>
  <w:style w:type="character" w:customStyle="1" w:styleId="UnresolvedMention2">
    <w:name w:val="Unresolved Mention2"/>
    <w:basedOn w:val="DefaultParagraphFont"/>
    <w:uiPriority w:val="99"/>
    <w:semiHidden/>
    <w:unhideWhenUsed/>
    <w:rsid w:val="004A0B70"/>
    <w:rPr>
      <w:color w:val="605E5C"/>
      <w:shd w:val="clear" w:color="auto" w:fill="E1DFDD"/>
    </w:rPr>
  </w:style>
  <w:style w:type="paragraph" w:styleId="NormalWeb">
    <w:name w:val="Normal (Web)"/>
    <w:basedOn w:val="Normal"/>
    <w:uiPriority w:val="99"/>
    <w:unhideWhenUsed/>
    <w:rsid w:val="00A61244"/>
    <w:pPr>
      <w:widowControl/>
      <w:spacing w:before="100" w:beforeAutospacing="1" w:after="100" w:afterAutospacing="1" w:line="240" w:lineRule="auto"/>
    </w:pPr>
    <w:rPr>
      <w:rFonts w:ascii="Times New Roman" w:eastAsiaTheme="minorEastAsia" w:hAnsi="Times New Roman"/>
      <w:sz w:val="24"/>
      <w:szCs w:val="24"/>
      <w:lang w:val="en-CA" w:eastAsia="en-CA"/>
    </w:rPr>
  </w:style>
  <w:style w:type="character" w:customStyle="1" w:styleId="UnresolvedMention3">
    <w:name w:val="Unresolved Mention3"/>
    <w:basedOn w:val="DefaultParagraphFont"/>
    <w:uiPriority w:val="99"/>
    <w:semiHidden/>
    <w:unhideWhenUsed/>
    <w:rsid w:val="00133831"/>
    <w:rPr>
      <w:color w:val="605E5C"/>
      <w:shd w:val="clear" w:color="auto" w:fill="E1DFDD"/>
    </w:rPr>
  </w:style>
  <w:style w:type="character" w:customStyle="1" w:styleId="UnresolvedMention4">
    <w:name w:val="Unresolved Mention4"/>
    <w:basedOn w:val="DefaultParagraphFont"/>
    <w:uiPriority w:val="99"/>
    <w:semiHidden/>
    <w:unhideWhenUsed/>
    <w:rsid w:val="001839A3"/>
    <w:rPr>
      <w:color w:val="605E5C"/>
      <w:shd w:val="clear" w:color="auto" w:fill="E1DFDD"/>
    </w:rPr>
  </w:style>
  <w:style w:type="numbering" w:customStyle="1" w:styleId="CurrentList1">
    <w:name w:val="Current List1"/>
    <w:uiPriority w:val="99"/>
    <w:rsid w:val="00AC5740"/>
    <w:pPr>
      <w:numPr>
        <w:numId w:val="8"/>
      </w:numPr>
    </w:pPr>
  </w:style>
  <w:style w:type="paragraph" w:customStyle="1" w:styleId="Response">
    <w:name w:val="Response"/>
    <w:basedOn w:val="Normal"/>
    <w:qFormat/>
    <w:rsid w:val="00505669"/>
    <w:pPr>
      <w:widowControl/>
      <w:spacing w:after="240" w:line="240" w:lineRule="auto"/>
      <w:ind w:left="720"/>
      <w:jc w:val="both"/>
      <w:outlineLvl w:val="1"/>
    </w:pPr>
    <w:rPr>
      <w:rFonts w:ascii="Times New Roman" w:eastAsia="Times New Roman" w:hAnsi="Times New Roman"/>
      <w:b/>
      <w:sz w:val="24"/>
      <w:szCs w:val="20"/>
    </w:rPr>
  </w:style>
  <w:style w:type="character" w:styleId="UnresolvedMention">
    <w:name w:val="Unresolved Mention"/>
    <w:basedOn w:val="DefaultParagraphFont"/>
    <w:uiPriority w:val="99"/>
    <w:rsid w:val="005833FA"/>
    <w:rPr>
      <w:color w:val="605E5C"/>
      <w:shd w:val="clear" w:color="auto" w:fill="E1DFDD"/>
    </w:rPr>
  </w:style>
  <w:style w:type="paragraph" w:customStyle="1" w:styleId="TblTxt-Basic">
    <w:name w:val="TblTxt - Basic"/>
    <w:basedOn w:val="Normal"/>
    <w:qFormat/>
    <w:rsid w:val="000E1872"/>
    <w:pPr>
      <w:widowControl/>
      <w:spacing w:before="40" w:after="40" w:line="240" w:lineRule="auto"/>
      <w:jc w:val="both"/>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31465">
      <w:bodyDiv w:val="1"/>
      <w:marLeft w:val="0"/>
      <w:marRight w:val="0"/>
      <w:marTop w:val="0"/>
      <w:marBottom w:val="0"/>
      <w:divBdr>
        <w:top w:val="none" w:sz="0" w:space="0" w:color="auto"/>
        <w:left w:val="none" w:sz="0" w:space="0" w:color="auto"/>
        <w:bottom w:val="none" w:sz="0" w:space="0" w:color="auto"/>
        <w:right w:val="none" w:sz="0" w:space="0" w:color="auto"/>
      </w:divBdr>
    </w:div>
    <w:div w:id="263421370">
      <w:bodyDiv w:val="1"/>
      <w:marLeft w:val="0"/>
      <w:marRight w:val="0"/>
      <w:marTop w:val="0"/>
      <w:marBottom w:val="0"/>
      <w:divBdr>
        <w:top w:val="none" w:sz="0" w:space="0" w:color="auto"/>
        <w:left w:val="none" w:sz="0" w:space="0" w:color="auto"/>
        <w:bottom w:val="none" w:sz="0" w:space="0" w:color="auto"/>
        <w:right w:val="none" w:sz="0" w:space="0" w:color="auto"/>
      </w:divBdr>
    </w:div>
    <w:div w:id="588779746">
      <w:bodyDiv w:val="1"/>
      <w:marLeft w:val="0"/>
      <w:marRight w:val="0"/>
      <w:marTop w:val="0"/>
      <w:marBottom w:val="0"/>
      <w:divBdr>
        <w:top w:val="none" w:sz="0" w:space="0" w:color="auto"/>
        <w:left w:val="none" w:sz="0" w:space="0" w:color="auto"/>
        <w:bottom w:val="none" w:sz="0" w:space="0" w:color="auto"/>
        <w:right w:val="none" w:sz="0" w:space="0" w:color="auto"/>
      </w:divBdr>
    </w:div>
    <w:div w:id="727998284">
      <w:bodyDiv w:val="1"/>
      <w:marLeft w:val="0"/>
      <w:marRight w:val="0"/>
      <w:marTop w:val="0"/>
      <w:marBottom w:val="0"/>
      <w:divBdr>
        <w:top w:val="none" w:sz="0" w:space="0" w:color="auto"/>
        <w:left w:val="none" w:sz="0" w:space="0" w:color="auto"/>
        <w:bottom w:val="none" w:sz="0" w:space="0" w:color="auto"/>
        <w:right w:val="none" w:sz="0" w:space="0" w:color="auto"/>
      </w:divBdr>
    </w:div>
    <w:div w:id="731853588">
      <w:bodyDiv w:val="1"/>
      <w:marLeft w:val="0"/>
      <w:marRight w:val="0"/>
      <w:marTop w:val="0"/>
      <w:marBottom w:val="0"/>
      <w:divBdr>
        <w:top w:val="none" w:sz="0" w:space="0" w:color="auto"/>
        <w:left w:val="none" w:sz="0" w:space="0" w:color="auto"/>
        <w:bottom w:val="none" w:sz="0" w:space="0" w:color="auto"/>
        <w:right w:val="none" w:sz="0" w:space="0" w:color="auto"/>
      </w:divBdr>
    </w:div>
    <w:div w:id="731925923">
      <w:bodyDiv w:val="1"/>
      <w:marLeft w:val="0"/>
      <w:marRight w:val="0"/>
      <w:marTop w:val="0"/>
      <w:marBottom w:val="0"/>
      <w:divBdr>
        <w:top w:val="none" w:sz="0" w:space="0" w:color="auto"/>
        <w:left w:val="none" w:sz="0" w:space="0" w:color="auto"/>
        <w:bottom w:val="none" w:sz="0" w:space="0" w:color="auto"/>
        <w:right w:val="none" w:sz="0" w:space="0" w:color="auto"/>
      </w:divBdr>
    </w:div>
    <w:div w:id="787699388">
      <w:bodyDiv w:val="1"/>
      <w:marLeft w:val="0"/>
      <w:marRight w:val="0"/>
      <w:marTop w:val="0"/>
      <w:marBottom w:val="0"/>
      <w:divBdr>
        <w:top w:val="none" w:sz="0" w:space="0" w:color="auto"/>
        <w:left w:val="none" w:sz="0" w:space="0" w:color="auto"/>
        <w:bottom w:val="none" w:sz="0" w:space="0" w:color="auto"/>
        <w:right w:val="none" w:sz="0" w:space="0" w:color="auto"/>
      </w:divBdr>
    </w:div>
    <w:div w:id="1013071939">
      <w:bodyDiv w:val="1"/>
      <w:marLeft w:val="0"/>
      <w:marRight w:val="0"/>
      <w:marTop w:val="0"/>
      <w:marBottom w:val="0"/>
      <w:divBdr>
        <w:top w:val="none" w:sz="0" w:space="0" w:color="auto"/>
        <w:left w:val="none" w:sz="0" w:space="0" w:color="auto"/>
        <w:bottom w:val="none" w:sz="0" w:space="0" w:color="auto"/>
        <w:right w:val="none" w:sz="0" w:space="0" w:color="auto"/>
      </w:divBdr>
    </w:div>
    <w:div w:id="1057780016">
      <w:bodyDiv w:val="1"/>
      <w:marLeft w:val="0"/>
      <w:marRight w:val="0"/>
      <w:marTop w:val="0"/>
      <w:marBottom w:val="0"/>
      <w:divBdr>
        <w:top w:val="none" w:sz="0" w:space="0" w:color="auto"/>
        <w:left w:val="none" w:sz="0" w:space="0" w:color="auto"/>
        <w:bottom w:val="none" w:sz="0" w:space="0" w:color="auto"/>
        <w:right w:val="none" w:sz="0" w:space="0" w:color="auto"/>
      </w:divBdr>
    </w:div>
    <w:div w:id="1143962741">
      <w:bodyDiv w:val="1"/>
      <w:marLeft w:val="0"/>
      <w:marRight w:val="0"/>
      <w:marTop w:val="0"/>
      <w:marBottom w:val="0"/>
      <w:divBdr>
        <w:top w:val="none" w:sz="0" w:space="0" w:color="auto"/>
        <w:left w:val="none" w:sz="0" w:space="0" w:color="auto"/>
        <w:bottom w:val="none" w:sz="0" w:space="0" w:color="auto"/>
        <w:right w:val="none" w:sz="0" w:space="0" w:color="auto"/>
      </w:divBdr>
    </w:div>
    <w:div w:id="1179780555">
      <w:bodyDiv w:val="1"/>
      <w:marLeft w:val="0"/>
      <w:marRight w:val="0"/>
      <w:marTop w:val="0"/>
      <w:marBottom w:val="0"/>
      <w:divBdr>
        <w:top w:val="none" w:sz="0" w:space="0" w:color="auto"/>
        <w:left w:val="none" w:sz="0" w:space="0" w:color="auto"/>
        <w:bottom w:val="none" w:sz="0" w:space="0" w:color="auto"/>
        <w:right w:val="none" w:sz="0" w:space="0" w:color="auto"/>
      </w:divBdr>
    </w:div>
    <w:div w:id="1232080407">
      <w:bodyDiv w:val="1"/>
      <w:marLeft w:val="0"/>
      <w:marRight w:val="0"/>
      <w:marTop w:val="0"/>
      <w:marBottom w:val="0"/>
      <w:divBdr>
        <w:top w:val="none" w:sz="0" w:space="0" w:color="auto"/>
        <w:left w:val="none" w:sz="0" w:space="0" w:color="auto"/>
        <w:bottom w:val="none" w:sz="0" w:space="0" w:color="auto"/>
        <w:right w:val="none" w:sz="0" w:space="0" w:color="auto"/>
      </w:divBdr>
    </w:div>
    <w:div w:id="1319457981">
      <w:bodyDiv w:val="1"/>
      <w:marLeft w:val="0"/>
      <w:marRight w:val="0"/>
      <w:marTop w:val="0"/>
      <w:marBottom w:val="0"/>
      <w:divBdr>
        <w:top w:val="none" w:sz="0" w:space="0" w:color="auto"/>
        <w:left w:val="none" w:sz="0" w:space="0" w:color="auto"/>
        <w:bottom w:val="none" w:sz="0" w:space="0" w:color="auto"/>
        <w:right w:val="none" w:sz="0" w:space="0" w:color="auto"/>
      </w:divBdr>
    </w:div>
    <w:div w:id="1398505148">
      <w:bodyDiv w:val="1"/>
      <w:marLeft w:val="0"/>
      <w:marRight w:val="0"/>
      <w:marTop w:val="0"/>
      <w:marBottom w:val="0"/>
      <w:divBdr>
        <w:top w:val="none" w:sz="0" w:space="0" w:color="auto"/>
        <w:left w:val="none" w:sz="0" w:space="0" w:color="auto"/>
        <w:bottom w:val="none" w:sz="0" w:space="0" w:color="auto"/>
        <w:right w:val="none" w:sz="0" w:space="0" w:color="auto"/>
      </w:divBdr>
    </w:div>
    <w:div w:id="1437671610">
      <w:bodyDiv w:val="1"/>
      <w:marLeft w:val="0"/>
      <w:marRight w:val="0"/>
      <w:marTop w:val="0"/>
      <w:marBottom w:val="0"/>
      <w:divBdr>
        <w:top w:val="none" w:sz="0" w:space="0" w:color="auto"/>
        <w:left w:val="none" w:sz="0" w:space="0" w:color="auto"/>
        <w:bottom w:val="none" w:sz="0" w:space="0" w:color="auto"/>
        <w:right w:val="none" w:sz="0" w:space="0" w:color="auto"/>
      </w:divBdr>
    </w:div>
    <w:div w:id="1522205819">
      <w:bodyDiv w:val="1"/>
      <w:marLeft w:val="0"/>
      <w:marRight w:val="0"/>
      <w:marTop w:val="0"/>
      <w:marBottom w:val="0"/>
      <w:divBdr>
        <w:top w:val="none" w:sz="0" w:space="0" w:color="auto"/>
        <w:left w:val="none" w:sz="0" w:space="0" w:color="auto"/>
        <w:bottom w:val="none" w:sz="0" w:space="0" w:color="auto"/>
        <w:right w:val="none" w:sz="0" w:space="0" w:color="auto"/>
      </w:divBdr>
    </w:div>
    <w:div w:id="1626766316">
      <w:bodyDiv w:val="1"/>
      <w:marLeft w:val="0"/>
      <w:marRight w:val="0"/>
      <w:marTop w:val="0"/>
      <w:marBottom w:val="0"/>
      <w:divBdr>
        <w:top w:val="none" w:sz="0" w:space="0" w:color="auto"/>
        <w:left w:val="none" w:sz="0" w:space="0" w:color="auto"/>
        <w:bottom w:val="none" w:sz="0" w:space="0" w:color="auto"/>
        <w:right w:val="none" w:sz="0" w:space="0" w:color="auto"/>
      </w:divBdr>
    </w:div>
    <w:div w:id="1882277235">
      <w:bodyDiv w:val="1"/>
      <w:marLeft w:val="0"/>
      <w:marRight w:val="0"/>
      <w:marTop w:val="0"/>
      <w:marBottom w:val="0"/>
      <w:divBdr>
        <w:top w:val="none" w:sz="0" w:space="0" w:color="auto"/>
        <w:left w:val="none" w:sz="0" w:space="0" w:color="auto"/>
        <w:bottom w:val="none" w:sz="0" w:space="0" w:color="auto"/>
        <w:right w:val="none" w:sz="0" w:space="0" w:color="auto"/>
      </w:divBdr>
    </w:div>
    <w:div w:id="1932156427">
      <w:bodyDiv w:val="1"/>
      <w:marLeft w:val="0"/>
      <w:marRight w:val="0"/>
      <w:marTop w:val="0"/>
      <w:marBottom w:val="0"/>
      <w:divBdr>
        <w:top w:val="none" w:sz="0" w:space="0" w:color="auto"/>
        <w:left w:val="none" w:sz="0" w:space="0" w:color="auto"/>
        <w:bottom w:val="none" w:sz="0" w:space="0" w:color="auto"/>
        <w:right w:val="none" w:sz="0" w:space="0" w:color="auto"/>
      </w:divBdr>
    </w:div>
    <w:div w:id="1949459408">
      <w:bodyDiv w:val="1"/>
      <w:marLeft w:val="0"/>
      <w:marRight w:val="0"/>
      <w:marTop w:val="0"/>
      <w:marBottom w:val="0"/>
      <w:divBdr>
        <w:top w:val="none" w:sz="0" w:space="0" w:color="auto"/>
        <w:left w:val="none" w:sz="0" w:space="0" w:color="auto"/>
        <w:bottom w:val="none" w:sz="0" w:space="0" w:color="auto"/>
        <w:right w:val="none" w:sz="0" w:space="0" w:color="auto"/>
      </w:divBdr>
    </w:div>
    <w:div w:id="2055151709">
      <w:bodyDiv w:val="1"/>
      <w:marLeft w:val="0"/>
      <w:marRight w:val="0"/>
      <w:marTop w:val="0"/>
      <w:marBottom w:val="0"/>
      <w:divBdr>
        <w:top w:val="none" w:sz="0" w:space="0" w:color="auto"/>
        <w:left w:val="none" w:sz="0" w:space="0" w:color="auto"/>
        <w:bottom w:val="none" w:sz="0" w:space="0" w:color="auto"/>
        <w:right w:val="none" w:sz="0" w:space="0" w:color="auto"/>
      </w:divBdr>
    </w:div>
    <w:div w:id="2085684796">
      <w:bodyDiv w:val="1"/>
      <w:marLeft w:val="0"/>
      <w:marRight w:val="0"/>
      <w:marTop w:val="0"/>
      <w:marBottom w:val="0"/>
      <w:divBdr>
        <w:top w:val="none" w:sz="0" w:space="0" w:color="auto"/>
        <w:left w:val="none" w:sz="0" w:space="0" w:color="auto"/>
        <w:bottom w:val="none" w:sz="0" w:space="0" w:color="auto"/>
        <w:right w:val="none" w:sz="0" w:space="0" w:color="auto"/>
      </w:divBdr>
    </w:div>
    <w:div w:id="2103450607">
      <w:bodyDiv w:val="1"/>
      <w:marLeft w:val="0"/>
      <w:marRight w:val="0"/>
      <w:marTop w:val="0"/>
      <w:marBottom w:val="0"/>
      <w:divBdr>
        <w:top w:val="none" w:sz="0" w:space="0" w:color="auto"/>
        <w:left w:val="none" w:sz="0" w:space="0" w:color="auto"/>
        <w:bottom w:val="none" w:sz="0" w:space="0" w:color="auto"/>
        <w:right w:val="none" w:sz="0" w:space="0" w:color="auto"/>
      </w:divBdr>
    </w:div>
    <w:div w:id="2131825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hyperlink" Target="http://www.sedarplus.ca" TargetMode="External"/><Relationship Id="rId18" Type="http://schemas.openxmlformats.org/officeDocument/2006/relationships/hyperlink" Target="http://www.sedarplus.c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tif"/><Relationship Id="rId17" Type="http://schemas.openxmlformats.org/officeDocument/2006/relationships/hyperlink" Target="http://www.sedarplus.cai" TargetMode="External"/><Relationship Id="rId2" Type="http://schemas.openxmlformats.org/officeDocument/2006/relationships/numbering" Target="numbering.xml"/><Relationship Id="rId16" Type="http://schemas.openxmlformats.org/officeDocument/2006/relationships/hyperlink" Target="http://www.sedarplus.ca"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ivers-semiconductors.com/" TargetMode="External"/><Relationship Id="rId10" Type="http://schemas.openxmlformats.org/officeDocument/2006/relationships/footer" Target="footer1.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2.tif"/><Relationship Id="rId14" Type="http://schemas.openxmlformats.org/officeDocument/2006/relationships/hyperlink" Target="http://www.sec.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31CCF-3580-4915-B576-6A6EDE4C1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41</Pages>
  <Words>20035</Words>
  <Characters>113805</Characters>
  <Application>Microsoft Office Word</Application>
  <DocSecurity>0</DocSecurity>
  <Lines>3075</Lines>
  <Paragraphs>1761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Barnes</dc:creator>
  <cp:lastModifiedBy>Kevin Barnes</cp:lastModifiedBy>
  <cp:revision>4</cp:revision>
  <cp:lastPrinted>1900-01-01T07:59:00Z</cp:lastPrinted>
  <dcterms:created xsi:type="dcterms:W3CDTF">2025-11-10T13:41:00Z</dcterms:created>
  <dcterms:modified xsi:type="dcterms:W3CDTF">2025-11-13T18:49:00Z</dcterms:modified>
</cp:coreProperties>
</file>