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D6ECC" w14:textId="77777777" w:rsidR="0017404C" w:rsidRDefault="0017404C" w:rsidP="0017404C">
      <w:pPr>
        <w:pStyle w:val="Heading1"/>
        <w:contextualSpacing/>
        <w:jc w:val="center"/>
      </w:pPr>
      <w:r w:rsidRPr="001C6CB7">
        <w:t xml:space="preserve">National Growth Areas Alliance (NGAA) </w:t>
      </w:r>
    </w:p>
    <w:p w14:paraId="304078A7" w14:textId="77777777" w:rsidR="0017404C" w:rsidRPr="001C6CB7" w:rsidRDefault="0017404C" w:rsidP="0017404C">
      <w:pPr>
        <w:pStyle w:val="Heading1"/>
        <w:contextualSpacing/>
        <w:jc w:val="center"/>
      </w:pPr>
      <w:r w:rsidRPr="001C6CB7">
        <w:t>Federal Election Advocacy Toolkit</w:t>
      </w:r>
    </w:p>
    <w:p w14:paraId="346171EA" w14:textId="77777777" w:rsidR="0017404C" w:rsidRDefault="0017404C" w:rsidP="0017404C">
      <w:pPr>
        <w:pStyle w:val="Heading2"/>
        <w:contextualSpacing/>
        <w:rPr>
          <w:color w:val="9F1F63"/>
        </w:rPr>
      </w:pPr>
    </w:p>
    <w:p w14:paraId="195BF048" w14:textId="77777777" w:rsidR="0017404C" w:rsidRPr="00314E8A" w:rsidRDefault="0017404C" w:rsidP="0017404C">
      <w:pPr>
        <w:pStyle w:val="Heading2"/>
        <w:contextualSpacing/>
        <w:rPr>
          <w:color w:val="9F1F63"/>
        </w:rPr>
      </w:pPr>
      <w:r w:rsidRPr="00314E8A">
        <w:rPr>
          <w:color w:val="9F1F63"/>
        </w:rPr>
        <w:t>Introduction</w:t>
      </w:r>
    </w:p>
    <w:p w14:paraId="771DBE90" w14:textId="77777777" w:rsidR="0017404C" w:rsidRDefault="0017404C" w:rsidP="0017404C">
      <w:pPr>
        <w:contextualSpacing/>
        <w:rPr>
          <w:rFonts w:ascii="Arial" w:hAnsi="Arial" w:cs="Arial"/>
        </w:rPr>
      </w:pPr>
      <w:r w:rsidRPr="00752F3C">
        <w:rPr>
          <w:rFonts w:ascii="Arial" w:hAnsi="Arial" w:cs="Arial"/>
          <w:color w:val="000000" w:themeColor="text1"/>
        </w:rPr>
        <w:t>This</w:t>
      </w:r>
      <w:r w:rsidRPr="001C6CB7">
        <w:rPr>
          <w:rFonts w:ascii="Arial" w:hAnsi="Arial" w:cs="Arial"/>
        </w:rPr>
        <w:t xml:space="preserve"> toolkit is designed to support </w:t>
      </w:r>
      <w:r>
        <w:rPr>
          <w:rFonts w:ascii="Arial" w:hAnsi="Arial" w:cs="Arial"/>
        </w:rPr>
        <w:t>you</w:t>
      </w:r>
      <w:r w:rsidRPr="001C6CB7">
        <w:rPr>
          <w:rFonts w:ascii="Arial" w:hAnsi="Arial" w:cs="Arial"/>
        </w:rPr>
        <w:t xml:space="preserve"> in </w:t>
      </w:r>
      <w:r>
        <w:rPr>
          <w:rFonts w:ascii="Arial" w:hAnsi="Arial" w:cs="Arial"/>
        </w:rPr>
        <w:t>your local advocacy activities in the lead up to the</w:t>
      </w:r>
      <w:r w:rsidRPr="001C6CB7">
        <w:rPr>
          <w:rFonts w:ascii="Arial" w:hAnsi="Arial" w:cs="Arial"/>
        </w:rPr>
        <w:t xml:space="preserve"> Federal Election.</w:t>
      </w:r>
    </w:p>
    <w:p w14:paraId="4B24944C" w14:textId="77777777" w:rsidR="0017404C" w:rsidRDefault="0017404C" w:rsidP="0017404C">
      <w:pPr>
        <w:contextualSpacing/>
        <w:rPr>
          <w:rFonts w:ascii="Arial" w:hAnsi="Arial" w:cs="Arial"/>
        </w:rPr>
      </w:pPr>
    </w:p>
    <w:p w14:paraId="5559F65C" w14:textId="77777777" w:rsidR="0017404C" w:rsidRDefault="0017404C" w:rsidP="0017404C">
      <w:pPr>
        <w:contextualSpacing/>
        <w:rPr>
          <w:rFonts w:ascii="Arial" w:hAnsi="Arial" w:cs="Arial"/>
        </w:rPr>
      </w:pPr>
      <w:r>
        <w:rPr>
          <w:rFonts w:ascii="Arial" w:hAnsi="Arial" w:cs="Arial"/>
        </w:rPr>
        <w:t xml:space="preserve">Our objective is to equip Growth Area councils with the data and messaging to advocate to government with a consistent and co-ordinated message – to win the election, both parties must commit to addressing the needs of the 1-in-5 Australians living in Growth Areas. </w:t>
      </w:r>
    </w:p>
    <w:p w14:paraId="774CFD96" w14:textId="77777777" w:rsidR="0017404C" w:rsidRDefault="0017404C" w:rsidP="0017404C">
      <w:pPr>
        <w:contextualSpacing/>
        <w:rPr>
          <w:rFonts w:ascii="Arial" w:hAnsi="Arial" w:cs="Arial"/>
        </w:rPr>
      </w:pPr>
      <w:r w:rsidRPr="001C6CB7">
        <w:rPr>
          <w:rFonts w:ascii="Arial" w:hAnsi="Arial" w:cs="Arial"/>
        </w:rPr>
        <w:t xml:space="preserve"> </w:t>
      </w:r>
    </w:p>
    <w:p w14:paraId="5FA95F59" w14:textId="77777777" w:rsidR="0017404C" w:rsidRDefault="0017404C" w:rsidP="0017404C">
      <w:pPr>
        <w:contextualSpacing/>
        <w:rPr>
          <w:rFonts w:ascii="Arial" w:hAnsi="Arial" w:cs="Arial"/>
        </w:rPr>
      </w:pPr>
      <w:r>
        <w:rPr>
          <w:rFonts w:ascii="Arial" w:hAnsi="Arial" w:cs="Arial"/>
        </w:rPr>
        <w:t xml:space="preserve">Supporting documents also include (all available at </w:t>
      </w:r>
      <w:hyperlink r:id="rId11" w:history="1">
        <w:r w:rsidRPr="004D3A5A">
          <w:rPr>
            <w:rStyle w:val="Hyperlink"/>
            <w:rFonts w:ascii="Arial" w:hAnsi="Arial" w:cs="Arial"/>
          </w:rPr>
          <w:t>ngaa.org.au/advocacy</w:t>
        </w:r>
      </w:hyperlink>
      <w:r>
        <w:rPr>
          <w:rFonts w:ascii="Arial" w:hAnsi="Arial" w:cs="Arial"/>
        </w:rPr>
        <w:t>):</w:t>
      </w:r>
    </w:p>
    <w:p w14:paraId="7FBBBCE8" w14:textId="77777777" w:rsidR="0017404C" w:rsidRDefault="0017404C" w:rsidP="0017404C">
      <w:pPr>
        <w:contextualSpacing/>
        <w:rPr>
          <w:rFonts w:ascii="Arial" w:hAnsi="Arial" w:cs="Arial"/>
        </w:rPr>
      </w:pPr>
    </w:p>
    <w:p w14:paraId="604B1FD8" w14:textId="77777777" w:rsidR="0017404C" w:rsidRDefault="0017404C" w:rsidP="0017404C">
      <w:pPr>
        <w:pStyle w:val="ListParagraph"/>
        <w:numPr>
          <w:ilvl w:val="0"/>
          <w:numId w:val="6"/>
        </w:numPr>
        <w:spacing w:after="0" w:line="240" w:lineRule="auto"/>
        <w:rPr>
          <w:rFonts w:ascii="Arial" w:hAnsi="Arial" w:cs="Arial"/>
        </w:rPr>
      </w:pPr>
      <w:r w:rsidRPr="0092502F">
        <w:rPr>
          <w:rFonts w:ascii="Arial" w:hAnsi="Arial" w:cs="Arial"/>
        </w:rPr>
        <w:t xml:space="preserve">Report: </w:t>
      </w:r>
      <w:r w:rsidRPr="004D3A5A">
        <w:rPr>
          <w:rFonts w:ascii="Arial" w:hAnsi="Arial" w:cs="Arial"/>
          <w:i/>
          <w:iCs/>
        </w:rPr>
        <w:t>Investment Solutions for Today’s Infrastructure Needs and Tomorrow’s Housing in Outer-Metropolitan Growth Areas</w:t>
      </w:r>
      <w:r w:rsidRPr="0092502F">
        <w:rPr>
          <w:rFonts w:ascii="Arial" w:hAnsi="Arial" w:cs="Arial"/>
        </w:rPr>
        <w:t xml:space="preserve"> </w:t>
      </w:r>
    </w:p>
    <w:p w14:paraId="3D117C35" w14:textId="77777777" w:rsidR="0017404C" w:rsidRDefault="0017404C" w:rsidP="0017404C">
      <w:pPr>
        <w:pStyle w:val="ListParagraph"/>
        <w:numPr>
          <w:ilvl w:val="0"/>
          <w:numId w:val="6"/>
        </w:numPr>
        <w:spacing w:after="0" w:line="240" w:lineRule="auto"/>
        <w:rPr>
          <w:rFonts w:ascii="Arial" w:hAnsi="Arial" w:cs="Arial"/>
        </w:rPr>
      </w:pPr>
      <w:r>
        <w:rPr>
          <w:rFonts w:ascii="Arial" w:hAnsi="Arial" w:cs="Arial"/>
        </w:rPr>
        <w:t xml:space="preserve">Research: </w:t>
      </w:r>
      <w:r w:rsidRPr="004D3A5A">
        <w:rPr>
          <w:rFonts w:ascii="Arial" w:hAnsi="Arial" w:cs="Arial"/>
          <w:i/>
          <w:iCs/>
        </w:rPr>
        <w:t>Capital City Growth Areas Liveability Scorecards</w:t>
      </w:r>
    </w:p>
    <w:p w14:paraId="62D6D5D1" w14:textId="77777777" w:rsidR="0017404C" w:rsidRPr="004D3A5A" w:rsidRDefault="0017404C" w:rsidP="0017404C">
      <w:pPr>
        <w:pStyle w:val="ListParagraph"/>
        <w:numPr>
          <w:ilvl w:val="0"/>
          <w:numId w:val="6"/>
        </w:numPr>
        <w:spacing w:after="0" w:line="240" w:lineRule="auto"/>
        <w:rPr>
          <w:rFonts w:ascii="Arial" w:hAnsi="Arial" w:cs="Arial"/>
          <w:i/>
          <w:iCs/>
        </w:rPr>
      </w:pPr>
      <w:r>
        <w:rPr>
          <w:rFonts w:ascii="Arial" w:hAnsi="Arial" w:cs="Arial"/>
        </w:rPr>
        <w:t xml:space="preserve">Research: </w:t>
      </w:r>
      <w:r w:rsidRPr="004D3A5A">
        <w:rPr>
          <w:rFonts w:ascii="Arial" w:hAnsi="Arial" w:cs="Arial"/>
          <w:i/>
          <w:iCs/>
        </w:rPr>
        <w:t>International Best Practices in Infrastructure Funding: Lessons for Australia’s Outer Metropolitan Growth Areas</w:t>
      </w:r>
    </w:p>
    <w:p w14:paraId="66D5A796" w14:textId="77777777" w:rsidR="0017404C" w:rsidRPr="00041E47" w:rsidRDefault="0017404C" w:rsidP="0017404C">
      <w:pPr>
        <w:pStyle w:val="ListParagraph"/>
        <w:numPr>
          <w:ilvl w:val="0"/>
          <w:numId w:val="6"/>
        </w:numPr>
        <w:spacing w:after="0" w:line="240" w:lineRule="auto"/>
        <w:rPr>
          <w:rFonts w:ascii="Arial" w:hAnsi="Arial" w:cs="Arial"/>
        </w:rPr>
      </w:pPr>
      <w:r>
        <w:rPr>
          <w:rFonts w:ascii="Arial" w:hAnsi="Arial" w:cs="Arial"/>
        </w:rPr>
        <w:t>Report summary brochure (coming soon)</w:t>
      </w:r>
    </w:p>
    <w:p w14:paraId="2D8B1E94" w14:textId="77777777" w:rsidR="0017404C" w:rsidRPr="009340AF" w:rsidRDefault="0017404C" w:rsidP="0017404C">
      <w:pPr>
        <w:pStyle w:val="ListParagraph"/>
        <w:rPr>
          <w:rFonts w:ascii="Arial" w:hAnsi="Arial" w:cs="Arial"/>
        </w:rPr>
      </w:pPr>
    </w:p>
    <w:p w14:paraId="4D20DB9F" w14:textId="77777777" w:rsidR="0017404C" w:rsidRPr="00752F3C" w:rsidRDefault="0017404C" w:rsidP="0017404C">
      <w:pPr>
        <w:contextualSpacing/>
        <w:rPr>
          <w:rFonts w:ascii="Arial" w:hAnsi="Arial" w:cs="Arial"/>
          <w:b/>
          <w:bCs/>
          <w:color w:val="9F1F63"/>
        </w:rPr>
      </w:pPr>
      <w:r w:rsidRPr="00752F3C">
        <w:rPr>
          <w:rFonts w:ascii="Arial" w:hAnsi="Arial" w:cs="Arial"/>
          <w:b/>
          <w:bCs/>
          <w:color w:val="9F1F63"/>
        </w:rPr>
        <w:t>How to use:</w:t>
      </w:r>
    </w:p>
    <w:p w14:paraId="00964406" w14:textId="77777777" w:rsidR="0017404C" w:rsidRDefault="0017404C" w:rsidP="0017404C">
      <w:pPr>
        <w:pStyle w:val="ListParagraph"/>
        <w:numPr>
          <w:ilvl w:val="0"/>
          <w:numId w:val="6"/>
        </w:numPr>
        <w:spacing w:after="0" w:line="240" w:lineRule="auto"/>
        <w:rPr>
          <w:rFonts w:ascii="Arial" w:hAnsi="Arial" w:cs="Arial"/>
        </w:rPr>
      </w:pPr>
      <w:r>
        <w:rPr>
          <w:rFonts w:ascii="Arial" w:hAnsi="Arial" w:cs="Arial"/>
        </w:rPr>
        <w:t>Personalise your advocacy communications based on advocacy priorities</w:t>
      </w:r>
    </w:p>
    <w:p w14:paraId="1FBC44D1" w14:textId="77777777" w:rsidR="0017404C" w:rsidRPr="001D6FF4" w:rsidRDefault="0017404C" w:rsidP="0017404C">
      <w:pPr>
        <w:pStyle w:val="ListParagraph"/>
        <w:numPr>
          <w:ilvl w:val="0"/>
          <w:numId w:val="6"/>
        </w:numPr>
        <w:spacing w:after="0" w:line="240" w:lineRule="auto"/>
        <w:rPr>
          <w:rFonts w:ascii="Arial" w:hAnsi="Arial" w:cs="Arial"/>
        </w:rPr>
      </w:pPr>
      <w:r w:rsidRPr="001D6FF4">
        <w:rPr>
          <w:rFonts w:ascii="Arial" w:hAnsi="Arial" w:cs="Arial"/>
        </w:rPr>
        <w:t>Link back to NGAA key recommendations</w:t>
      </w:r>
      <w:r>
        <w:rPr>
          <w:rFonts w:ascii="Arial" w:hAnsi="Arial" w:cs="Arial"/>
        </w:rPr>
        <w:t>, report and supporting research for evidence base</w:t>
      </w:r>
    </w:p>
    <w:p w14:paraId="14A8C6F8" w14:textId="77777777" w:rsidR="0017404C" w:rsidRDefault="0017404C" w:rsidP="0017404C">
      <w:pPr>
        <w:contextualSpacing/>
        <w:rPr>
          <w:rFonts w:ascii="Arial" w:hAnsi="Arial" w:cs="Arial"/>
          <w:b/>
          <w:bCs/>
        </w:rPr>
      </w:pPr>
    </w:p>
    <w:p w14:paraId="29E5CA2F" w14:textId="77777777" w:rsidR="0017404C" w:rsidRPr="005A7D2F" w:rsidRDefault="0017404C" w:rsidP="0017404C">
      <w:pPr>
        <w:contextualSpacing/>
        <w:rPr>
          <w:rFonts w:ascii="Arial" w:hAnsi="Arial" w:cs="Arial"/>
          <w:b/>
          <w:bCs/>
          <w:color w:val="9F1F63"/>
        </w:rPr>
      </w:pPr>
      <w:r w:rsidRPr="005A7D2F">
        <w:rPr>
          <w:rFonts w:ascii="Arial" w:hAnsi="Arial" w:cs="Arial"/>
          <w:b/>
          <w:bCs/>
          <w:color w:val="9F1F63"/>
        </w:rPr>
        <w:t>Reporting back to NGAA:</w:t>
      </w:r>
    </w:p>
    <w:p w14:paraId="6F8A441A" w14:textId="77777777" w:rsidR="0017404C" w:rsidRDefault="0017404C" w:rsidP="0017404C">
      <w:pPr>
        <w:contextualSpacing/>
        <w:rPr>
          <w:rFonts w:ascii="Arial" w:hAnsi="Arial" w:cs="Arial"/>
        </w:rPr>
      </w:pPr>
      <w:r w:rsidRPr="732A217E">
        <w:rPr>
          <w:rFonts w:ascii="Arial" w:hAnsi="Arial" w:cs="Arial"/>
        </w:rPr>
        <w:t xml:space="preserve">A shared document has been created with the following table to allow members to track and share advocacy activity. We also encourage you to send through photos, videos and other types of media. </w:t>
      </w:r>
    </w:p>
    <w:p w14:paraId="26638588" w14:textId="77777777" w:rsidR="0017404C" w:rsidRDefault="0017404C" w:rsidP="0017404C">
      <w:pPr>
        <w:contextualSpacing/>
        <w:rPr>
          <w:rFonts w:ascii="Arial" w:hAnsi="Arial" w:cs="Arial"/>
        </w:rPr>
      </w:pPr>
    </w:p>
    <w:p w14:paraId="530679D0" w14:textId="77777777" w:rsidR="0017404C" w:rsidRDefault="0017404C" w:rsidP="0017404C">
      <w:pPr>
        <w:contextualSpacing/>
        <w:rPr>
          <w:rFonts w:ascii="Arial" w:hAnsi="Arial" w:cs="Arial"/>
        </w:rPr>
      </w:pPr>
      <w:r>
        <w:rPr>
          <w:rFonts w:ascii="Arial" w:hAnsi="Arial" w:cs="Arial"/>
        </w:rPr>
        <w:t xml:space="preserve">Keeping track of your advocacy activity will help NGAA build a stronger case for its discussions with key ministers. </w:t>
      </w:r>
    </w:p>
    <w:p w14:paraId="3A7BFE60" w14:textId="77777777" w:rsidR="0017404C" w:rsidRDefault="0017404C" w:rsidP="0017404C">
      <w:pPr>
        <w:contextualSpacing/>
        <w:rPr>
          <w:rFonts w:ascii="Arial" w:hAnsi="Arial" w:cs="Arial"/>
        </w:rPr>
      </w:pPr>
    </w:p>
    <w:tbl>
      <w:tblPr>
        <w:tblStyle w:val="TableGrid"/>
        <w:tblW w:w="5000" w:type="pct"/>
        <w:tblLook w:val="04A0" w:firstRow="1" w:lastRow="0" w:firstColumn="1" w:lastColumn="0" w:noHBand="0" w:noVBand="1"/>
      </w:tblPr>
      <w:tblGrid>
        <w:gridCol w:w="1470"/>
        <w:gridCol w:w="1360"/>
        <w:gridCol w:w="2434"/>
        <w:gridCol w:w="1850"/>
        <w:gridCol w:w="1902"/>
      </w:tblGrid>
      <w:tr w:rsidR="0017404C" w:rsidRPr="007D439E" w14:paraId="32775E62" w14:textId="77777777" w:rsidTr="00317AD6">
        <w:tc>
          <w:tcPr>
            <w:tcW w:w="815" w:type="pct"/>
            <w:hideMark/>
          </w:tcPr>
          <w:p w14:paraId="41DA6C3C" w14:textId="77777777" w:rsidR="0017404C" w:rsidRPr="007D439E" w:rsidRDefault="0017404C" w:rsidP="00317AD6">
            <w:pPr>
              <w:contextualSpacing/>
              <w:rPr>
                <w:rFonts w:ascii="Arial" w:hAnsi="Arial" w:cs="Arial"/>
                <w:b/>
                <w:bCs/>
                <w:sz w:val="22"/>
                <w:szCs w:val="22"/>
              </w:rPr>
            </w:pPr>
            <w:r w:rsidRPr="007D439E">
              <w:rPr>
                <w:rFonts w:ascii="Arial" w:hAnsi="Arial" w:cs="Arial"/>
                <w:b/>
                <w:bCs/>
                <w:sz w:val="22"/>
                <w:szCs w:val="22"/>
              </w:rPr>
              <w:t>Activity Type</w:t>
            </w:r>
          </w:p>
        </w:tc>
        <w:tc>
          <w:tcPr>
            <w:tcW w:w="754" w:type="pct"/>
            <w:hideMark/>
          </w:tcPr>
          <w:p w14:paraId="73771EF2" w14:textId="77777777" w:rsidR="0017404C" w:rsidRPr="007D439E" w:rsidRDefault="0017404C" w:rsidP="00317AD6">
            <w:pPr>
              <w:contextualSpacing/>
              <w:rPr>
                <w:rFonts w:ascii="Arial" w:hAnsi="Arial" w:cs="Arial"/>
                <w:b/>
                <w:bCs/>
                <w:sz w:val="22"/>
                <w:szCs w:val="22"/>
              </w:rPr>
            </w:pPr>
            <w:r w:rsidRPr="007D439E">
              <w:rPr>
                <w:rFonts w:ascii="Arial" w:hAnsi="Arial" w:cs="Arial"/>
                <w:b/>
                <w:bCs/>
                <w:sz w:val="22"/>
                <w:szCs w:val="22"/>
              </w:rPr>
              <w:t>Date</w:t>
            </w:r>
          </w:p>
        </w:tc>
        <w:tc>
          <w:tcPr>
            <w:tcW w:w="1350" w:type="pct"/>
            <w:hideMark/>
          </w:tcPr>
          <w:p w14:paraId="3BEB325C" w14:textId="77777777" w:rsidR="0017404C" w:rsidRPr="007D439E" w:rsidRDefault="0017404C" w:rsidP="00317AD6">
            <w:pPr>
              <w:contextualSpacing/>
              <w:rPr>
                <w:rFonts w:ascii="Arial" w:hAnsi="Arial" w:cs="Arial"/>
                <w:b/>
                <w:bCs/>
                <w:sz w:val="22"/>
                <w:szCs w:val="22"/>
              </w:rPr>
            </w:pPr>
            <w:r w:rsidRPr="00AE7DDF">
              <w:rPr>
                <w:rFonts w:ascii="Arial" w:hAnsi="Arial" w:cs="Arial"/>
                <w:b/>
                <w:bCs/>
                <w:sz w:val="22"/>
                <w:szCs w:val="22"/>
              </w:rPr>
              <w:t>Press mentions (links or summaries)</w:t>
            </w:r>
          </w:p>
        </w:tc>
        <w:tc>
          <w:tcPr>
            <w:tcW w:w="1026" w:type="pct"/>
            <w:hideMark/>
          </w:tcPr>
          <w:p w14:paraId="48F7C46B" w14:textId="77777777" w:rsidR="0017404C" w:rsidRPr="007D439E" w:rsidRDefault="0017404C" w:rsidP="00317AD6">
            <w:pPr>
              <w:contextualSpacing/>
              <w:rPr>
                <w:rFonts w:ascii="Arial" w:hAnsi="Arial" w:cs="Arial"/>
                <w:b/>
                <w:bCs/>
                <w:sz w:val="22"/>
                <w:szCs w:val="22"/>
              </w:rPr>
            </w:pPr>
            <w:r w:rsidRPr="007D439E">
              <w:rPr>
                <w:rFonts w:ascii="Arial" w:hAnsi="Arial" w:cs="Arial"/>
                <w:b/>
                <w:bCs/>
                <w:sz w:val="22"/>
                <w:szCs w:val="22"/>
              </w:rPr>
              <w:t>Upcoming Activities</w:t>
            </w:r>
          </w:p>
        </w:tc>
        <w:tc>
          <w:tcPr>
            <w:tcW w:w="1055" w:type="pct"/>
          </w:tcPr>
          <w:p w14:paraId="64372445" w14:textId="77777777" w:rsidR="0017404C" w:rsidRPr="007D439E" w:rsidRDefault="0017404C" w:rsidP="00317AD6">
            <w:pPr>
              <w:contextualSpacing/>
              <w:rPr>
                <w:rFonts w:ascii="Arial" w:hAnsi="Arial" w:cs="Arial"/>
                <w:b/>
                <w:bCs/>
                <w:sz w:val="22"/>
                <w:szCs w:val="22"/>
              </w:rPr>
            </w:pPr>
            <w:r w:rsidRPr="00AE7DDF">
              <w:rPr>
                <w:rFonts w:ascii="Arial" w:hAnsi="Arial" w:cs="Arial"/>
                <w:b/>
                <w:bCs/>
                <w:sz w:val="22"/>
                <w:szCs w:val="22"/>
              </w:rPr>
              <w:t>Challenges or support needed</w:t>
            </w:r>
          </w:p>
        </w:tc>
      </w:tr>
      <w:tr w:rsidR="0017404C" w:rsidRPr="007D439E" w14:paraId="258C7792" w14:textId="77777777" w:rsidTr="00317AD6">
        <w:tc>
          <w:tcPr>
            <w:tcW w:w="815" w:type="pct"/>
            <w:vAlign w:val="center"/>
          </w:tcPr>
          <w:p w14:paraId="286C9DFC" w14:textId="77777777" w:rsidR="0017404C" w:rsidRPr="007D439E" w:rsidRDefault="0017404C" w:rsidP="00317AD6">
            <w:pPr>
              <w:contextualSpacing/>
              <w:rPr>
                <w:rFonts w:ascii="Arial" w:hAnsi="Arial" w:cs="Arial"/>
                <w:b/>
                <w:bCs/>
                <w:sz w:val="22"/>
                <w:szCs w:val="22"/>
              </w:rPr>
            </w:pPr>
            <w:r>
              <w:rPr>
                <w:rFonts w:ascii="Arial" w:hAnsi="Arial" w:cs="Arial"/>
                <w:sz w:val="22"/>
                <w:szCs w:val="22"/>
              </w:rPr>
              <w:t>Meeting / Letter / Press Release / etc</w:t>
            </w:r>
          </w:p>
        </w:tc>
        <w:tc>
          <w:tcPr>
            <w:tcW w:w="754" w:type="pct"/>
            <w:vAlign w:val="center"/>
          </w:tcPr>
          <w:p w14:paraId="69F591DA" w14:textId="77777777" w:rsidR="0017404C" w:rsidRPr="007D439E" w:rsidRDefault="0017404C" w:rsidP="00317AD6">
            <w:pPr>
              <w:contextualSpacing/>
              <w:rPr>
                <w:rFonts w:ascii="Arial" w:hAnsi="Arial" w:cs="Arial"/>
                <w:b/>
                <w:bCs/>
                <w:sz w:val="22"/>
                <w:szCs w:val="22"/>
              </w:rPr>
            </w:pPr>
          </w:p>
        </w:tc>
        <w:tc>
          <w:tcPr>
            <w:tcW w:w="1350" w:type="pct"/>
            <w:vAlign w:val="center"/>
          </w:tcPr>
          <w:p w14:paraId="0CE95913" w14:textId="77777777" w:rsidR="0017404C" w:rsidRPr="007D439E" w:rsidRDefault="0017404C" w:rsidP="00317AD6">
            <w:pPr>
              <w:contextualSpacing/>
              <w:rPr>
                <w:rFonts w:ascii="Arial" w:hAnsi="Arial" w:cs="Arial"/>
                <w:b/>
                <w:bCs/>
                <w:sz w:val="22"/>
                <w:szCs w:val="22"/>
              </w:rPr>
            </w:pPr>
          </w:p>
        </w:tc>
        <w:tc>
          <w:tcPr>
            <w:tcW w:w="1026" w:type="pct"/>
            <w:vAlign w:val="center"/>
          </w:tcPr>
          <w:p w14:paraId="6F0AF18F" w14:textId="77777777" w:rsidR="0017404C" w:rsidRPr="007D439E" w:rsidRDefault="0017404C" w:rsidP="00317AD6">
            <w:pPr>
              <w:contextualSpacing/>
              <w:rPr>
                <w:rFonts w:ascii="Arial" w:hAnsi="Arial" w:cs="Arial"/>
                <w:b/>
                <w:bCs/>
                <w:sz w:val="22"/>
                <w:szCs w:val="22"/>
              </w:rPr>
            </w:pPr>
          </w:p>
        </w:tc>
        <w:tc>
          <w:tcPr>
            <w:tcW w:w="1055" w:type="pct"/>
          </w:tcPr>
          <w:p w14:paraId="11E1FBFB" w14:textId="77777777" w:rsidR="0017404C" w:rsidRPr="007D439E" w:rsidRDefault="0017404C" w:rsidP="00317AD6">
            <w:pPr>
              <w:contextualSpacing/>
              <w:rPr>
                <w:rFonts w:ascii="Arial" w:hAnsi="Arial" w:cs="Arial"/>
                <w:sz w:val="22"/>
                <w:szCs w:val="22"/>
              </w:rPr>
            </w:pPr>
          </w:p>
        </w:tc>
      </w:tr>
    </w:tbl>
    <w:p w14:paraId="18D3D609" w14:textId="77777777" w:rsidR="0017404C" w:rsidRPr="007D439E" w:rsidRDefault="0017404C" w:rsidP="0017404C">
      <w:pPr>
        <w:contextualSpacing/>
        <w:rPr>
          <w:rFonts w:ascii="Arial" w:hAnsi="Arial" w:cs="Arial"/>
          <w:vanish/>
        </w:rPr>
      </w:pPr>
    </w:p>
    <w:p w14:paraId="11C6E160" w14:textId="77777777" w:rsidR="0017404C" w:rsidRPr="001C6CB7" w:rsidRDefault="0017404C" w:rsidP="0017404C">
      <w:pPr>
        <w:contextualSpacing/>
        <w:rPr>
          <w:rFonts w:ascii="Arial" w:hAnsi="Arial" w:cs="Arial"/>
        </w:rPr>
      </w:pPr>
    </w:p>
    <w:p w14:paraId="252AAAD2" w14:textId="77777777" w:rsidR="0017404C" w:rsidRPr="001C6CB7" w:rsidRDefault="0017404C" w:rsidP="0017404C">
      <w:pPr>
        <w:pStyle w:val="Heading2"/>
        <w:contextualSpacing/>
      </w:pPr>
      <w:r w:rsidRPr="001C6CB7">
        <w:lastRenderedPageBreak/>
        <w:t>Included Resources:</w:t>
      </w:r>
    </w:p>
    <w:p w14:paraId="217462A2" w14:textId="77777777" w:rsidR="0034651F" w:rsidRDefault="00D46AB6" w:rsidP="0017404C">
      <w:pPr>
        <w:pStyle w:val="Heading3"/>
        <w:contextualSpacing/>
      </w:pPr>
      <w:hyperlink w:anchor="_Key_Messages_and" w:history="1">
        <w:r w:rsidRPr="00D46AB6">
          <w:rPr>
            <w:rStyle w:val="Hyperlink"/>
          </w:rPr>
          <w:t>Key Messages and Narratives for Media interviews, Websites, Brochures &amp; Speeches</w:t>
        </w:r>
      </w:hyperlink>
      <w:r w:rsidR="0034651F">
        <w:t xml:space="preserve"> </w:t>
      </w:r>
    </w:p>
    <w:p w14:paraId="6DE5E0A8" w14:textId="227D6C78" w:rsidR="00D46AB6" w:rsidRDefault="0034651F" w:rsidP="0017404C">
      <w:pPr>
        <w:pStyle w:val="Heading3"/>
        <w:contextualSpacing/>
      </w:pPr>
      <w:hyperlink w:anchor="_Template_Letter_to_1" w:history="1">
        <w:r w:rsidRPr="0034651F">
          <w:rPr>
            <w:rStyle w:val="Hyperlink"/>
          </w:rPr>
          <w:t>Template Letter to Candidates</w:t>
        </w:r>
      </w:hyperlink>
    </w:p>
    <w:p w14:paraId="70E80690" w14:textId="49F1CDC7" w:rsidR="0017404C" w:rsidRPr="001C6CB7" w:rsidRDefault="00024AB3" w:rsidP="0017404C">
      <w:pPr>
        <w:pStyle w:val="Heading3"/>
        <w:contextualSpacing/>
      </w:pPr>
      <w:hyperlink w:anchor="_Press_Release_Template_1" w:history="1">
        <w:r w:rsidR="0017404C" w:rsidRPr="00024AB3">
          <w:rPr>
            <w:rStyle w:val="Hyperlink"/>
          </w:rPr>
          <w:t>Press Release Template</w:t>
        </w:r>
      </w:hyperlink>
    </w:p>
    <w:p w14:paraId="28B0936B" w14:textId="2C898D8D" w:rsidR="0017404C" w:rsidRPr="001C6CB7" w:rsidRDefault="00D65E80" w:rsidP="0017404C">
      <w:pPr>
        <w:pStyle w:val="Heading3"/>
        <w:contextualSpacing/>
      </w:pPr>
      <w:r>
        <w:fldChar w:fldCharType="begin"/>
      </w:r>
      <w:r>
        <w:instrText>HYPERLINK  \l "_Template_Letter_to"</w:instrText>
      </w:r>
      <w:r>
        <w:fldChar w:fldCharType="separate"/>
      </w:r>
      <w:r w:rsidR="0017404C" w:rsidRPr="00D65E80">
        <w:rPr>
          <w:rStyle w:val="Hyperlink"/>
        </w:rPr>
        <w:t>Media Pitch Template</w:t>
      </w:r>
      <w:r>
        <w:fldChar w:fldCharType="end"/>
      </w:r>
    </w:p>
    <w:p w14:paraId="191428BF" w14:textId="77777777" w:rsidR="0017404C" w:rsidRDefault="0017404C" w:rsidP="0017404C">
      <w:pPr>
        <w:pStyle w:val="Heading3"/>
        <w:contextualSpacing/>
      </w:pPr>
      <w:r>
        <w:fldChar w:fldCharType="begin"/>
      </w:r>
      <w:r>
        <w:instrText>HYPERLINK \l "_Factsheet:_Capital_City"</w:instrText>
      </w:r>
      <w:r>
        <w:fldChar w:fldCharType="separate"/>
      </w:r>
      <w:r w:rsidRPr="00F32B16">
        <w:rPr>
          <w:rStyle w:val="Hyperlink"/>
        </w:rPr>
        <w:t>Factsheet: Capital City Growth Areas Liveability Scorecards</w:t>
      </w:r>
      <w:r>
        <w:fldChar w:fldCharType="end"/>
      </w:r>
    </w:p>
    <w:p w14:paraId="356BD5B2" w14:textId="77777777" w:rsidR="0017404C" w:rsidRDefault="0017404C" w:rsidP="0017404C">
      <w:pPr>
        <w:pStyle w:val="Heading3"/>
        <w:contextualSpacing/>
      </w:pPr>
      <w:hyperlink w:anchor="_Fact_Sheet:_International" w:history="1">
        <w:r w:rsidRPr="00CE55B9">
          <w:rPr>
            <w:rStyle w:val="Hyperlink"/>
          </w:rPr>
          <w:t>Fact Sheet: International Best Practices in Infrastructure Funding: Lessons for Australia’s Outer Metropolitan Growth Areas</w:t>
        </w:r>
      </w:hyperlink>
    </w:p>
    <w:p w14:paraId="04F1CAE2" w14:textId="77777777" w:rsidR="0017404C" w:rsidRPr="00CE55B9" w:rsidRDefault="0017404C" w:rsidP="0017404C">
      <w:pPr>
        <w:contextualSpacing/>
      </w:pPr>
    </w:p>
    <w:p w14:paraId="046B90B9" w14:textId="77777777" w:rsidR="00CE55B9" w:rsidRPr="00CE55B9" w:rsidRDefault="00CE55B9" w:rsidP="00CE55B9"/>
    <w:p w14:paraId="0651FE92" w14:textId="58C8BA7A" w:rsidR="001C6CB7" w:rsidRPr="001C6CB7" w:rsidRDefault="001C6CB7" w:rsidP="001C6CB7">
      <w:pPr>
        <w:pStyle w:val="Heading3"/>
      </w:pPr>
      <w:r w:rsidRPr="001C6CB7">
        <w:t xml:space="preserve"> </w:t>
      </w:r>
    </w:p>
    <w:p w14:paraId="117CB1D2" w14:textId="77BE8127" w:rsidR="001C6CB7" w:rsidRDefault="001C6CB7">
      <w:r>
        <w:br w:type="page"/>
      </w:r>
    </w:p>
    <w:p w14:paraId="17B1BA5F" w14:textId="77777777" w:rsidR="00D46AB6" w:rsidRPr="00A24F79" w:rsidRDefault="00D46AB6" w:rsidP="00D46AB6">
      <w:pPr>
        <w:pStyle w:val="Heading2"/>
        <w:contextualSpacing/>
        <w:rPr>
          <w:color w:val="9F1F63"/>
          <w:sz w:val="32"/>
          <w:szCs w:val="32"/>
        </w:rPr>
      </w:pPr>
      <w:bookmarkStart w:id="0" w:name="_Press_Release_Template"/>
      <w:bookmarkStart w:id="1" w:name="_Key_Messages_and"/>
      <w:bookmarkEnd w:id="0"/>
      <w:bookmarkEnd w:id="1"/>
      <w:r w:rsidRPr="00A24F79">
        <w:rPr>
          <w:color w:val="9F1F63"/>
          <w:sz w:val="32"/>
          <w:szCs w:val="32"/>
        </w:rPr>
        <w:lastRenderedPageBreak/>
        <w:t>Key Messages</w:t>
      </w:r>
      <w:r>
        <w:rPr>
          <w:color w:val="9F1F63"/>
          <w:sz w:val="32"/>
          <w:szCs w:val="32"/>
        </w:rPr>
        <w:t xml:space="preserve"> and Narratives</w:t>
      </w:r>
      <w:r w:rsidRPr="00A24F79">
        <w:rPr>
          <w:color w:val="9F1F63"/>
          <w:sz w:val="32"/>
          <w:szCs w:val="32"/>
        </w:rPr>
        <w:t xml:space="preserve"> for Media interviews, Websites, Brochures &amp; Speeches</w:t>
      </w:r>
    </w:p>
    <w:p w14:paraId="18479566" w14:textId="77777777" w:rsidR="00D46AB6" w:rsidRPr="0000423E" w:rsidRDefault="00D46AB6" w:rsidP="00D46AB6">
      <w:pPr>
        <w:contextualSpacing/>
        <w:jc w:val="center"/>
        <w:rPr>
          <w:rFonts w:ascii="Arial" w:hAnsi="Arial" w:cs="Arial"/>
          <w:b/>
          <w:bCs/>
          <w:sz w:val="28"/>
          <w:szCs w:val="28"/>
        </w:rPr>
      </w:pPr>
    </w:p>
    <w:p w14:paraId="0D3B1717" w14:textId="77777777" w:rsidR="00D46AB6" w:rsidRPr="00DC1F8E" w:rsidRDefault="00D46AB6" w:rsidP="00D46AB6">
      <w:pPr>
        <w:contextualSpacing/>
        <w:rPr>
          <w:rFonts w:ascii="Arial" w:hAnsi="Arial" w:cs="Arial"/>
          <w:b/>
          <w:bCs/>
          <w:color w:val="5A598D"/>
        </w:rPr>
      </w:pPr>
      <w:r w:rsidRPr="00DC1F8E">
        <w:rPr>
          <w:rFonts w:ascii="Arial" w:hAnsi="Arial" w:cs="Arial"/>
          <w:b/>
          <w:bCs/>
          <w:color w:val="5A598D"/>
        </w:rPr>
        <w:t>Narratives</w:t>
      </w:r>
    </w:p>
    <w:p w14:paraId="2EF18734" w14:textId="77777777" w:rsidR="00D46AB6" w:rsidRPr="00DC1F8E" w:rsidRDefault="00D46AB6" w:rsidP="00D46AB6">
      <w:pPr>
        <w:contextualSpacing/>
        <w:rPr>
          <w:rFonts w:ascii="Arial" w:hAnsi="Arial" w:cs="Arial"/>
          <w:u w:val="single"/>
        </w:rPr>
      </w:pPr>
      <w:r w:rsidRPr="00DC1F8E">
        <w:rPr>
          <w:rFonts w:ascii="Arial" w:hAnsi="Arial" w:cs="Arial"/>
          <w:u w:val="single"/>
        </w:rPr>
        <w:t>Cost of Living, Infrastructure, and the Federal Election</w:t>
      </w:r>
    </w:p>
    <w:p w14:paraId="02DC9210" w14:textId="77777777" w:rsidR="00D46AB6" w:rsidRDefault="00D46AB6" w:rsidP="00D46AB6">
      <w:pPr>
        <w:contextualSpacing/>
        <w:rPr>
          <w:rFonts w:ascii="Arial" w:hAnsi="Arial" w:cs="Arial"/>
        </w:rPr>
      </w:pPr>
      <w:r w:rsidRPr="732A217E">
        <w:rPr>
          <w:rFonts w:ascii="Arial" w:hAnsi="Arial" w:cs="Arial"/>
        </w:rPr>
        <w:t xml:space="preserve">With a federal election around the corner, we are advocating for greater investment to support our communities’ future prosperity, resilience and wellbeing. We are seeking investment towards upgraded road networks, improved public transport, increased access to essential community services and facilities and more local job opportunities will help ease cost pressures for our community. </w:t>
      </w:r>
    </w:p>
    <w:p w14:paraId="62DC1DD1" w14:textId="77777777" w:rsidR="00D46AB6" w:rsidRPr="00591CBE" w:rsidRDefault="00D46AB6" w:rsidP="00D46AB6">
      <w:pPr>
        <w:contextualSpacing/>
        <w:rPr>
          <w:rFonts w:ascii="Arial" w:hAnsi="Arial" w:cs="Arial"/>
        </w:rPr>
      </w:pPr>
    </w:p>
    <w:p w14:paraId="3170C900" w14:textId="77777777" w:rsidR="00D46AB6" w:rsidRDefault="00D46AB6" w:rsidP="00D46AB6">
      <w:pPr>
        <w:contextualSpacing/>
        <w:rPr>
          <w:rFonts w:ascii="Arial" w:hAnsi="Arial" w:cs="Arial"/>
        </w:rPr>
      </w:pPr>
      <w:r w:rsidRPr="00591CBE">
        <w:rPr>
          <w:rFonts w:ascii="Arial" w:hAnsi="Arial" w:cs="Arial"/>
        </w:rPr>
        <w:t xml:space="preserve">As a member of the </w:t>
      </w:r>
      <w:hyperlink r:id="rId12" w:history="1">
        <w:r w:rsidRPr="0031645E">
          <w:rPr>
            <w:rStyle w:val="Hyperlink"/>
            <w:rFonts w:ascii="Arial" w:hAnsi="Arial" w:cs="Arial"/>
          </w:rPr>
          <w:t>National Growth Areas Alliance (NGAA)</w:t>
        </w:r>
      </w:hyperlink>
      <w:r>
        <w:rPr>
          <w:rFonts w:ascii="Arial" w:hAnsi="Arial" w:cs="Arial"/>
        </w:rPr>
        <w:t xml:space="preserve"> </w:t>
      </w:r>
      <w:r w:rsidRPr="00591CBE">
        <w:rPr>
          <w:rFonts w:ascii="Arial" w:hAnsi="Arial" w:cs="Arial"/>
        </w:rPr>
        <w:t xml:space="preserve">, the peak advocacy body for local governments in Australia’s fast-growing outer metropolitan regions, we are advocating for </w:t>
      </w:r>
      <w:r w:rsidRPr="0000423E">
        <w:rPr>
          <w:rFonts w:ascii="Arial" w:hAnsi="Arial" w:cs="Arial"/>
        </w:rPr>
        <w:t xml:space="preserve">positive policy changes and </w:t>
      </w:r>
      <w:r w:rsidRPr="00591CBE">
        <w:rPr>
          <w:rFonts w:ascii="Arial" w:hAnsi="Arial" w:cs="Arial"/>
        </w:rPr>
        <w:t xml:space="preserve">to </w:t>
      </w:r>
      <w:r w:rsidRPr="0000423E">
        <w:rPr>
          <w:rFonts w:ascii="Arial" w:hAnsi="Arial" w:cs="Arial"/>
        </w:rPr>
        <w:t xml:space="preserve">secure funding </w:t>
      </w:r>
      <w:r>
        <w:rPr>
          <w:rFonts w:ascii="Arial" w:hAnsi="Arial" w:cs="Arial"/>
        </w:rPr>
        <w:t xml:space="preserve">that </w:t>
      </w:r>
      <w:r w:rsidRPr="0000423E">
        <w:rPr>
          <w:rFonts w:ascii="Arial" w:hAnsi="Arial" w:cs="Arial"/>
        </w:rPr>
        <w:t xml:space="preserve">our community needs. </w:t>
      </w:r>
    </w:p>
    <w:p w14:paraId="4EDBC8F6" w14:textId="77777777" w:rsidR="00D46AB6" w:rsidRDefault="00D46AB6" w:rsidP="00D46AB6">
      <w:pPr>
        <w:contextualSpacing/>
        <w:rPr>
          <w:rFonts w:ascii="Arial" w:hAnsi="Arial" w:cs="Arial"/>
        </w:rPr>
      </w:pPr>
    </w:p>
    <w:p w14:paraId="60B9558A" w14:textId="77777777" w:rsidR="00D46AB6" w:rsidRPr="0000423E" w:rsidRDefault="00D46AB6" w:rsidP="00D46AB6">
      <w:pPr>
        <w:contextualSpacing/>
        <w:rPr>
          <w:rFonts w:ascii="Arial" w:hAnsi="Arial" w:cs="Arial"/>
        </w:rPr>
      </w:pPr>
      <w:r w:rsidRPr="00591CBE">
        <w:rPr>
          <w:rFonts w:ascii="Arial" w:hAnsi="Arial" w:cs="Arial"/>
        </w:rPr>
        <w:t xml:space="preserve">The </w:t>
      </w:r>
      <w:r w:rsidRPr="0000423E">
        <w:rPr>
          <w:rFonts w:ascii="Arial" w:hAnsi="Arial" w:cs="Arial"/>
        </w:rPr>
        <w:t>NGAA represents more than 5.6 million residents across Australia’s fastest-growing outer metropolitan areas, advocating for fair investment in infrastructure and services.</w:t>
      </w:r>
    </w:p>
    <w:p w14:paraId="4113769C" w14:textId="77777777" w:rsidR="00D46AB6" w:rsidRDefault="00D46AB6" w:rsidP="00D46AB6">
      <w:pPr>
        <w:contextualSpacing/>
        <w:rPr>
          <w:rFonts w:ascii="Arial" w:hAnsi="Arial" w:cs="Arial"/>
          <w:b/>
          <w:bCs/>
        </w:rPr>
      </w:pPr>
    </w:p>
    <w:p w14:paraId="22BA1298" w14:textId="77777777" w:rsidR="00D46AB6" w:rsidRPr="00DC1F8E" w:rsidRDefault="00D46AB6" w:rsidP="00D46AB6">
      <w:pPr>
        <w:contextualSpacing/>
        <w:rPr>
          <w:rFonts w:ascii="Arial" w:hAnsi="Arial" w:cs="Arial"/>
          <w:u w:val="single"/>
        </w:rPr>
      </w:pPr>
      <w:r w:rsidRPr="00DC1F8E">
        <w:rPr>
          <w:rFonts w:ascii="Arial" w:hAnsi="Arial" w:cs="Arial"/>
          <w:u w:val="single"/>
        </w:rPr>
        <w:t>Growth Areas Are Key to Solving the Housing Crisis - If We Invest Now</w:t>
      </w:r>
    </w:p>
    <w:p w14:paraId="5768157A" w14:textId="77777777" w:rsidR="00D46AB6" w:rsidRDefault="00D46AB6" w:rsidP="00D46AB6">
      <w:pPr>
        <w:contextualSpacing/>
        <w:rPr>
          <w:rFonts w:ascii="Arial" w:hAnsi="Arial" w:cs="Arial"/>
        </w:rPr>
      </w:pPr>
      <w:r w:rsidRPr="0000423E">
        <w:rPr>
          <w:rFonts w:ascii="Arial" w:hAnsi="Arial" w:cs="Arial"/>
        </w:rPr>
        <w:t>[</w:t>
      </w:r>
      <w:r w:rsidRPr="00333E2A">
        <w:rPr>
          <w:rFonts w:ascii="Arial" w:hAnsi="Arial" w:cs="Arial"/>
          <w:highlight w:val="yellow"/>
        </w:rPr>
        <w:t>LGA</w:t>
      </w:r>
      <w:r w:rsidRPr="0000423E">
        <w:rPr>
          <w:rFonts w:ascii="Arial" w:hAnsi="Arial" w:cs="Arial"/>
        </w:rPr>
        <w:t xml:space="preserve">] is set to play a pivotal role in </w:t>
      </w:r>
      <w:r>
        <w:rPr>
          <w:rFonts w:ascii="Arial" w:hAnsi="Arial" w:cs="Arial"/>
        </w:rPr>
        <w:t>easing</w:t>
      </w:r>
      <w:r w:rsidRPr="0000423E">
        <w:rPr>
          <w:rFonts w:ascii="Arial" w:hAnsi="Arial" w:cs="Arial"/>
        </w:rPr>
        <w:t xml:space="preserve"> Australia’s housing crisis, with its population projected to grow to </w:t>
      </w:r>
      <w:r w:rsidRPr="00333E2A">
        <w:rPr>
          <w:rFonts w:ascii="Arial" w:hAnsi="Arial" w:cs="Arial"/>
          <w:highlight w:val="yellow"/>
        </w:rPr>
        <w:t>XX</w:t>
      </w:r>
      <w:r w:rsidRPr="0000423E">
        <w:rPr>
          <w:rFonts w:ascii="Arial" w:hAnsi="Arial" w:cs="Arial"/>
        </w:rPr>
        <w:t xml:space="preserve">, requiring an additional </w:t>
      </w:r>
      <w:r w:rsidRPr="00333E2A">
        <w:rPr>
          <w:rFonts w:ascii="Arial" w:hAnsi="Arial" w:cs="Arial"/>
          <w:highlight w:val="yellow"/>
        </w:rPr>
        <w:t>XXXX</w:t>
      </w:r>
      <w:r w:rsidRPr="0000423E">
        <w:rPr>
          <w:rFonts w:ascii="Arial" w:hAnsi="Arial" w:cs="Arial"/>
        </w:rPr>
        <w:t xml:space="preserve"> homes. But housing alone isn’t enough. </w:t>
      </w:r>
      <w:r>
        <w:rPr>
          <w:rFonts w:ascii="Arial" w:hAnsi="Arial" w:cs="Arial"/>
        </w:rPr>
        <w:t>It is important to invest in</w:t>
      </w:r>
      <w:r w:rsidRPr="0000423E">
        <w:rPr>
          <w:rFonts w:ascii="Arial" w:hAnsi="Arial" w:cs="Arial"/>
        </w:rPr>
        <w:t xml:space="preserve"> essential infrastructure and services, </w:t>
      </w:r>
      <w:r>
        <w:rPr>
          <w:rFonts w:ascii="Arial" w:hAnsi="Arial" w:cs="Arial"/>
        </w:rPr>
        <w:t xml:space="preserve">alongside housing delivery to help create healthy and cohesive communities. </w:t>
      </w:r>
    </w:p>
    <w:p w14:paraId="4F0CD55E" w14:textId="77777777" w:rsidR="00D46AB6" w:rsidRDefault="00D46AB6" w:rsidP="00D46AB6">
      <w:pPr>
        <w:contextualSpacing/>
        <w:rPr>
          <w:rFonts w:ascii="Arial" w:hAnsi="Arial" w:cs="Arial"/>
        </w:rPr>
      </w:pPr>
    </w:p>
    <w:p w14:paraId="3A624E24" w14:textId="77777777" w:rsidR="00D46AB6" w:rsidRPr="0000423E" w:rsidRDefault="00D46AB6" w:rsidP="00D46AB6">
      <w:pPr>
        <w:contextualSpacing/>
        <w:rPr>
          <w:rFonts w:ascii="Arial" w:hAnsi="Arial" w:cs="Arial"/>
        </w:rPr>
      </w:pPr>
      <w:r w:rsidRPr="732A217E">
        <w:rPr>
          <w:rFonts w:ascii="Arial" w:hAnsi="Arial" w:cs="Arial"/>
        </w:rPr>
        <w:t xml:space="preserve">This isn’t just about future residents—it’s about making our community stronger for the </w:t>
      </w:r>
      <w:r w:rsidRPr="00D52BB9">
        <w:rPr>
          <w:rFonts w:ascii="Arial" w:hAnsi="Arial" w:cs="Arial"/>
          <w:highlight w:val="yellow"/>
        </w:rPr>
        <w:t>XXX,000</w:t>
      </w:r>
      <w:r w:rsidRPr="732A217E">
        <w:rPr>
          <w:rFonts w:ascii="Arial" w:hAnsi="Arial" w:cs="Arial"/>
        </w:rPr>
        <w:t xml:space="preserve"> people who already call [</w:t>
      </w:r>
      <w:r w:rsidRPr="00D52BB9">
        <w:rPr>
          <w:rFonts w:ascii="Arial" w:hAnsi="Arial" w:cs="Arial"/>
          <w:highlight w:val="yellow"/>
        </w:rPr>
        <w:t>LGA</w:t>
      </w:r>
      <w:r w:rsidRPr="732A217E">
        <w:rPr>
          <w:rFonts w:ascii="Arial" w:hAnsi="Arial" w:cs="Arial"/>
        </w:rPr>
        <w:t>] home.</w:t>
      </w:r>
    </w:p>
    <w:p w14:paraId="685C907F" w14:textId="77777777" w:rsidR="00D46AB6" w:rsidRDefault="00D46AB6" w:rsidP="00D46AB6">
      <w:pPr>
        <w:contextualSpacing/>
        <w:rPr>
          <w:rFonts w:ascii="Arial" w:hAnsi="Arial" w:cs="Arial"/>
          <w:b/>
          <w:bCs/>
        </w:rPr>
      </w:pPr>
    </w:p>
    <w:p w14:paraId="422034AC" w14:textId="77777777" w:rsidR="00D46AB6" w:rsidRPr="0000423E" w:rsidRDefault="00D46AB6" w:rsidP="00D46AB6">
      <w:pPr>
        <w:contextualSpacing/>
        <w:rPr>
          <w:rFonts w:ascii="Arial" w:hAnsi="Arial" w:cs="Arial"/>
          <w:b/>
          <w:bCs/>
        </w:rPr>
      </w:pPr>
    </w:p>
    <w:p w14:paraId="689190D6" w14:textId="77777777" w:rsidR="00D46AB6" w:rsidRPr="00DC1F8E" w:rsidRDefault="00D46AB6" w:rsidP="00D46AB6">
      <w:pPr>
        <w:contextualSpacing/>
        <w:rPr>
          <w:rFonts w:ascii="Arial" w:hAnsi="Arial" w:cs="Arial"/>
          <w:u w:val="single"/>
        </w:rPr>
      </w:pPr>
      <w:r w:rsidRPr="00DC1F8E">
        <w:rPr>
          <w:rFonts w:ascii="Arial" w:hAnsi="Arial" w:cs="Arial"/>
          <w:u w:val="single"/>
        </w:rPr>
        <w:t>Investment Solutions</w:t>
      </w:r>
    </w:p>
    <w:p w14:paraId="336E403A" w14:textId="77777777" w:rsidR="00D46AB6" w:rsidRDefault="00D46AB6" w:rsidP="00D46AB6">
      <w:pPr>
        <w:contextualSpacing/>
        <w:rPr>
          <w:rFonts w:ascii="Arial" w:hAnsi="Arial" w:cs="Arial"/>
        </w:rPr>
      </w:pPr>
      <w:r w:rsidRPr="0000423E">
        <w:rPr>
          <w:rFonts w:ascii="Arial" w:hAnsi="Arial" w:cs="Arial"/>
        </w:rPr>
        <w:t xml:space="preserve">According to </w:t>
      </w:r>
      <w:r w:rsidRPr="0000423E">
        <w:rPr>
          <w:rFonts w:ascii="Arial" w:hAnsi="Arial" w:cs="Arial"/>
          <w:b/>
          <w:bCs/>
        </w:rPr>
        <w:t>RMIT’s Australian Urban Observatory</w:t>
      </w:r>
      <w:r w:rsidRPr="0000423E">
        <w:rPr>
          <w:rFonts w:ascii="Arial" w:hAnsi="Arial" w:cs="Arial"/>
        </w:rPr>
        <w:t xml:space="preserve">, access to essential social and community infrastructure in growth areas </w:t>
      </w:r>
      <w:r>
        <w:rPr>
          <w:rFonts w:ascii="Arial" w:hAnsi="Arial" w:cs="Arial"/>
        </w:rPr>
        <w:t xml:space="preserve">is not the same as established suburbs in </w:t>
      </w:r>
      <w:r w:rsidRPr="0000423E">
        <w:rPr>
          <w:rFonts w:ascii="Arial" w:hAnsi="Arial" w:cs="Arial"/>
        </w:rPr>
        <w:t>non-growth areas.</w:t>
      </w:r>
    </w:p>
    <w:p w14:paraId="27A2CCC9" w14:textId="77777777" w:rsidR="00D46AB6" w:rsidRPr="0000423E" w:rsidRDefault="00D46AB6" w:rsidP="00D46AB6">
      <w:pPr>
        <w:contextualSpacing/>
        <w:rPr>
          <w:rFonts w:ascii="Arial" w:hAnsi="Arial" w:cs="Arial"/>
        </w:rPr>
      </w:pPr>
    </w:p>
    <w:p w14:paraId="2B96FB16" w14:textId="77777777" w:rsidR="00D46AB6" w:rsidRDefault="00D46AB6" w:rsidP="00D46AB6">
      <w:pPr>
        <w:contextualSpacing/>
        <w:rPr>
          <w:rFonts w:ascii="Arial" w:hAnsi="Arial" w:cs="Arial"/>
        </w:rPr>
      </w:pPr>
      <w:r w:rsidRPr="0000423E">
        <w:rPr>
          <w:rFonts w:ascii="Arial" w:hAnsi="Arial" w:cs="Arial"/>
        </w:rPr>
        <w:t>[</w:t>
      </w:r>
      <w:r w:rsidRPr="00B9496B">
        <w:rPr>
          <w:rFonts w:ascii="Arial" w:hAnsi="Arial" w:cs="Arial"/>
          <w:highlight w:val="yellow"/>
        </w:rPr>
        <w:t>Insert LGA-specific statistic on investment opportunity that is relevant to a priority project</w:t>
      </w:r>
      <w:r w:rsidRPr="0000423E">
        <w:rPr>
          <w:rFonts w:ascii="Arial" w:hAnsi="Arial" w:cs="Arial"/>
        </w:rPr>
        <w:t>]</w:t>
      </w:r>
    </w:p>
    <w:p w14:paraId="5A2B3A15" w14:textId="77777777" w:rsidR="00D46AB6" w:rsidRDefault="00D46AB6" w:rsidP="00D46AB6">
      <w:pPr>
        <w:contextualSpacing/>
        <w:rPr>
          <w:rFonts w:ascii="Arial" w:hAnsi="Arial" w:cs="Arial"/>
        </w:rPr>
      </w:pPr>
    </w:p>
    <w:p w14:paraId="47600F38" w14:textId="77777777" w:rsidR="00D46AB6" w:rsidRDefault="00D46AB6" w:rsidP="00D46AB6">
      <w:pPr>
        <w:contextualSpacing/>
        <w:rPr>
          <w:rFonts w:ascii="Arial" w:hAnsi="Arial" w:cs="Arial"/>
        </w:rPr>
      </w:pPr>
      <w:r w:rsidRPr="0000423E">
        <w:rPr>
          <w:rFonts w:ascii="Arial" w:hAnsi="Arial" w:cs="Arial"/>
        </w:rPr>
        <w:t xml:space="preserve">Investing in infrastructure for growth areas is not without precedent. Research from </w:t>
      </w:r>
      <w:r w:rsidRPr="0000423E">
        <w:rPr>
          <w:rFonts w:ascii="Arial" w:hAnsi="Arial" w:cs="Arial"/>
          <w:b/>
          <w:bCs/>
        </w:rPr>
        <w:t>Western Sydney University</w:t>
      </w:r>
      <w:r w:rsidRPr="0000423E">
        <w:rPr>
          <w:rFonts w:ascii="Arial" w:hAnsi="Arial" w:cs="Arial"/>
        </w:rPr>
        <w:t xml:space="preserve"> highlights international success stories, demonstrating </w:t>
      </w:r>
      <w:r w:rsidRPr="0000423E">
        <w:rPr>
          <w:rFonts w:ascii="Arial" w:hAnsi="Arial" w:cs="Arial"/>
        </w:rPr>
        <w:lastRenderedPageBreak/>
        <w:t xml:space="preserve">how </w:t>
      </w:r>
      <w:r>
        <w:rPr>
          <w:rFonts w:ascii="Arial" w:hAnsi="Arial" w:cs="Arial"/>
        </w:rPr>
        <w:t xml:space="preserve">countries like the UK, The Netherlands, Germany, Canada and the USA, </w:t>
      </w:r>
      <w:r w:rsidRPr="0000423E">
        <w:rPr>
          <w:rFonts w:ascii="Arial" w:hAnsi="Arial" w:cs="Arial"/>
        </w:rPr>
        <w:t>have successfully funded and delivered infrastructure</w:t>
      </w:r>
      <w:r>
        <w:rPr>
          <w:rFonts w:ascii="Arial" w:hAnsi="Arial" w:cs="Arial"/>
        </w:rPr>
        <w:t xml:space="preserve"> in </w:t>
      </w:r>
      <w:r w:rsidRPr="0000423E">
        <w:rPr>
          <w:rFonts w:ascii="Arial" w:hAnsi="Arial" w:cs="Arial"/>
        </w:rPr>
        <w:t>high-growth regions</w:t>
      </w:r>
      <w:r>
        <w:rPr>
          <w:rFonts w:ascii="Arial" w:hAnsi="Arial" w:cs="Arial"/>
        </w:rPr>
        <w:t xml:space="preserve"> for decades</w:t>
      </w:r>
      <w:r w:rsidRPr="0000423E">
        <w:rPr>
          <w:rFonts w:ascii="Arial" w:hAnsi="Arial" w:cs="Arial"/>
        </w:rPr>
        <w:t>. Australia can</w:t>
      </w:r>
      <w:r>
        <w:rPr>
          <w:rFonts w:ascii="Arial" w:hAnsi="Arial" w:cs="Arial"/>
        </w:rPr>
        <w:t xml:space="preserve"> learn from these best practice examples - </w:t>
      </w:r>
      <w:r w:rsidRPr="0000423E">
        <w:rPr>
          <w:rFonts w:ascii="Arial" w:hAnsi="Arial" w:cs="Arial"/>
        </w:rPr>
        <w:t>and do the same.</w:t>
      </w:r>
    </w:p>
    <w:p w14:paraId="4B34BE25" w14:textId="77777777" w:rsidR="00D46AB6" w:rsidRPr="0000423E" w:rsidRDefault="00D46AB6" w:rsidP="00D46AB6">
      <w:pPr>
        <w:contextualSpacing/>
        <w:rPr>
          <w:rFonts w:ascii="Arial" w:hAnsi="Arial" w:cs="Arial"/>
        </w:rPr>
      </w:pPr>
    </w:p>
    <w:p w14:paraId="416F735F" w14:textId="77777777" w:rsidR="00D46AB6" w:rsidRDefault="00D46AB6" w:rsidP="00D46AB6">
      <w:pPr>
        <w:contextualSpacing/>
        <w:rPr>
          <w:rFonts w:ascii="Arial" w:hAnsi="Arial" w:cs="Arial"/>
        </w:rPr>
      </w:pPr>
      <w:r w:rsidRPr="0000423E">
        <w:rPr>
          <w:rFonts w:ascii="Arial" w:hAnsi="Arial" w:cs="Arial"/>
        </w:rPr>
        <w:t>NGAA’s latest report</w:t>
      </w:r>
      <w:r w:rsidRPr="0000423E">
        <w:rPr>
          <w:rFonts w:ascii="Arial" w:hAnsi="Arial" w:cs="Arial"/>
          <w:b/>
          <w:bCs/>
        </w:rPr>
        <w:t>, Investment Solutions for Today’s Infrastructure Needs and Tomorrow’s Housing in Outer-Metropolitan Growth Areas</w:t>
      </w:r>
      <w:r w:rsidRPr="0000423E">
        <w:rPr>
          <w:rFonts w:ascii="Arial" w:hAnsi="Arial" w:cs="Arial"/>
        </w:rPr>
        <w:t>, outlines three key recommendations for the federal government:</w:t>
      </w:r>
    </w:p>
    <w:p w14:paraId="6BA9ECDC" w14:textId="77777777" w:rsidR="00D46AB6" w:rsidRDefault="00D46AB6" w:rsidP="00D46AB6">
      <w:pPr>
        <w:pStyle w:val="ListParagraph"/>
        <w:numPr>
          <w:ilvl w:val="0"/>
          <w:numId w:val="2"/>
        </w:numPr>
        <w:spacing w:after="0" w:line="240" w:lineRule="auto"/>
        <w:rPr>
          <w:rFonts w:ascii="Arial" w:hAnsi="Arial" w:cs="Arial"/>
        </w:rPr>
      </w:pPr>
      <w:r w:rsidRPr="00591CBE">
        <w:rPr>
          <w:rFonts w:ascii="Arial" w:hAnsi="Arial" w:cs="Arial"/>
        </w:rPr>
        <w:t>Recognise outer metropolitan growth areas as regions requiring specific attention in Commonwealth funding programs</w:t>
      </w:r>
    </w:p>
    <w:p w14:paraId="70F09C98" w14:textId="77777777" w:rsidR="00D46AB6" w:rsidRDefault="00D46AB6" w:rsidP="00D46AB6">
      <w:pPr>
        <w:pStyle w:val="ListParagraph"/>
        <w:numPr>
          <w:ilvl w:val="0"/>
          <w:numId w:val="2"/>
        </w:numPr>
        <w:spacing w:after="0" w:line="240" w:lineRule="auto"/>
        <w:rPr>
          <w:rFonts w:ascii="Arial" w:hAnsi="Arial" w:cs="Arial"/>
        </w:rPr>
      </w:pPr>
      <w:r w:rsidRPr="00591CBE">
        <w:rPr>
          <w:rFonts w:ascii="Arial" w:hAnsi="Arial" w:cs="Arial"/>
        </w:rPr>
        <w:t xml:space="preserve">Prioritise funding to </w:t>
      </w:r>
      <w:r>
        <w:rPr>
          <w:rFonts w:ascii="Arial" w:hAnsi="Arial" w:cs="Arial"/>
        </w:rPr>
        <w:t>invest in Australia’s growth</w:t>
      </w:r>
    </w:p>
    <w:p w14:paraId="59B469FB" w14:textId="77777777" w:rsidR="00D46AB6" w:rsidRPr="00591CBE" w:rsidRDefault="00D46AB6" w:rsidP="00D46AB6">
      <w:pPr>
        <w:pStyle w:val="ListParagraph"/>
        <w:numPr>
          <w:ilvl w:val="0"/>
          <w:numId w:val="2"/>
        </w:numPr>
        <w:spacing w:after="0" w:line="240" w:lineRule="auto"/>
        <w:rPr>
          <w:rFonts w:ascii="Arial" w:hAnsi="Arial" w:cs="Arial"/>
        </w:rPr>
      </w:pPr>
      <w:r w:rsidRPr="00591CBE">
        <w:rPr>
          <w:rFonts w:ascii="Arial" w:hAnsi="Arial" w:cs="Arial"/>
        </w:rPr>
        <w:t>Resource equitably through a national infrastructure investment framework for growth areas</w:t>
      </w:r>
    </w:p>
    <w:p w14:paraId="79529846" w14:textId="77777777" w:rsidR="00D46AB6" w:rsidRDefault="00D46AB6" w:rsidP="00D46AB6">
      <w:pPr>
        <w:contextualSpacing/>
        <w:rPr>
          <w:rFonts w:ascii="Arial" w:hAnsi="Arial" w:cs="Arial"/>
          <w:b/>
          <w:bCs/>
        </w:rPr>
      </w:pPr>
    </w:p>
    <w:p w14:paraId="70A8AA51" w14:textId="77777777" w:rsidR="00D46AB6" w:rsidRDefault="00D46AB6" w:rsidP="00D46AB6">
      <w:pPr>
        <w:contextualSpacing/>
        <w:rPr>
          <w:rFonts w:ascii="Arial" w:hAnsi="Arial" w:cs="Arial"/>
        </w:rPr>
      </w:pPr>
      <w:r w:rsidRPr="0000423E">
        <w:rPr>
          <w:rFonts w:ascii="Arial" w:hAnsi="Arial" w:cs="Arial"/>
          <w:b/>
          <w:bCs/>
        </w:rPr>
        <w:t>Join the conversation and advocate for our community.</w:t>
      </w:r>
      <w:r w:rsidRPr="0000423E">
        <w:rPr>
          <w:rFonts w:ascii="Arial" w:hAnsi="Arial" w:cs="Arial"/>
        </w:rPr>
        <w:t xml:space="preserve"> [</w:t>
      </w:r>
      <w:r w:rsidRPr="00B9496B">
        <w:rPr>
          <w:rFonts w:ascii="Arial" w:hAnsi="Arial" w:cs="Arial"/>
          <w:highlight w:val="yellow"/>
        </w:rPr>
        <w:t>Insert call to action—sign a petition, contact local candidates, share on social media, etc</w:t>
      </w:r>
      <w:r w:rsidRPr="0000423E">
        <w:rPr>
          <w:rFonts w:ascii="Arial" w:hAnsi="Arial" w:cs="Arial"/>
        </w:rPr>
        <w:t>.]</w:t>
      </w:r>
    </w:p>
    <w:p w14:paraId="119ACD0E" w14:textId="77777777" w:rsidR="00D46AB6" w:rsidRDefault="00D46AB6" w:rsidP="00D46AB6"/>
    <w:p w14:paraId="7AB94DA7" w14:textId="77777777" w:rsidR="00D46AB6" w:rsidRPr="00DC1F8E" w:rsidRDefault="00D46AB6" w:rsidP="00D46AB6">
      <w:pPr>
        <w:rPr>
          <w:rFonts w:ascii="Arial" w:hAnsi="Arial" w:cs="Arial"/>
          <w:b/>
          <w:bCs/>
          <w:color w:val="5A598D"/>
        </w:rPr>
      </w:pPr>
      <w:r w:rsidRPr="00DC1F8E">
        <w:rPr>
          <w:rFonts w:ascii="Arial" w:hAnsi="Arial" w:cs="Arial"/>
          <w:b/>
          <w:bCs/>
          <w:color w:val="5A598D"/>
        </w:rPr>
        <w:t>NGAA Member LGAs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8"/>
        <w:gridCol w:w="1685"/>
        <w:gridCol w:w="1588"/>
        <w:gridCol w:w="1588"/>
        <w:gridCol w:w="1588"/>
      </w:tblGrid>
      <w:tr w:rsidR="00D46AB6" w:rsidRPr="006756F1" w14:paraId="0E4572AD" w14:textId="77777777" w:rsidTr="00317AD6">
        <w:trPr>
          <w:trHeight w:val="300"/>
        </w:trPr>
        <w:tc>
          <w:tcPr>
            <w:tcW w:w="1588" w:type="dxa"/>
            <w:tcBorders>
              <w:top w:val="single" w:sz="6" w:space="0" w:color="auto"/>
              <w:left w:val="single" w:sz="6" w:space="0" w:color="auto"/>
              <w:bottom w:val="single" w:sz="6" w:space="0" w:color="auto"/>
              <w:right w:val="single" w:sz="6" w:space="0" w:color="auto"/>
            </w:tcBorders>
            <w:shd w:val="clear" w:color="auto" w:fill="auto"/>
            <w:hideMark/>
          </w:tcPr>
          <w:p w14:paraId="31E4E905" w14:textId="77777777" w:rsidR="00D46AB6" w:rsidRPr="006756F1" w:rsidRDefault="00D46AB6" w:rsidP="00317AD6">
            <w:pPr>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b/>
                <w:bCs/>
                <w:kern w:val="0"/>
                <w:sz w:val="20"/>
                <w:szCs w:val="20"/>
                <w:lang w:val="en-GB" w:eastAsia="en-GB"/>
                <w14:ligatures w14:val="none"/>
              </w:rPr>
              <w:t>QLD</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tc>
        <w:tc>
          <w:tcPr>
            <w:tcW w:w="1588" w:type="dxa"/>
            <w:tcBorders>
              <w:top w:val="single" w:sz="6" w:space="0" w:color="auto"/>
              <w:left w:val="single" w:sz="6" w:space="0" w:color="auto"/>
              <w:bottom w:val="single" w:sz="6" w:space="0" w:color="auto"/>
              <w:right w:val="single" w:sz="6" w:space="0" w:color="auto"/>
            </w:tcBorders>
            <w:shd w:val="clear" w:color="auto" w:fill="auto"/>
            <w:hideMark/>
          </w:tcPr>
          <w:p w14:paraId="35CC2747" w14:textId="77777777" w:rsidR="00D46AB6" w:rsidRPr="006756F1" w:rsidRDefault="00D46AB6" w:rsidP="00317AD6">
            <w:pPr>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b/>
                <w:bCs/>
                <w:kern w:val="0"/>
                <w:sz w:val="20"/>
                <w:szCs w:val="20"/>
                <w:lang w:val="en-GB" w:eastAsia="en-GB"/>
                <w14:ligatures w14:val="none"/>
              </w:rPr>
              <w:t>NSW</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tc>
        <w:tc>
          <w:tcPr>
            <w:tcW w:w="1588" w:type="dxa"/>
            <w:tcBorders>
              <w:top w:val="single" w:sz="6" w:space="0" w:color="auto"/>
              <w:left w:val="single" w:sz="6" w:space="0" w:color="auto"/>
              <w:bottom w:val="single" w:sz="6" w:space="0" w:color="auto"/>
              <w:right w:val="single" w:sz="6" w:space="0" w:color="auto"/>
            </w:tcBorders>
            <w:shd w:val="clear" w:color="auto" w:fill="auto"/>
            <w:hideMark/>
          </w:tcPr>
          <w:p w14:paraId="740BAD0D" w14:textId="77777777" w:rsidR="00D46AB6" w:rsidRPr="006756F1" w:rsidRDefault="00D46AB6" w:rsidP="00317AD6">
            <w:pPr>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b/>
                <w:bCs/>
                <w:kern w:val="0"/>
                <w:sz w:val="20"/>
                <w:szCs w:val="20"/>
                <w:lang w:val="en-GB" w:eastAsia="en-GB"/>
                <w14:ligatures w14:val="none"/>
              </w:rPr>
              <w:t>VIC</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tc>
        <w:tc>
          <w:tcPr>
            <w:tcW w:w="1588" w:type="dxa"/>
            <w:tcBorders>
              <w:top w:val="single" w:sz="6" w:space="0" w:color="auto"/>
              <w:left w:val="single" w:sz="6" w:space="0" w:color="auto"/>
              <w:bottom w:val="single" w:sz="6" w:space="0" w:color="auto"/>
              <w:right w:val="single" w:sz="6" w:space="0" w:color="auto"/>
            </w:tcBorders>
            <w:shd w:val="clear" w:color="auto" w:fill="auto"/>
            <w:hideMark/>
          </w:tcPr>
          <w:p w14:paraId="7EFAB8E4" w14:textId="77777777" w:rsidR="00D46AB6" w:rsidRPr="006756F1" w:rsidRDefault="00D46AB6" w:rsidP="00317AD6">
            <w:pPr>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b/>
                <w:bCs/>
                <w:kern w:val="0"/>
                <w:sz w:val="20"/>
                <w:szCs w:val="20"/>
                <w:lang w:val="en-GB" w:eastAsia="en-GB"/>
                <w14:ligatures w14:val="none"/>
              </w:rPr>
              <w:t>SA</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tc>
        <w:tc>
          <w:tcPr>
            <w:tcW w:w="1588" w:type="dxa"/>
            <w:tcBorders>
              <w:top w:val="single" w:sz="6" w:space="0" w:color="auto"/>
              <w:left w:val="single" w:sz="6" w:space="0" w:color="auto"/>
              <w:bottom w:val="single" w:sz="6" w:space="0" w:color="auto"/>
              <w:right w:val="single" w:sz="6" w:space="0" w:color="auto"/>
            </w:tcBorders>
            <w:shd w:val="clear" w:color="auto" w:fill="auto"/>
            <w:hideMark/>
          </w:tcPr>
          <w:p w14:paraId="7393F5B1" w14:textId="77777777" w:rsidR="00D46AB6" w:rsidRPr="006756F1" w:rsidRDefault="00D46AB6" w:rsidP="00317AD6">
            <w:pPr>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b/>
                <w:bCs/>
                <w:kern w:val="0"/>
                <w:sz w:val="20"/>
                <w:szCs w:val="20"/>
                <w:lang w:val="en-GB" w:eastAsia="en-GB"/>
                <w14:ligatures w14:val="none"/>
              </w:rPr>
              <w:t>WA</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tc>
      </w:tr>
      <w:tr w:rsidR="00D46AB6" w:rsidRPr="006756F1" w14:paraId="5B14F7CE" w14:textId="77777777" w:rsidTr="00317AD6">
        <w:trPr>
          <w:trHeight w:val="300"/>
        </w:trPr>
        <w:tc>
          <w:tcPr>
            <w:tcW w:w="1588" w:type="dxa"/>
            <w:tcBorders>
              <w:top w:val="single" w:sz="6" w:space="0" w:color="auto"/>
              <w:left w:val="single" w:sz="6" w:space="0" w:color="auto"/>
              <w:bottom w:val="single" w:sz="6" w:space="0" w:color="auto"/>
              <w:right w:val="single" w:sz="6" w:space="0" w:color="auto"/>
            </w:tcBorders>
            <w:shd w:val="clear" w:color="auto" w:fill="auto"/>
            <w:hideMark/>
          </w:tcPr>
          <w:p w14:paraId="194D1591"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Ipswich</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3D41106D"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Logan</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041FFAA5"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Moreton Bay</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59DF45A3"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Redland</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tc>
        <w:tc>
          <w:tcPr>
            <w:tcW w:w="1588" w:type="dxa"/>
            <w:tcBorders>
              <w:top w:val="single" w:sz="6" w:space="0" w:color="auto"/>
              <w:left w:val="single" w:sz="6" w:space="0" w:color="auto"/>
              <w:bottom w:val="single" w:sz="6" w:space="0" w:color="auto"/>
              <w:right w:val="single" w:sz="6" w:space="0" w:color="auto"/>
            </w:tcBorders>
            <w:shd w:val="clear" w:color="auto" w:fill="auto"/>
            <w:hideMark/>
          </w:tcPr>
          <w:p w14:paraId="657F52CF"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Blacktown</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6098ABCF"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Camden</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5C041185"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Campbelltown</w:t>
            </w:r>
            <w:r w:rsidRPr="006756F1">
              <w:rPr>
                <w:rFonts w:ascii="Times New Roman" w:eastAsia="Times New Roman" w:hAnsi="Times New Roman" w:cs="Times New Roman"/>
                <w:kern w:val="0"/>
                <w:sz w:val="20"/>
                <w:szCs w:val="20"/>
                <w:lang w:val="en-GB" w:eastAsia="en-GB"/>
                <w14:ligatures w14:val="none"/>
              </w:rPr>
              <w:t> </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2320F5AF"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Liverpool</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427DF04C"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Penrith</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74787683"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The Hills Shire</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4C6776CD"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proofErr w:type="spellStart"/>
            <w:r w:rsidRPr="006756F1">
              <w:rPr>
                <w:rFonts w:ascii="Avenir Book" w:eastAsia="Times New Roman" w:hAnsi="Avenir Book" w:cs="Times New Roman"/>
                <w:kern w:val="0"/>
                <w:sz w:val="20"/>
                <w:szCs w:val="20"/>
                <w:lang w:val="en-GB" w:eastAsia="en-GB"/>
                <w14:ligatures w14:val="none"/>
              </w:rPr>
              <w:t>Wollondilly</w:t>
            </w:r>
            <w:proofErr w:type="spellEnd"/>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tc>
        <w:tc>
          <w:tcPr>
            <w:tcW w:w="1588" w:type="dxa"/>
            <w:tcBorders>
              <w:top w:val="single" w:sz="6" w:space="0" w:color="auto"/>
              <w:left w:val="single" w:sz="6" w:space="0" w:color="auto"/>
              <w:bottom w:val="single" w:sz="6" w:space="0" w:color="auto"/>
              <w:right w:val="single" w:sz="6" w:space="0" w:color="auto"/>
            </w:tcBorders>
            <w:shd w:val="clear" w:color="auto" w:fill="auto"/>
            <w:hideMark/>
          </w:tcPr>
          <w:p w14:paraId="38457003"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Cardinia</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5AE6FF40"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Casey</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6ADB241F"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Hume</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7405AC59"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Melton</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18B1D289"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Mitchell</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78E6A383"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Whittlesea</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431BDF50"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Wyndham</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tc>
        <w:tc>
          <w:tcPr>
            <w:tcW w:w="1588" w:type="dxa"/>
            <w:tcBorders>
              <w:top w:val="single" w:sz="6" w:space="0" w:color="auto"/>
              <w:left w:val="single" w:sz="6" w:space="0" w:color="auto"/>
              <w:bottom w:val="single" w:sz="6" w:space="0" w:color="auto"/>
              <w:right w:val="single" w:sz="6" w:space="0" w:color="auto"/>
            </w:tcBorders>
            <w:shd w:val="clear" w:color="auto" w:fill="auto"/>
            <w:hideMark/>
          </w:tcPr>
          <w:p w14:paraId="1F52CA52"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Mount Barker</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46285F7D"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Playford</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tc>
        <w:tc>
          <w:tcPr>
            <w:tcW w:w="1588" w:type="dxa"/>
            <w:tcBorders>
              <w:top w:val="single" w:sz="6" w:space="0" w:color="auto"/>
              <w:left w:val="single" w:sz="6" w:space="0" w:color="auto"/>
              <w:bottom w:val="single" w:sz="6" w:space="0" w:color="auto"/>
              <w:right w:val="single" w:sz="6" w:space="0" w:color="auto"/>
            </w:tcBorders>
            <w:shd w:val="clear" w:color="auto" w:fill="auto"/>
            <w:hideMark/>
          </w:tcPr>
          <w:p w14:paraId="15E424FD"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Armadale</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6C6BCAEF"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Cockburn</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7E552888"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proofErr w:type="spellStart"/>
            <w:r w:rsidRPr="006756F1">
              <w:rPr>
                <w:rFonts w:ascii="Avenir Book" w:eastAsia="Times New Roman" w:hAnsi="Avenir Book" w:cs="Times New Roman"/>
                <w:kern w:val="0"/>
                <w:sz w:val="20"/>
                <w:szCs w:val="20"/>
                <w:lang w:val="en-GB" w:eastAsia="en-GB"/>
                <w14:ligatures w14:val="none"/>
              </w:rPr>
              <w:t>Gosnells</w:t>
            </w:r>
            <w:proofErr w:type="spellEnd"/>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2400F766"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Kwinana</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541FBF9F"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Mandurah</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6107201C"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Rockingham</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6967BAD8"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Serpentine-Jarrahdale</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4B77E728"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Swan</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p w14:paraId="51EBB894" w14:textId="77777777" w:rsidR="00D46AB6" w:rsidRPr="006756F1" w:rsidRDefault="00D46AB6" w:rsidP="00D46AB6">
            <w:pPr>
              <w:numPr>
                <w:ilvl w:val="0"/>
                <w:numId w:val="7"/>
              </w:numPr>
              <w:spacing w:after="0" w:line="240" w:lineRule="auto"/>
              <w:textAlignment w:val="baseline"/>
              <w:rPr>
                <w:rFonts w:ascii="Avenir Book" w:eastAsia="Times New Roman" w:hAnsi="Avenir Book" w:cs="Times New Roman"/>
                <w:kern w:val="0"/>
                <w:sz w:val="20"/>
                <w:szCs w:val="20"/>
                <w:lang w:eastAsia="en-GB"/>
                <w14:ligatures w14:val="none"/>
              </w:rPr>
            </w:pPr>
            <w:r w:rsidRPr="006756F1">
              <w:rPr>
                <w:rFonts w:ascii="Avenir Book" w:eastAsia="Times New Roman" w:hAnsi="Avenir Book" w:cs="Times New Roman"/>
                <w:kern w:val="0"/>
                <w:sz w:val="20"/>
                <w:szCs w:val="20"/>
                <w:lang w:val="en-GB" w:eastAsia="en-GB"/>
                <w14:ligatures w14:val="none"/>
              </w:rPr>
              <w:t>Wanneroo</w:t>
            </w:r>
            <w:r w:rsidRPr="006756F1">
              <w:rPr>
                <w:rFonts w:ascii="Times New Roman" w:eastAsia="Times New Roman" w:hAnsi="Times New Roman" w:cs="Times New Roman"/>
                <w:kern w:val="0"/>
                <w:sz w:val="20"/>
                <w:szCs w:val="20"/>
                <w:lang w:eastAsia="en-GB"/>
                <w14:ligatures w14:val="none"/>
              </w:rPr>
              <w:t> </w:t>
            </w:r>
            <w:r w:rsidRPr="006756F1">
              <w:rPr>
                <w:rFonts w:ascii="Avenir Book" w:eastAsia="Times New Roman" w:hAnsi="Avenir Book" w:cs="Times New Roman"/>
                <w:kern w:val="0"/>
                <w:sz w:val="20"/>
                <w:szCs w:val="20"/>
                <w:lang w:eastAsia="en-GB"/>
                <w14:ligatures w14:val="none"/>
              </w:rPr>
              <w:t> </w:t>
            </w:r>
          </w:p>
        </w:tc>
      </w:tr>
    </w:tbl>
    <w:p w14:paraId="4E738535" w14:textId="77777777" w:rsidR="00D46AB6" w:rsidRDefault="00D46AB6" w:rsidP="00D46AB6">
      <w:pPr>
        <w:rPr>
          <w:color w:val="9F1F63"/>
        </w:rPr>
      </w:pPr>
    </w:p>
    <w:p w14:paraId="40CA2742" w14:textId="77777777" w:rsidR="00D46AB6" w:rsidRPr="00DC1F8E" w:rsidRDefault="00D46AB6" w:rsidP="00D46AB6">
      <w:pPr>
        <w:rPr>
          <w:rFonts w:ascii="Arial" w:hAnsi="Arial" w:cs="Arial"/>
          <w:b/>
          <w:bCs/>
          <w:color w:val="5A598D"/>
        </w:rPr>
      </w:pPr>
      <w:r w:rsidRPr="00DC1F8E">
        <w:rPr>
          <w:rFonts w:ascii="Arial" w:hAnsi="Arial" w:cs="Arial"/>
          <w:b/>
          <w:bCs/>
          <w:color w:val="5A598D"/>
        </w:rPr>
        <w:t>Election asks</w:t>
      </w:r>
    </w:p>
    <w:p w14:paraId="2650E31F" w14:textId="77777777" w:rsidR="00D46AB6" w:rsidRPr="00ED52E2" w:rsidRDefault="00D46AB6" w:rsidP="00D46AB6">
      <w:pPr>
        <w:pStyle w:val="ListParagraph"/>
        <w:numPr>
          <w:ilvl w:val="0"/>
          <w:numId w:val="8"/>
        </w:numPr>
        <w:spacing w:after="0" w:line="240" w:lineRule="auto"/>
        <w:rPr>
          <w:rFonts w:ascii="Arial" w:hAnsi="Arial" w:cs="Arial"/>
        </w:rPr>
      </w:pPr>
      <w:r>
        <w:rPr>
          <w:rFonts w:ascii="Arial" w:hAnsi="Arial" w:cs="Arial"/>
        </w:rPr>
        <w:t>We are calling on the major parties to commit to the National Growth Areas Alliances’ key recommendations</w:t>
      </w:r>
      <w:r w:rsidRPr="00ED52E2">
        <w:rPr>
          <w:rFonts w:ascii="Arial" w:hAnsi="Arial" w:cs="Arial"/>
        </w:rPr>
        <w:t xml:space="preserve">: </w:t>
      </w:r>
    </w:p>
    <w:p w14:paraId="0825F56E" w14:textId="77777777" w:rsidR="00D46AB6" w:rsidRPr="00427A53" w:rsidRDefault="00D46AB6" w:rsidP="00D46AB6">
      <w:pPr>
        <w:pStyle w:val="ListParagraph"/>
        <w:numPr>
          <w:ilvl w:val="1"/>
          <w:numId w:val="2"/>
        </w:numPr>
        <w:spacing w:after="0" w:line="240" w:lineRule="auto"/>
        <w:rPr>
          <w:rFonts w:ascii="Arial" w:hAnsi="Arial" w:cs="Arial"/>
        </w:rPr>
      </w:pPr>
      <w:r w:rsidRPr="732A217E">
        <w:rPr>
          <w:rFonts w:ascii="Arial" w:hAnsi="Arial" w:cs="Arial"/>
        </w:rPr>
        <w:t>Recognise outer metropolitan growth areas as regions requiring specific attention in Commonwealth funding programs.</w:t>
      </w:r>
    </w:p>
    <w:p w14:paraId="33453648" w14:textId="77777777" w:rsidR="00D46AB6" w:rsidRDefault="00D46AB6" w:rsidP="00D46AB6">
      <w:pPr>
        <w:pStyle w:val="ListParagraph"/>
        <w:numPr>
          <w:ilvl w:val="1"/>
          <w:numId w:val="2"/>
        </w:numPr>
        <w:spacing w:after="0" w:line="240" w:lineRule="auto"/>
        <w:rPr>
          <w:rFonts w:ascii="Arial" w:hAnsi="Arial" w:cs="Arial"/>
        </w:rPr>
      </w:pPr>
      <w:r w:rsidRPr="732A217E">
        <w:rPr>
          <w:rFonts w:ascii="Arial" w:hAnsi="Arial" w:cs="Arial"/>
        </w:rPr>
        <w:t>Prioritise funding to invest in Australia’s growth.</w:t>
      </w:r>
    </w:p>
    <w:p w14:paraId="01404047" w14:textId="77777777" w:rsidR="00D46AB6" w:rsidRPr="004E6A89" w:rsidRDefault="00D46AB6" w:rsidP="00D46AB6">
      <w:pPr>
        <w:pStyle w:val="ListParagraph"/>
        <w:numPr>
          <w:ilvl w:val="1"/>
          <w:numId w:val="2"/>
        </w:numPr>
        <w:spacing w:after="0" w:line="240" w:lineRule="auto"/>
        <w:rPr>
          <w:rFonts w:ascii="Arial" w:hAnsi="Arial" w:cs="Arial"/>
        </w:rPr>
      </w:pPr>
      <w:r w:rsidRPr="00427A53">
        <w:rPr>
          <w:rFonts w:ascii="Arial" w:hAnsi="Arial" w:cs="Arial"/>
        </w:rPr>
        <w:t xml:space="preserve">Resource </w:t>
      </w:r>
      <w:r>
        <w:rPr>
          <w:rFonts w:ascii="Arial" w:hAnsi="Arial" w:cs="Arial"/>
        </w:rPr>
        <w:t xml:space="preserve">growth areas </w:t>
      </w:r>
      <w:r w:rsidRPr="00427A53">
        <w:rPr>
          <w:rFonts w:ascii="Arial" w:hAnsi="Arial" w:cs="Arial"/>
        </w:rPr>
        <w:t>equitably through a</w:t>
      </w:r>
      <w:r>
        <w:rPr>
          <w:rFonts w:ascii="Arial" w:hAnsi="Arial" w:cs="Arial"/>
        </w:rPr>
        <w:t xml:space="preserve"> dedicated,</w:t>
      </w:r>
      <w:r w:rsidRPr="00427A53">
        <w:rPr>
          <w:rFonts w:ascii="Arial" w:hAnsi="Arial" w:cs="Arial"/>
        </w:rPr>
        <w:t xml:space="preserve"> </w:t>
      </w:r>
      <w:r>
        <w:rPr>
          <w:rFonts w:ascii="Arial" w:hAnsi="Arial" w:cs="Arial"/>
        </w:rPr>
        <w:t xml:space="preserve">long term </w:t>
      </w:r>
      <w:r w:rsidRPr="00427A53">
        <w:rPr>
          <w:rFonts w:ascii="Arial" w:hAnsi="Arial" w:cs="Arial"/>
        </w:rPr>
        <w:t>national infrastructure investment framework.</w:t>
      </w:r>
    </w:p>
    <w:p w14:paraId="18EE8849" w14:textId="77777777" w:rsidR="00D46AB6" w:rsidRPr="00ED52E2" w:rsidRDefault="00D46AB6" w:rsidP="00D46AB6">
      <w:pPr>
        <w:pStyle w:val="paragraph"/>
        <w:numPr>
          <w:ilvl w:val="0"/>
          <w:numId w:val="8"/>
        </w:numPr>
        <w:spacing w:before="0" w:beforeAutospacing="0" w:after="0" w:afterAutospacing="0"/>
        <w:textAlignment w:val="baseline"/>
        <w:rPr>
          <w:rFonts w:ascii="Arial" w:hAnsi="Arial" w:cs="Arial"/>
        </w:rPr>
      </w:pPr>
      <w:r w:rsidRPr="00ED52E2">
        <w:rPr>
          <w:rStyle w:val="normaltextrun"/>
          <w:rFonts w:ascii="Arial" w:eastAsiaTheme="majorEastAsia" w:hAnsi="Arial" w:cs="Arial"/>
        </w:rPr>
        <w:t xml:space="preserve">Australia must establish a national whole-of-government approach to the </w:t>
      </w:r>
      <w:r w:rsidRPr="00ED52E2">
        <w:rPr>
          <w:rStyle w:val="normaltextrun"/>
          <w:rFonts w:ascii="Arial" w:eastAsiaTheme="majorEastAsia" w:hAnsi="Arial" w:cs="Arial"/>
          <w:lang w:val="en-GB"/>
        </w:rPr>
        <w:t>planning, funding, and delivery of growth area housing and infrastructure </w:t>
      </w:r>
      <w:r w:rsidRPr="00ED52E2">
        <w:rPr>
          <w:rStyle w:val="eop"/>
          <w:rFonts w:ascii="Arial" w:eastAsiaTheme="majorEastAsia" w:hAnsi="Arial" w:cs="Arial"/>
        </w:rPr>
        <w:t> </w:t>
      </w:r>
    </w:p>
    <w:p w14:paraId="11EF1D9C" w14:textId="77777777" w:rsidR="00D46AB6" w:rsidRDefault="00D46AB6" w:rsidP="00D46AB6">
      <w:pPr>
        <w:pStyle w:val="paragraph"/>
        <w:numPr>
          <w:ilvl w:val="0"/>
          <w:numId w:val="8"/>
        </w:numPr>
        <w:spacing w:before="0" w:beforeAutospacing="0" w:after="0" w:afterAutospacing="0"/>
        <w:textAlignment w:val="baseline"/>
        <w:rPr>
          <w:rStyle w:val="eop"/>
          <w:rFonts w:ascii="Arial" w:eastAsiaTheme="majorEastAsia" w:hAnsi="Arial" w:cs="Arial"/>
        </w:rPr>
      </w:pPr>
      <w:r w:rsidRPr="00ED52E2">
        <w:rPr>
          <w:rStyle w:val="normaltextrun"/>
          <w:rFonts w:ascii="Arial" w:eastAsiaTheme="majorEastAsia" w:hAnsi="Arial" w:cs="Arial"/>
        </w:rPr>
        <w:t>The Commonwealth must commit to the needs of growth areas and lead the charge in meeting their infrastructure needs</w:t>
      </w:r>
      <w:r w:rsidRPr="00ED52E2">
        <w:rPr>
          <w:rStyle w:val="eop"/>
          <w:rFonts w:ascii="Arial" w:eastAsiaTheme="majorEastAsia" w:hAnsi="Arial" w:cs="Arial"/>
        </w:rPr>
        <w:t> </w:t>
      </w:r>
    </w:p>
    <w:p w14:paraId="1D4F946C" w14:textId="77777777" w:rsidR="00D46AB6" w:rsidRDefault="00D46AB6" w:rsidP="00D46AB6">
      <w:pPr>
        <w:pStyle w:val="paragraph"/>
        <w:spacing w:before="0" w:beforeAutospacing="0" w:after="0" w:afterAutospacing="0"/>
        <w:textAlignment w:val="baseline"/>
        <w:rPr>
          <w:rStyle w:val="eop"/>
          <w:rFonts w:ascii="Arial" w:eastAsiaTheme="majorEastAsia" w:hAnsi="Arial" w:cs="Arial"/>
        </w:rPr>
      </w:pPr>
    </w:p>
    <w:p w14:paraId="10FDAB8C" w14:textId="77777777" w:rsidR="00D46AB6" w:rsidRPr="00DC1F8E" w:rsidRDefault="00D46AB6" w:rsidP="00D46AB6">
      <w:pPr>
        <w:rPr>
          <w:rFonts w:ascii="Arial" w:hAnsi="Arial" w:cs="Arial"/>
          <w:b/>
          <w:bCs/>
          <w:color w:val="5A598D"/>
        </w:rPr>
      </w:pPr>
      <w:r w:rsidRPr="00DC1F8E">
        <w:rPr>
          <w:rFonts w:ascii="Arial" w:hAnsi="Arial" w:cs="Arial"/>
          <w:b/>
          <w:bCs/>
          <w:color w:val="5A598D"/>
        </w:rPr>
        <w:t>Key data</w:t>
      </w:r>
    </w:p>
    <w:p w14:paraId="6EAACD72" w14:textId="77777777" w:rsidR="00D46AB6" w:rsidRPr="00E5260A" w:rsidRDefault="00D46AB6" w:rsidP="00D46AB6">
      <w:pPr>
        <w:pStyle w:val="paragraph"/>
        <w:spacing w:before="0" w:beforeAutospacing="0" w:after="0" w:afterAutospacing="0"/>
        <w:textAlignment w:val="baseline"/>
        <w:rPr>
          <w:rFonts w:ascii="Arial" w:hAnsi="Arial" w:cs="Arial"/>
        </w:rPr>
      </w:pPr>
      <w:r w:rsidRPr="00E5260A">
        <w:rPr>
          <w:rStyle w:val="normaltextrun"/>
          <w:rFonts w:ascii="Arial" w:eastAsiaTheme="majorEastAsia" w:hAnsi="Arial" w:cs="Arial"/>
          <w:u w:val="single"/>
        </w:rPr>
        <w:lastRenderedPageBreak/>
        <w:t>Population growth</w:t>
      </w:r>
      <w:r w:rsidRPr="00E5260A">
        <w:rPr>
          <w:rStyle w:val="eop"/>
          <w:rFonts w:ascii="Arial" w:eastAsiaTheme="majorEastAsia" w:hAnsi="Arial" w:cs="Arial"/>
        </w:rPr>
        <w:t> </w:t>
      </w:r>
    </w:p>
    <w:p w14:paraId="29987DB9" w14:textId="77777777" w:rsidR="00D46AB6" w:rsidRPr="00E5260A" w:rsidRDefault="00D46AB6" w:rsidP="00D46AB6">
      <w:pPr>
        <w:pStyle w:val="paragraph"/>
        <w:numPr>
          <w:ilvl w:val="0"/>
          <w:numId w:val="8"/>
        </w:numPr>
        <w:tabs>
          <w:tab w:val="num" w:pos="360"/>
        </w:tabs>
        <w:spacing w:before="0" w:beforeAutospacing="0" w:after="0" w:afterAutospacing="0"/>
        <w:textAlignment w:val="baseline"/>
        <w:rPr>
          <w:rStyle w:val="normaltextrun"/>
          <w:rFonts w:ascii="Arial" w:eastAsiaTheme="majorEastAsia" w:hAnsi="Arial" w:cs="Arial"/>
        </w:rPr>
      </w:pPr>
      <w:r w:rsidRPr="00E5260A">
        <w:rPr>
          <w:rStyle w:val="normaltextrun"/>
          <w:rFonts w:ascii="Arial" w:eastAsiaTheme="majorEastAsia" w:hAnsi="Arial" w:cs="Arial"/>
        </w:rPr>
        <w:t>Over 5.6 million people live in growth areas, that’s one in five Australians1 </w:t>
      </w:r>
    </w:p>
    <w:p w14:paraId="5A1BE245" w14:textId="77777777" w:rsidR="00D46AB6" w:rsidRPr="00E5260A" w:rsidRDefault="00D46AB6" w:rsidP="00D46AB6">
      <w:pPr>
        <w:pStyle w:val="paragraph"/>
        <w:numPr>
          <w:ilvl w:val="1"/>
          <w:numId w:val="8"/>
        </w:numPr>
        <w:spacing w:before="0" w:beforeAutospacing="0" w:after="0" w:afterAutospacing="0"/>
        <w:textAlignment w:val="baseline"/>
        <w:rPr>
          <w:rStyle w:val="normaltextrun"/>
          <w:rFonts w:ascii="Arial" w:eastAsiaTheme="majorEastAsia" w:hAnsi="Arial" w:cs="Arial"/>
        </w:rPr>
      </w:pPr>
      <w:r w:rsidRPr="00E5260A">
        <w:rPr>
          <w:rStyle w:val="normaltextrun"/>
          <w:rFonts w:ascii="Arial" w:eastAsiaTheme="majorEastAsia" w:hAnsi="Arial" w:cs="Arial"/>
        </w:rPr>
        <w:t>This figure is forecast to grow by 2.5 million people by 2031 </w:t>
      </w:r>
    </w:p>
    <w:p w14:paraId="7AC45684" w14:textId="77777777" w:rsidR="00D46AB6" w:rsidRPr="00E5260A" w:rsidRDefault="00D46AB6" w:rsidP="00D46AB6">
      <w:pPr>
        <w:pStyle w:val="paragraph"/>
        <w:numPr>
          <w:ilvl w:val="0"/>
          <w:numId w:val="8"/>
        </w:numPr>
        <w:tabs>
          <w:tab w:val="num" w:pos="360"/>
        </w:tabs>
        <w:spacing w:before="0" w:beforeAutospacing="0" w:after="0" w:afterAutospacing="0"/>
        <w:textAlignment w:val="baseline"/>
        <w:rPr>
          <w:rStyle w:val="normaltextrun"/>
          <w:rFonts w:ascii="Arial" w:eastAsiaTheme="majorEastAsia" w:hAnsi="Arial" w:cs="Arial"/>
        </w:rPr>
      </w:pPr>
      <w:r w:rsidRPr="00E5260A">
        <w:rPr>
          <w:rStyle w:val="normaltextrun"/>
          <w:rFonts w:ascii="Arial" w:eastAsiaTheme="majorEastAsia" w:hAnsi="Arial" w:cs="Arial"/>
        </w:rPr>
        <w:t>Population growth in outer-metropolitan cities and suburbs reached 8.44% from 2021 to 2023, far outpacing the national average of 4.86%  </w:t>
      </w:r>
    </w:p>
    <w:p w14:paraId="593803E8" w14:textId="77777777" w:rsidR="00D46AB6" w:rsidRPr="00E5260A" w:rsidRDefault="00D46AB6" w:rsidP="00D46AB6">
      <w:pPr>
        <w:pStyle w:val="paragraph"/>
        <w:numPr>
          <w:ilvl w:val="0"/>
          <w:numId w:val="8"/>
        </w:numPr>
        <w:tabs>
          <w:tab w:val="num" w:pos="360"/>
        </w:tabs>
        <w:spacing w:before="0" w:beforeAutospacing="0" w:after="0" w:afterAutospacing="0"/>
        <w:textAlignment w:val="baseline"/>
        <w:rPr>
          <w:rStyle w:val="normaltextrun"/>
          <w:rFonts w:ascii="Arial" w:eastAsiaTheme="majorEastAsia" w:hAnsi="Arial" w:cs="Arial"/>
        </w:rPr>
      </w:pPr>
      <w:r w:rsidRPr="00E5260A">
        <w:rPr>
          <w:rStyle w:val="normaltextrun"/>
          <w:rFonts w:ascii="Arial" w:eastAsiaTheme="majorEastAsia" w:hAnsi="Arial" w:cs="Arial"/>
        </w:rPr>
        <w:t>Growth areas grew at 3% per annum 2016-21 compared to the 1.2% national average.   </w:t>
      </w:r>
    </w:p>
    <w:p w14:paraId="54FAC228" w14:textId="77777777" w:rsidR="00D46AB6" w:rsidRPr="00E5260A" w:rsidRDefault="00D46AB6" w:rsidP="00D46AB6">
      <w:pPr>
        <w:pStyle w:val="paragraph"/>
        <w:numPr>
          <w:ilvl w:val="0"/>
          <w:numId w:val="8"/>
        </w:numPr>
        <w:tabs>
          <w:tab w:val="num" w:pos="360"/>
        </w:tabs>
        <w:spacing w:before="0" w:beforeAutospacing="0" w:after="0" w:afterAutospacing="0"/>
        <w:textAlignment w:val="baseline"/>
        <w:rPr>
          <w:rStyle w:val="normaltextrun"/>
          <w:rFonts w:ascii="Arial" w:eastAsiaTheme="majorEastAsia" w:hAnsi="Arial" w:cs="Arial"/>
        </w:rPr>
      </w:pPr>
      <w:r w:rsidRPr="00E5260A">
        <w:rPr>
          <w:rStyle w:val="normaltextrun"/>
          <w:rFonts w:ascii="Arial" w:eastAsiaTheme="majorEastAsia" w:hAnsi="Arial" w:cs="Arial"/>
        </w:rPr>
        <w:t xml:space="preserve">Growth areas are the home to the next generation of Australians with </w:t>
      </w:r>
      <w:proofErr w:type="gramStart"/>
      <w:r w:rsidRPr="00E5260A">
        <w:rPr>
          <w:rStyle w:val="normaltextrun"/>
          <w:rFonts w:ascii="Arial" w:eastAsiaTheme="majorEastAsia" w:hAnsi="Arial" w:cs="Arial"/>
        </w:rPr>
        <w:t>higher than average</w:t>
      </w:r>
      <w:proofErr w:type="gramEnd"/>
      <w:r w:rsidRPr="00E5260A">
        <w:rPr>
          <w:rStyle w:val="normaltextrun"/>
          <w:rFonts w:ascii="Arial" w:eastAsiaTheme="majorEastAsia" w:hAnsi="Arial" w:cs="Arial"/>
        </w:rPr>
        <w:t xml:space="preserve"> populations of all age groups up to 49 year olds </w:t>
      </w:r>
    </w:p>
    <w:p w14:paraId="32F7616F" w14:textId="77777777" w:rsidR="00D46AB6" w:rsidRDefault="00D46AB6" w:rsidP="00D46AB6">
      <w:pPr>
        <w:pStyle w:val="paragraph"/>
        <w:spacing w:before="0" w:beforeAutospacing="0" w:after="0" w:afterAutospacing="0"/>
        <w:textAlignment w:val="baseline"/>
        <w:rPr>
          <w:rFonts w:ascii="Segoe UI" w:hAnsi="Segoe UI" w:cs="Segoe UI"/>
          <w:sz w:val="18"/>
          <w:szCs w:val="18"/>
        </w:rPr>
      </w:pPr>
      <w:r>
        <w:rPr>
          <w:rStyle w:val="eop"/>
          <w:rFonts w:ascii="Avenir Book" w:eastAsiaTheme="majorEastAsia" w:hAnsi="Avenir Book" w:cs="Segoe UI"/>
          <w:sz w:val="20"/>
          <w:szCs w:val="20"/>
        </w:rPr>
        <w:t> </w:t>
      </w:r>
    </w:p>
    <w:p w14:paraId="57619E30" w14:textId="77777777" w:rsidR="00D46AB6" w:rsidRPr="00E5260A" w:rsidRDefault="00D46AB6" w:rsidP="00D46AB6">
      <w:pPr>
        <w:pStyle w:val="paragraph"/>
        <w:spacing w:before="0" w:beforeAutospacing="0" w:after="0" w:afterAutospacing="0"/>
        <w:textAlignment w:val="baseline"/>
        <w:rPr>
          <w:rStyle w:val="normaltextrun"/>
          <w:rFonts w:ascii="Arial" w:eastAsiaTheme="majorEastAsia" w:hAnsi="Arial" w:cs="Arial"/>
          <w:u w:val="single"/>
        </w:rPr>
      </w:pPr>
      <w:r w:rsidRPr="00E5260A">
        <w:rPr>
          <w:rStyle w:val="normaltextrun"/>
          <w:rFonts w:ascii="Arial" w:eastAsiaTheme="majorEastAsia" w:hAnsi="Arial" w:cs="Arial"/>
          <w:u w:val="single"/>
        </w:rPr>
        <w:t>Economy and productivity </w:t>
      </w:r>
    </w:p>
    <w:p w14:paraId="56FE807C" w14:textId="77777777" w:rsidR="00D46AB6" w:rsidRPr="00E5260A" w:rsidRDefault="00D46AB6" w:rsidP="00D46AB6">
      <w:pPr>
        <w:pStyle w:val="paragraph"/>
        <w:numPr>
          <w:ilvl w:val="0"/>
          <w:numId w:val="8"/>
        </w:numPr>
        <w:tabs>
          <w:tab w:val="num" w:pos="360"/>
        </w:tabs>
        <w:spacing w:before="0" w:beforeAutospacing="0" w:after="0" w:afterAutospacing="0"/>
        <w:textAlignment w:val="baseline"/>
        <w:rPr>
          <w:rStyle w:val="normaltextrun"/>
          <w:rFonts w:ascii="Arial" w:eastAsiaTheme="majorEastAsia" w:hAnsi="Arial" w:cs="Arial"/>
        </w:rPr>
      </w:pPr>
      <w:r w:rsidRPr="00E5260A">
        <w:rPr>
          <w:rStyle w:val="normaltextrun"/>
          <w:rFonts w:ascii="Arial" w:eastAsiaTheme="majorEastAsia" w:hAnsi="Arial" w:cs="Arial"/>
        </w:rPr>
        <w:t>Growth areas are becoming economic powerhouses with higher rates of productivity, accounting for over 12% of GDP despite only making up around 6% of Australia’s 545 LGAs.   </w:t>
      </w:r>
    </w:p>
    <w:p w14:paraId="7C940835" w14:textId="77777777" w:rsidR="00D46AB6" w:rsidRPr="00E5260A" w:rsidRDefault="00D46AB6" w:rsidP="00D46AB6">
      <w:pPr>
        <w:pStyle w:val="paragraph"/>
        <w:numPr>
          <w:ilvl w:val="0"/>
          <w:numId w:val="8"/>
        </w:numPr>
        <w:tabs>
          <w:tab w:val="num" w:pos="360"/>
        </w:tabs>
        <w:spacing w:before="0" w:beforeAutospacing="0" w:after="0" w:afterAutospacing="0"/>
        <w:textAlignment w:val="baseline"/>
        <w:rPr>
          <w:rStyle w:val="normaltextrun"/>
          <w:rFonts w:ascii="Arial" w:eastAsiaTheme="majorEastAsia" w:hAnsi="Arial" w:cs="Arial"/>
        </w:rPr>
      </w:pPr>
      <w:r w:rsidRPr="00E5260A">
        <w:rPr>
          <w:rStyle w:val="normaltextrun"/>
          <w:rFonts w:ascii="Arial" w:eastAsiaTheme="majorEastAsia" w:hAnsi="Arial" w:cs="Arial"/>
        </w:rPr>
        <w:t>Growth areas contribute a Total Gross Regional Product of $289.697 billion  </w:t>
      </w:r>
    </w:p>
    <w:p w14:paraId="560BE06C" w14:textId="77777777" w:rsidR="00D46AB6" w:rsidRDefault="00D46AB6" w:rsidP="00D46AB6">
      <w:pPr>
        <w:pStyle w:val="paragraph"/>
        <w:spacing w:before="0" w:beforeAutospacing="0" w:after="0" w:afterAutospacing="0"/>
        <w:textAlignment w:val="baseline"/>
        <w:rPr>
          <w:rFonts w:ascii="Segoe UI" w:hAnsi="Segoe UI" w:cs="Segoe UI"/>
          <w:sz w:val="18"/>
          <w:szCs w:val="18"/>
        </w:rPr>
      </w:pPr>
      <w:r>
        <w:rPr>
          <w:rStyle w:val="eop"/>
          <w:rFonts w:ascii="Avenir Book" w:eastAsiaTheme="majorEastAsia" w:hAnsi="Avenir Book" w:cs="Segoe UI"/>
          <w:sz w:val="20"/>
          <w:szCs w:val="20"/>
        </w:rPr>
        <w:t> </w:t>
      </w:r>
    </w:p>
    <w:p w14:paraId="20AD8327" w14:textId="77777777" w:rsidR="00D46AB6" w:rsidRPr="00E5260A" w:rsidRDefault="00D46AB6" w:rsidP="00D46AB6">
      <w:pPr>
        <w:pStyle w:val="paragraph"/>
        <w:spacing w:before="0" w:beforeAutospacing="0" w:after="0" w:afterAutospacing="0"/>
        <w:textAlignment w:val="baseline"/>
        <w:rPr>
          <w:rStyle w:val="normaltextrun"/>
          <w:rFonts w:ascii="Arial" w:eastAsiaTheme="majorEastAsia" w:hAnsi="Arial" w:cs="Arial"/>
          <w:u w:val="single"/>
        </w:rPr>
      </w:pPr>
      <w:r w:rsidRPr="00E5260A">
        <w:rPr>
          <w:rStyle w:val="normaltextrun"/>
          <w:rFonts w:ascii="Arial" w:eastAsiaTheme="majorEastAsia" w:hAnsi="Arial" w:cs="Arial"/>
          <w:u w:val="single"/>
        </w:rPr>
        <w:t>Employment</w:t>
      </w:r>
    </w:p>
    <w:p w14:paraId="3B8D2292" w14:textId="77777777" w:rsidR="00D46AB6" w:rsidRPr="00E5260A" w:rsidRDefault="00D46AB6" w:rsidP="00D46AB6">
      <w:pPr>
        <w:pStyle w:val="paragraph"/>
        <w:numPr>
          <w:ilvl w:val="0"/>
          <w:numId w:val="8"/>
        </w:numPr>
        <w:tabs>
          <w:tab w:val="num" w:pos="360"/>
        </w:tabs>
        <w:spacing w:before="0" w:beforeAutospacing="0" w:after="0" w:afterAutospacing="0"/>
        <w:textAlignment w:val="baseline"/>
        <w:rPr>
          <w:rStyle w:val="normaltextrun"/>
          <w:rFonts w:ascii="Arial" w:eastAsiaTheme="majorEastAsia" w:hAnsi="Arial" w:cs="Arial"/>
        </w:rPr>
      </w:pPr>
      <w:r w:rsidRPr="00E5260A">
        <w:rPr>
          <w:rStyle w:val="normaltextrun"/>
          <w:rFonts w:ascii="Arial" w:eastAsiaTheme="majorEastAsia" w:hAnsi="Arial" w:cs="Arial"/>
        </w:rPr>
        <w:t>Rapid population increases in growth areas are outpacing local economic growth </w:t>
      </w:r>
    </w:p>
    <w:p w14:paraId="307405BE" w14:textId="77777777" w:rsidR="00D46AB6" w:rsidRPr="00E5260A" w:rsidRDefault="00D46AB6" w:rsidP="00D46AB6">
      <w:pPr>
        <w:pStyle w:val="paragraph"/>
        <w:numPr>
          <w:ilvl w:val="0"/>
          <w:numId w:val="8"/>
        </w:numPr>
        <w:tabs>
          <w:tab w:val="num" w:pos="360"/>
        </w:tabs>
        <w:spacing w:before="0" w:beforeAutospacing="0" w:after="0" w:afterAutospacing="0"/>
        <w:textAlignment w:val="baseline"/>
        <w:rPr>
          <w:rStyle w:val="normaltextrun"/>
          <w:rFonts w:ascii="Arial" w:eastAsiaTheme="majorEastAsia" w:hAnsi="Arial" w:cs="Arial"/>
        </w:rPr>
      </w:pPr>
      <w:r w:rsidRPr="00E5260A">
        <w:rPr>
          <w:rStyle w:val="normaltextrun"/>
          <w:rFonts w:ascii="Arial" w:eastAsiaTheme="majorEastAsia" w:hAnsi="Arial" w:cs="Arial"/>
        </w:rPr>
        <w:t>In 2021, there were 810,000 fewer jobs than employed residents  </w:t>
      </w:r>
    </w:p>
    <w:p w14:paraId="6E0D2788" w14:textId="77777777" w:rsidR="00D46AB6" w:rsidRPr="00E5260A" w:rsidRDefault="00D46AB6" w:rsidP="00D46AB6">
      <w:pPr>
        <w:pStyle w:val="paragraph"/>
        <w:numPr>
          <w:ilvl w:val="0"/>
          <w:numId w:val="8"/>
        </w:numPr>
        <w:tabs>
          <w:tab w:val="num" w:pos="360"/>
        </w:tabs>
        <w:spacing w:before="0" w:beforeAutospacing="0" w:after="0" w:afterAutospacing="0"/>
        <w:textAlignment w:val="baseline"/>
        <w:rPr>
          <w:rStyle w:val="normaltextrun"/>
          <w:rFonts w:ascii="Arial" w:eastAsiaTheme="majorEastAsia" w:hAnsi="Arial" w:cs="Arial"/>
        </w:rPr>
      </w:pPr>
      <w:r w:rsidRPr="00E5260A">
        <w:rPr>
          <w:rStyle w:val="normaltextrun"/>
          <w:rFonts w:ascii="Arial" w:eastAsiaTheme="majorEastAsia" w:hAnsi="Arial" w:cs="Arial"/>
        </w:rPr>
        <w:t>The majority (65%) of employed growth area residents are forced work outside their LGA </w:t>
      </w:r>
    </w:p>
    <w:p w14:paraId="09B280A0" w14:textId="77777777" w:rsidR="00D46AB6" w:rsidRPr="00E5260A" w:rsidRDefault="00D46AB6" w:rsidP="00D46AB6">
      <w:pPr>
        <w:pStyle w:val="paragraph"/>
        <w:numPr>
          <w:ilvl w:val="0"/>
          <w:numId w:val="8"/>
        </w:numPr>
        <w:tabs>
          <w:tab w:val="num" w:pos="360"/>
        </w:tabs>
        <w:spacing w:before="0" w:beforeAutospacing="0" w:after="0" w:afterAutospacing="0"/>
        <w:textAlignment w:val="baseline"/>
        <w:rPr>
          <w:rStyle w:val="normaltextrun"/>
          <w:rFonts w:ascii="Arial" w:eastAsiaTheme="majorEastAsia" w:hAnsi="Arial" w:cs="Arial"/>
        </w:rPr>
      </w:pPr>
      <w:r w:rsidRPr="00E5260A">
        <w:rPr>
          <w:rStyle w:val="normaltextrun"/>
          <w:rFonts w:ascii="Arial" w:eastAsiaTheme="majorEastAsia" w:hAnsi="Arial" w:cs="Arial"/>
        </w:rPr>
        <w:t>In 2021, 14% of jobs were in the growth areas, growing from 10% in 2006 </w:t>
      </w:r>
    </w:p>
    <w:p w14:paraId="1FFD231D" w14:textId="77777777" w:rsidR="00D46AB6" w:rsidRPr="00E5260A" w:rsidRDefault="00D46AB6" w:rsidP="00D46AB6">
      <w:pPr>
        <w:pStyle w:val="paragraph"/>
        <w:numPr>
          <w:ilvl w:val="0"/>
          <w:numId w:val="8"/>
        </w:numPr>
        <w:tabs>
          <w:tab w:val="num" w:pos="360"/>
        </w:tabs>
        <w:spacing w:before="0" w:beforeAutospacing="0" w:after="0" w:afterAutospacing="0"/>
        <w:textAlignment w:val="baseline"/>
        <w:rPr>
          <w:rStyle w:val="normaltextrun"/>
          <w:rFonts w:ascii="Arial" w:eastAsiaTheme="majorEastAsia" w:hAnsi="Arial" w:cs="Arial"/>
        </w:rPr>
      </w:pPr>
      <w:r w:rsidRPr="00E5260A">
        <w:rPr>
          <w:rStyle w:val="normaltextrun"/>
          <w:rFonts w:ascii="Arial" w:eastAsiaTheme="majorEastAsia" w:hAnsi="Arial" w:cs="Arial"/>
        </w:rPr>
        <w:t>Growth areas have become entrepreneurial hotbeds with sole traders and small businesses, accounting for over 90% of all businesses  </w:t>
      </w:r>
    </w:p>
    <w:p w14:paraId="4D38D0B9" w14:textId="77777777" w:rsidR="00D46AB6" w:rsidRDefault="00D46AB6" w:rsidP="00D46AB6">
      <w:pPr>
        <w:rPr>
          <w:color w:val="9F1F63"/>
        </w:rPr>
      </w:pPr>
    </w:p>
    <w:p w14:paraId="17AC2419" w14:textId="77777777" w:rsidR="00D46AB6" w:rsidRPr="00A3180A" w:rsidRDefault="00D46AB6" w:rsidP="00D46AB6">
      <w:pPr>
        <w:pStyle w:val="paragraph"/>
        <w:spacing w:before="0" w:beforeAutospacing="0" w:after="0" w:afterAutospacing="0"/>
        <w:textAlignment w:val="baseline"/>
        <w:rPr>
          <w:rStyle w:val="normaltextrun"/>
          <w:rFonts w:ascii="Arial" w:eastAsiaTheme="majorEastAsia" w:hAnsi="Arial" w:cs="Arial"/>
          <w:u w:val="single"/>
        </w:rPr>
      </w:pPr>
      <w:r w:rsidRPr="00A3180A">
        <w:rPr>
          <w:rStyle w:val="normaltextrun"/>
          <w:rFonts w:ascii="Arial" w:eastAsiaTheme="majorEastAsia" w:hAnsi="Arial" w:cs="Arial"/>
          <w:u w:val="single"/>
        </w:rPr>
        <w:t>Voting potential</w:t>
      </w:r>
    </w:p>
    <w:p w14:paraId="41F19339" w14:textId="77777777" w:rsidR="00D46AB6" w:rsidRPr="00280B24" w:rsidRDefault="00D46AB6" w:rsidP="00D46AB6">
      <w:pPr>
        <w:pStyle w:val="paragraph"/>
        <w:numPr>
          <w:ilvl w:val="0"/>
          <w:numId w:val="8"/>
        </w:numPr>
        <w:tabs>
          <w:tab w:val="num" w:pos="360"/>
        </w:tabs>
        <w:spacing w:before="0" w:beforeAutospacing="0" w:after="0" w:afterAutospacing="0"/>
        <w:textAlignment w:val="baseline"/>
        <w:rPr>
          <w:rStyle w:val="normaltextrun"/>
          <w:rFonts w:ascii="Arial" w:eastAsiaTheme="majorEastAsia" w:hAnsi="Arial" w:cs="Arial"/>
        </w:rPr>
      </w:pPr>
      <w:r w:rsidRPr="00280B24">
        <w:rPr>
          <w:rStyle w:val="normaltextrun"/>
          <w:rFonts w:ascii="Arial" w:eastAsiaTheme="majorEastAsia" w:hAnsi="Arial" w:cs="Arial"/>
        </w:rPr>
        <w:t>Both parties must come to the table for growth areas, or risk losing an election-winning number of seats </w:t>
      </w:r>
    </w:p>
    <w:p w14:paraId="6BA9B7C3" w14:textId="77777777" w:rsidR="00D46AB6" w:rsidRDefault="00D46AB6" w:rsidP="00D46AB6">
      <w:pPr>
        <w:pStyle w:val="paragraph"/>
        <w:numPr>
          <w:ilvl w:val="0"/>
          <w:numId w:val="8"/>
        </w:numPr>
        <w:tabs>
          <w:tab w:val="num" w:pos="360"/>
        </w:tabs>
        <w:spacing w:before="0" w:beforeAutospacing="0" w:after="0" w:afterAutospacing="0"/>
        <w:textAlignment w:val="baseline"/>
        <w:rPr>
          <w:rStyle w:val="normaltextrun"/>
          <w:rFonts w:ascii="Arial" w:eastAsiaTheme="majorEastAsia" w:hAnsi="Arial" w:cs="Arial"/>
        </w:rPr>
      </w:pPr>
      <w:r w:rsidRPr="00280B24">
        <w:rPr>
          <w:rStyle w:val="normaltextrun"/>
          <w:rFonts w:ascii="Arial" w:eastAsiaTheme="majorEastAsia" w:hAnsi="Arial" w:cs="Arial"/>
        </w:rPr>
        <w:t>The NGAA has identified fourteen marginal outer-metropolitan seats with the potential to swing the federal election including: </w:t>
      </w:r>
    </w:p>
    <w:p w14:paraId="68FBADAC" w14:textId="77777777" w:rsidR="00D46AB6" w:rsidRPr="00A3180A" w:rsidRDefault="00D46AB6" w:rsidP="00D46AB6">
      <w:pPr>
        <w:pStyle w:val="paragraph"/>
        <w:numPr>
          <w:ilvl w:val="1"/>
          <w:numId w:val="8"/>
        </w:numPr>
        <w:spacing w:before="0" w:beforeAutospacing="0" w:after="0" w:afterAutospacing="0"/>
        <w:ind w:left="1080"/>
        <w:textAlignment w:val="baseline"/>
        <w:rPr>
          <w:rFonts w:ascii="Arial" w:eastAsiaTheme="majorEastAsia" w:hAnsi="Arial" w:cs="Arial"/>
        </w:rPr>
      </w:pPr>
      <w:r w:rsidRPr="00A3180A">
        <w:rPr>
          <w:rStyle w:val="normaltextrun"/>
          <w:rFonts w:ascii="Arial" w:eastAsiaTheme="majorEastAsia" w:hAnsi="Arial" w:cs="Arial"/>
        </w:rPr>
        <w:t>WA</w:t>
      </w:r>
      <w:r w:rsidRPr="00A3180A">
        <w:rPr>
          <w:rStyle w:val="eop"/>
          <w:rFonts w:ascii="Arial" w:eastAsiaTheme="majorEastAsia" w:hAnsi="Arial" w:cs="Arial"/>
        </w:rPr>
        <w:t> </w:t>
      </w:r>
    </w:p>
    <w:p w14:paraId="1A4286D0" w14:textId="77777777" w:rsidR="00D46AB6" w:rsidRPr="00A3180A" w:rsidRDefault="00D46AB6" w:rsidP="00D46AB6">
      <w:pPr>
        <w:pStyle w:val="paragraph"/>
        <w:numPr>
          <w:ilvl w:val="2"/>
          <w:numId w:val="9"/>
        </w:numPr>
        <w:spacing w:before="0" w:beforeAutospacing="0" w:after="0" w:afterAutospacing="0"/>
        <w:ind w:left="1800"/>
        <w:textAlignment w:val="baseline"/>
        <w:rPr>
          <w:rStyle w:val="normaltextrun"/>
          <w:rFonts w:eastAsiaTheme="majorEastAsia"/>
        </w:rPr>
      </w:pPr>
      <w:r w:rsidRPr="00A3180A">
        <w:rPr>
          <w:rStyle w:val="normaltextrun"/>
          <w:rFonts w:ascii="Arial" w:eastAsiaTheme="majorEastAsia" w:hAnsi="Arial" w:cs="Arial"/>
        </w:rPr>
        <w:t>Hasluck (Tania Lawrence – Labor) – 10% margin</w:t>
      </w:r>
      <w:r w:rsidRPr="00A3180A">
        <w:rPr>
          <w:rStyle w:val="normaltextrun"/>
          <w:rFonts w:eastAsiaTheme="majorEastAsia"/>
        </w:rPr>
        <w:t> </w:t>
      </w:r>
    </w:p>
    <w:p w14:paraId="053A9F8D" w14:textId="77777777" w:rsidR="00D46AB6" w:rsidRPr="00A3180A" w:rsidRDefault="00D46AB6" w:rsidP="00D46AB6">
      <w:pPr>
        <w:pStyle w:val="paragraph"/>
        <w:numPr>
          <w:ilvl w:val="2"/>
          <w:numId w:val="9"/>
        </w:numPr>
        <w:tabs>
          <w:tab w:val="num" w:pos="-720"/>
        </w:tabs>
        <w:spacing w:before="0" w:beforeAutospacing="0" w:after="0" w:afterAutospacing="0"/>
        <w:ind w:left="1800"/>
        <w:textAlignment w:val="baseline"/>
        <w:rPr>
          <w:rStyle w:val="normaltextrun"/>
          <w:rFonts w:eastAsiaTheme="majorEastAsia"/>
        </w:rPr>
      </w:pPr>
      <w:r w:rsidRPr="00A3180A">
        <w:rPr>
          <w:rStyle w:val="normaltextrun"/>
          <w:rFonts w:ascii="Arial" w:eastAsiaTheme="majorEastAsia" w:hAnsi="Arial" w:cs="Arial"/>
        </w:rPr>
        <w:t>Bullwinkle (A must-win new seat – notionally Labor) </w:t>
      </w:r>
      <w:r w:rsidRPr="00A3180A">
        <w:rPr>
          <w:rStyle w:val="normaltextrun"/>
          <w:rFonts w:eastAsiaTheme="majorEastAsia"/>
        </w:rPr>
        <w:t> </w:t>
      </w:r>
    </w:p>
    <w:p w14:paraId="35078A5D" w14:textId="77777777" w:rsidR="00D46AB6" w:rsidRPr="00A3180A" w:rsidRDefault="00D46AB6" w:rsidP="00D46AB6">
      <w:pPr>
        <w:pStyle w:val="paragraph"/>
        <w:numPr>
          <w:ilvl w:val="2"/>
          <w:numId w:val="9"/>
        </w:numPr>
        <w:tabs>
          <w:tab w:val="num" w:pos="-720"/>
        </w:tabs>
        <w:spacing w:before="0" w:beforeAutospacing="0" w:after="0" w:afterAutospacing="0"/>
        <w:ind w:left="1800"/>
        <w:textAlignment w:val="baseline"/>
        <w:rPr>
          <w:rStyle w:val="normaltextrun"/>
          <w:rFonts w:eastAsiaTheme="majorEastAsia"/>
        </w:rPr>
      </w:pPr>
      <w:r w:rsidRPr="00A3180A">
        <w:rPr>
          <w:rStyle w:val="normaltextrun"/>
          <w:rFonts w:ascii="Arial" w:eastAsiaTheme="majorEastAsia" w:hAnsi="Arial" w:cs="Arial"/>
        </w:rPr>
        <w:t>Pearce (Tracey Robers – Labor) 8.8% margin</w:t>
      </w:r>
      <w:r w:rsidRPr="00A3180A">
        <w:rPr>
          <w:rStyle w:val="normaltextrun"/>
          <w:rFonts w:eastAsiaTheme="majorEastAsia"/>
        </w:rPr>
        <w:t> </w:t>
      </w:r>
    </w:p>
    <w:p w14:paraId="7D53D6B7" w14:textId="77777777" w:rsidR="00D46AB6" w:rsidRPr="00A3180A" w:rsidRDefault="00D46AB6" w:rsidP="00D46AB6">
      <w:pPr>
        <w:pStyle w:val="paragraph"/>
        <w:numPr>
          <w:ilvl w:val="1"/>
          <w:numId w:val="8"/>
        </w:numPr>
        <w:tabs>
          <w:tab w:val="num" w:pos="-720"/>
        </w:tabs>
        <w:spacing w:before="0" w:beforeAutospacing="0" w:after="0" w:afterAutospacing="0"/>
        <w:ind w:left="1080"/>
        <w:textAlignment w:val="baseline"/>
        <w:rPr>
          <w:rFonts w:ascii="Arial" w:hAnsi="Arial" w:cs="Arial"/>
        </w:rPr>
      </w:pPr>
      <w:r w:rsidRPr="00A3180A">
        <w:rPr>
          <w:rStyle w:val="normaltextrun"/>
          <w:rFonts w:ascii="Arial" w:eastAsiaTheme="majorEastAsia" w:hAnsi="Arial" w:cs="Arial"/>
        </w:rPr>
        <w:t>VIC</w:t>
      </w:r>
      <w:r w:rsidRPr="00A3180A">
        <w:rPr>
          <w:rStyle w:val="eop"/>
          <w:rFonts w:ascii="Arial" w:eastAsiaTheme="majorEastAsia" w:hAnsi="Arial" w:cs="Arial"/>
        </w:rPr>
        <w:t> </w:t>
      </w:r>
    </w:p>
    <w:p w14:paraId="14612EE2" w14:textId="77777777" w:rsidR="00D46AB6" w:rsidRPr="00A3180A" w:rsidRDefault="00D46AB6" w:rsidP="00D46AB6">
      <w:pPr>
        <w:pStyle w:val="paragraph"/>
        <w:numPr>
          <w:ilvl w:val="2"/>
          <w:numId w:val="9"/>
        </w:numPr>
        <w:tabs>
          <w:tab w:val="num" w:pos="-720"/>
        </w:tabs>
        <w:spacing w:before="0" w:beforeAutospacing="0" w:after="0" w:afterAutospacing="0"/>
        <w:ind w:left="1800"/>
        <w:textAlignment w:val="baseline"/>
        <w:rPr>
          <w:rStyle w:val="normaltextrun"/>
          <w:rFonts w:eastAsiaTheme="majorEastAsia"/>
        </w:rPr>
      </w:pPr>
      <w:r w:rsidRPr="00A3180A">
        <w:rPr>
          <w:rStyle w:val="normaltextrun"/>
          <w:rFonts w:ascii="Arial" w:eastAsiaTheme="majorEastAsia" w:hAnsi="Arial" w:cs="Arial"/>
        </w:rPr>
        <w:t>Lalor (Joanne Ryan – Labor) 12.8% Labor – shrinking Labor heartland</w:t>
      </w:r>
      <w:r w:rsidRPr="00A3180A">
        <w:rPr>
          <w:rStyle w:val="normaltextrun"/>
          <w:rFonts w:eastAsiaTheme="majorEastAsia"/>
        </w:rPr>
        <w:t> </w:t>
      </w:r>
    </w:p>
    <w:p w14:paraId="6F504614" w14:textId="77777777" w:rsidR="00D46AB6" w:rsidRPr="00A3180A" w:rsidRDefault="00D46AB6" w:rsidP="00D46AB6">
      <w:pPr>
        <w:pStyle w:val="paragraph"/>
        <w:numPr>
          <w:ilvl w:val="2"/>
          <w:numId w:val="9"/>
        </w:numPr>
        <w:tabs>
          <w:tab w:val="num" w:pos="-720"/>
        </w:tabs>
        <w:spacing w:before="0" w:beforeAutospacing="0" w:after="0" w:afterAutospacing="0"/>
        <w:ind w:left="1800"/>
        <w:textAlignment w:val="baseline"/>
        <w:rPr>
          <w:rStyle w:val="normaltextrun"/>
          <w:rFonts w:eastAsiaTheme="majorEastAsia"/>
        </w:rPr>
      </w:pPr>
      <w:r w:rsidRPr="00A3180A">
        <w:rPr>
          <w:rStyle w:val="normaltextrun"/>
          <w:rFonts w:ascii="Arial" w:eastAsiaTheme="majorEastAsia" w:hAnsi="Arial" w:cs="Arial"/>
        </w:rPr>
        <w:t>Calwell (Retiring, Maria Vamvakinou – Labor) 12.82% margin</w:t>
      </w:r>
      <w:r w:rsidRPr="00A3180A">
        <w:rPr>
          <w:rStyle w:val="normaltextrun"/>
          <w:rFonts w:eastAsiaTheme="majorEastAsia"/>
        </w:rPr>
        <w:t> </w:t>
      </w:r>
    </w:p>
    <w:p w14:paraId="759D4D05" w14:textId="77777777" w:rsidR="00D46AB6" w:rsidRPr="00A3180A" w:rsidRDefault="00D46AB6" w:rsidP="00D46AB6">
      <w:pPr>
        <w:pStyle w:val="paragraph"/>
        <w:numPr>
          <w:ilvl w:val="2"/>
          <w:numId w:val="9"/>
        </w:numPr>
        <w:tabs>
          <w:tab w:val="num" w:pos="-720"/>
        </w:tabs>
        <w:spacing w:before="0" w:beforeAutospacing="0" w:after="0" w:afterAutospacing="0"/>
        <w:ind w:left="1800"/>
        <w:textAlignment w:val="baseline"/>
        <w:rPr>
          <w:rStyle w:val="normaltextrun"/>
          <w:rFonts w:eastAsiaTheme="majorEastAsia"/>
        </w:rPr>
      </w:pPr>
      <w:r w:rsidRPr="00A3180A">
        <w:rPr>
          <w:rStyle w:val="normaltextrun"/>
          <w:rFonts w:ascii="Arial" w:eastAsiaTheme="majorEastAsia" w:hAnsi="Arial" w:cs="Arial"/>
        </w:rPr>
        <w:t>McEwan (Rob Mitchell – Labor) 3.3% margin</w:t>
      </w:r>
      <w:r w:rsidRPr="00A3180A">
        <w:rPr>
          <w:rStyle w:val="normaltextrun"/>
          <w:rFonts w:eastAsiaTheme="majorEastAsia"/>
        </w:rPr>
        <w:t> </w:t>
      </w:r>
    </w:p>
    <w:p w14:paraId="2EA0BE6A" w14:textId="77777777" w:rsidR="00D46AB6" w:rsidRPr="00A3180A" w:rsidRDefault="00D46AB6" w:rsidP="00D46AB6">
      <w:pPr>
        <w:pStyle w:val="paragraph"/>
        <w:numPr>
          <w:ilvl w:val="2"/>
          <w:numId w:val="9"/>
        </w:numPr>
        <w:tabs>
          <w:tab w:val="num" w:pos="-720"/>
        </w:tabs>
        <w:spacing w:before="0" w:beforeAutospacing="0" w:after="0" w:afterAutospacing="0"/>
        <w:ind w:left="1800"/>
        <w:textAlignment w:val="baseline"/>
        <w:rPr>
          <w:rStyle w:val="normaltextrun"/>
          <w:rFonts w:eastAsiaTheme="majorEastAsia"/>
        </w:rPr>
      </w:pPr>
      <w:r w:rsidRPr="00A3180A">
        <w:rPr>
          <w:rStyle w:val="normaltextrun"/>
          <w:rFonts w:ascii="Arial" w:eastAsiaTheme="majorEastAsia" w:hAnsi="Arial" w:cs="Arial"/>
        </w:rPr>
        <w:t>Holt (Cassandra Fernando – Labor) 7.1% margin</w:t>
      </w:r>
      <w:r w:rsidRPr="00A3180A">
        <w:rPr>
          <w:rStyle w:val="normaltextrun"/>
          <w:rFonts w:eastAsiaTheme="majorEastAsia"/>
        </w:rPr>
        <w:t> </w:t>
      </w:r>
    </w:p>
    <w:p w14:paraId="67B5BD40" w14:textId="77777777" w:rsidR="00D46AB6" w:rsidRPr="00A3180A" w:rsidRDefault="00D46AB6" w:rsidP="00D46AB6">
      <w:pPr>
        <w:pStyle w:val="paragraph"/>
        <w:numPr>
          <w:ilvl w:val="1"/>
          <w:numId w:val="8"/>
        </w:numPr>
        <w:tabs>
          <w:tab w:val="num" w:pos="-720"/>
        </w:tabs>
        <w:spacing w:before="0" w:beforeAutospacing="0" w:after="0" w:afterAutospacing="0"/>
        <w:ind w:left="1080"/>
        <w:textAlignment w:val="baseline"/>
        <w:rPr>
          <w:rFonts w:ascii="Arial" w:hAnsi="Arial" w:cs="Arial"/>
        </w:rPr>
      </w:pPr>
      <w:r w:rsidRPr="00A3180A">
        <w:rPr>
          <w:rStyle w:val="normaltextrun"/>
          <w:rFonts w:ascii="Arial" w:eastAsiaTheme="majorEastAsia" w:hAnsi="Arial" w:cs="Arial"/>
        </w:rPr>
        <w:t>QLD</w:t>
      </w:r>
      <w:r w:rsidRPr="00A3180A">
        <w:rPr>
          <w:rStyle w:val="eop"/>
          <w:rFonts w:ascii="Arial" w:eastAsiaTheme="majorEastAsia" w:hAnsi="Arial" w:cs="Arial"/>
        </w:rPr>
        <w:t> </w:t>
      </w:r>
    </w:p>
    <w:p w14:paraId="422A2ACC" w14:textId="77777777" w:rsidR="00D46AB6" w:rsidRPr="00A3180A" w:rsidRDefault="00D46AB6" w:rsidP="00D46AB6">
      <w:pPr>
        <w:pStyle w:val="paragraph"/>
        <w:numPr>
          <w:ilvl w:val="2"/>
          <w:numId w:val="9"/>
        </w:numPr>
        <w:tabs>
          <w:tab w:val="num" w:pos="-720"/>
        </w:tabs>
        <w:spacing w:before="0" w:beforeAutospacing="0" w:after="0" w:afterAutospacing="0"/>
        <w:ind w:left="1800"/>
        <w:textAlignment w:val="baseline"/>
        <w:rPr>
          <w:rStyle w:val="normaltextrun"/>
          <w:rFonts w:eastAsiaTheme="majorEastAsia"/>
        </w:rPr>
      </w:pPr>
      <w:r w:rsidRPr="00A3180A">
        <w:rPr>
          <w:rStyle w:val="normaltextrun"/>
          <w:rFonts w:ascii="Arial" w:eastAsiaTheme="majorEastAsia" w:hAnsi="Arial" w:cs="Arial"/>
        </w:rPr>
        <w:t>Dickson (Peter Dutton – LNP) 1.1% margin</w:t>
      </w:r>
      <w:r w:rsidRPr="00A3180A">
        <w:rPr>
          <w:rStyle w:val="normaltextrun"/>
          <w:rFonts w:eastAsiaTheme="majorEastAsia"/>
        </w:rPr>
        <w:t> </w:t>
      </w:r>
    </w:p>
    <w:p w14:paraId="66B8B930" w14:textId="77777777" w:rsidR="00D46AB6" w:rsidRPr="00A3180A" w:rsidRDefault="00D46AB6" w:rsidP="00D46AB6">
      <w:pPr>
        <w:pStyle w:val="paragraph"/>
        <w:numPr>
          <w:ilvl w:val="2"/>
          <w:numId w:val="9"/>
        </w:numPr>
        <w:tabs>
          <w:tab w:val="num" w:pos="-720"/>
        </w:tabs>
        <w:spacing w:before="0" w:beforeAutospacing="0" w:after="0" w:afterAutospacing="0"/>
        <w:ind w:left="1800"/>
        <w:textAlignment w:val="baseline"/>
        <w:rPr>
          <w:rStyle w:val="normaltextrun"/>
          <w:rFonts w:eastAsiaTheme="majorEastAsia"/>
        </w:rPr>
      </w:pPr>
      <w:r w:rsidRPr="00A3180A">
        <w:rPr>
          <w:rStyle w:val="normaltextrun"/>
          <w:rFonts w:ascii="Arial" w:eastAsiaTheme="majorEastAsia" w:hAnsi="Arial" w:cs="Arial"/>
        </w:rPr>
        <w:t>Forde (Bert Van Manen – LNP) 4.23% margin</w:t>
      </w:r>
      <w:r w:rsidRPr="00A3180A">
        <w:rPr>
          <w:rStyle w:val="normaltextrun"/>
          <w:rFonts w:eastAsiaTheme="majorEastAsia"/>
        </w:rPr>
        <w:t> </w:t>
      </w:r>
    </w:p>
    <w:p w14:paraId="57A5418D" w14:textId="77777777" w:rsidR="00D46AB6" w:rsidRPr="00A3180A" w:rsidRDefault="00D46AB6" w:rsidP="00D46AB6">
      <w:pPr>
        <w:pStyle w:val="paragraph"/>
        <w:numPr>
          <w:ilvl w:val="2"/>
          <w:numId w:val="9"/>
        </w:numPr>
        <w:tabs>
          <w:tab w:val="num" w:pos="-720"/>
        </w:tabs>
        <w:spacing w:before="0" w:beforeAutospacing="0" w:after="0" w:afterAutospacing="0"/>
        <w:ind w:left="1800"/>
        <w:textAlignment w:val="baseline"/>
        <w:rPr>
          <w:rStyle w:val="normaltextrun"/>
          <w:rFonts w:eastAsiaTheme="majorEastAsia"/>
        </w:rPr>
      </w:pPr>
      <w:r w:rsidRPr="00A3180A">
        <w:rPr>
          <w:rStyle w:val="normaltextrun"/>
          <w:rFonts w:ascii="Arial" w:eastAsiaTheme="majorEastAsia" w:hAnsi="Arial" w:cs="Arial"/>
        </w:rPr>
        <w:t>Blair (Shane Neumann – Labor) 5.23% margin</w:t>
      </w:r>
      <w:r w:rsidRPr="00A3180A">
        <w:rPr>
          <w:rStyle w:val="normaltextrun"/>
          <w:rFonts w:eastAsiaTheme="majorEastAsia"/>
        </w:rPr>
        <w:t> </w:t>
      </w:r>
    </w:p>
    <w:p w14:paraId="79D09343" w14:textId="77777777" w:rsidR="00D46AB6" w:rsidRPr="00A3180A" w:rsidRDefault="00D46AB6" w:rsidP="00D46AB6">
      <w:pPr>
        <w:pStyle w:val="paragraph"/>
        <w:numPr>
          <w:ilvl w:val="1"/>
          <w:numId w:val="8"/>
        </w:numPr>
        <w:tabs>
          <w:tab w:val="num" w:pos="-720"/>
        </w:tabs>
        <w:spacing w:before="0" w:beforeAutospacing="0" w:after="0" w:afterAutospacing="0"/>
        <w:ind w:left="1080"/>
        <w:textAlignment w:val="baseline"/>
        <w:rPr>
          <w:rFonts w:ascii="Arial" w:hAnsi="Arial" w:cs="Arial"/>
        </w:rPr>
      </w:pPr>
      <w:r w:rsidRPr="00A3180A">
        <w:rPr>
          <w:rStyle w:val="normaltextrun"/>
          <w:rFonts w:ascii="Arial" w:eastAsiaTheme="majorEastAsia" w:hAnsi="Arial" w:cs="Arial"/>
        </w:rPr>
        <w:t>SA</w:t>
      </w:r>
      <w:r w:rsidRPr="00A3180A">
        <w:rPr>
          <w:rStyle w:val="eop"/>
          <w:rFonts w:ascii="Arial" w:eastAsiaTheme="majorEastAsia" w:hAnsi="Arial" w:cs="Arial"/>
        </w:rPr>
        <w:t> </w:t>
      </w:r>
    </w:p>
    <w:p w14:paraId="51AE77C3" w14:textId="77777777" w:rsidR="00D46AB6" w:rsidRPr="00A3180A" w:rsidRDefault="00D46AB6" w:rsidP="00D46AB6">
      <w:pPr>
        <w:pStyle w:val="paragraph"/>
        <w:numPr>
          <w:ilvl w:val="2"/>
          <w:numId w:val="9"/>
        </w:numPr>
        <w:tabs>
          <w:tab w:val="num" w:pos="-720"/>
        </w:tabs>
        <w:spacing w:before="0" w:beforeAutospacing="0" w:after="0" w:afterAutospacing="0"/>
        <w:ind w:left="1800"/>
        <w:textAlignment w:val="baseline"/>
        <w:rPr>
          <w:rFonts w:ascii="Arial" w:hAnsi="Arial" w:cs="Arial"/>
        </w:rPr>
      </w:pPr>
      <w:r w:rsidRPr="00A3180A">
        <w:rPr>
          <w:rStyle w:val="normaltextrun"/>
          <w:rFonts w:ascii="Arial" w:eastAsiaTheme="majorEastAsia" w:hAnsi="Arial" w:cs="Arial"/>
        </w:rPr>
        <w:t>Mayo (Rebekha Sharkie – Independent) 12.26% margin</w:t>
      </w:r>
      <w:r w:rsidRPr="00A3180A">
        <w:rPr>
          <w:rStyle w:val="eop"/>
          <w:rFonts w:ascii="Arial" w:eastAsiaTheme="majorEastAsia" w:hAnsi="Arial" w:cs="Arial"/>
        </w:rPr>
        <w:t> </w:t>
      </w:r>
    </w:p>
    <w:p w14:paraId="2D354896" w14:textId="77777777" w:rsidR="00D46AB6" w:rsidRPr="00A3180A" w:rsidRDefault="00D46AB6" w:rsidP="00D46AB6">
      <w:pPr>
        <w:pStyle w:val="paragraph"/>
        <w:numPr>
          <w:ilvl w:val="1"/>
          <w:numId w:val="8"/>
        </w:numPr>
        <w:tabs>
          <w:tab w:val="num" w:pos="-720"/>
        </w:tabs>
        <w:spacing w:before="0" w:beforeAutospacing="0" w:after="0" w:afterAutospacing="0"/>
        <w:ind w:left="1080"/>
        <w:textAlignment w:val="baseline"/>
        <w:rPr>
          <w:rStyle w:val="normaltextrun"/>
          <w:rFonts w:eastAsiaTheme="majorEastAsia"/>
        </w:rPr>
      </w:pPr>
      <w:r w:rsidRPr="00A3180A">
        <w:rPr>
          <w:rStyle w:val="normaltextrun"/>
          <w:rFonts w:ascii="Arial" w:eastAsiaTheme="majorEastAsia" w:hAnsi="Arial" w:cs="Arial"/>
        </w:rPr>
        <w:t>NSW</w:t>
      </w:r>
      <w:r w:rsidRPr="00A3180A">
        <w:rPr>
          <w:rStyle w:val="normaltextrun"/>
          <w:rFonts w:eastAsiaTheme="majorEastAsia"/>
        </w:rPr>
        <w:t> </w:t>
      </w:r>
    </w:p>
    <w:p w14:paraId="702E66AD" w14:textId="77777777" w:rsidR="00D46AB6" w:rsidRPr="00A3180A" w:rsidRDefault="00D46AB6" w:rsidP="00D46AB6">
      <w:pPr>
        <w:pStyle w:val="paragraph"/>
        <w:numPr>
          <w:ilvl w:val="2"/>
          <w:numId w:val="9"/>
        </w:numPr>
        <w:tabs>
          <w:tab w:val="num" w:pos="-720"/>
        </w:tabs>
        <w:spacing w:before="0" w:beforeAutospacing="0" w:after="0" w:afterAutospacing="0"/>
        <w:ind w:left="1800"/>
        <w:textAlignment w:val="baseline"/>
        <w:rPr>
          <w:rStyle w:val="normaltextrun"/>
          <w:rFonts w:eastAsiaTheme="majorEastAsia"/>
        </w:rPr>
      </w:pPr>
      <w:r w:rsidRPr="00A3180A">
        <w:rPr>
          <w:rStyle w:val="normaltextrun"/>
          <w:rFonts w:ascii="Arial" w:eastAsiaTheme="majorEastAsia" w:hAnsi="Arial" w:cs="Arial"/>
        </w:rPr>
        <w:lastRenderedPageBreak/>
        <w:t>Hume (Angus Taylor – Liberal) 7.7% margin</w:t>
      </w:r>
      <w:r w:rsidRPr="00A3180A">
        <w:rPr>
          <w:rStyle w:val="normaltextrun"/>
          <w:rFonts w:eastAsiaTheme="majorEastAsia"/>
        </w:rPr>
        <w:t> </w:t>
      </w:r>
    </w:p>
    <w:p w14:paraId="3F25DFED" w14:textId="77777777" w:rsidR="00D46AB6" w:rsidRPr="00A3180A" w:rsidRDefault="00D46AB6" w:rsidP="00D46AB6">
      <w:pPr>
        <w:pStyle w:val="paragraph"/>
        <w:numPr>
          <w:ilvl w:val="2"/>
          <w:numId w:val="9"/>
        </w:numPr>
        <w:tabs>
          <w:tab w:val="num" w:pos="-720"/>
        </w:tabs>
        <w:spacing w:before="0" w:beforeAutospacing="0" w:after="0" w:afterAutospacing="0"/>
        <w:ind w:left="1800"/>
        <w:textAlignment w:val="baseline"/>
        <w:rPr>
          <w:rStyle w:val="normaltextrun"/>
          <w:rFonts w:eastAsiaTheme="majorEastAsia"/>
        </w:rPr>
      </w:pPr>
      <w:r w:rsidRPr="00A3180A">
        <w:rPr>
          <w:rStyle w:val="normaltextrun"/>
          <w:rFonts w:ascii="Arial" w:eastAsiaTheme="majorEastAsia" w:hAnsi="Arial" w:cs="Arial"/>
        </w:rPr>
        <w:t>Macarthur (Dr Mike Freelander – Labor) 8.53% margin</w:t>
      </w:r>
      <w:r w:rsidRPr="00A3180A">
        <w:rPr>
          <w:rStyle w:val="normaltextrun"/>
          <w:rFonts w:eastAsiaTheme="majorEastAsia"/>
        </w:rPr>
        <w:t> </w:t>
      </w:r>
    </w:p>
    <w:p w14:paraId="2B0C6249" w14:textId="77777777" w:rsidR="00D46AB6" w:rsidRPr="00A3180A" w:rsidRDefault="00D46AB6" w:rsidP="00D46AB6">
      <w:pPr>
        <w:pStyle w:val="paragraph"/>
        <w:numPr>
          <w:ilvl w:val="2"/>
          <w:numId w:val="9"/>
        </w:numPr>
        <w:tabs>
          <w:tab w:val="num" w:pos="-720"/>
        </w:tabs>
        <w:spacing w:before="0" w:beforeAutospacing="0" w:after="0" w:afterAutospacing="0"/>
        <w:ind w:left="1800"/>
        <w:textAlignment w:val="baseline"/>
        <w:rPr>
          <w:rStyle w:val="normaltextrun"/>
          <w:rFonts w:eastAsiaTheme="majorEastAsia"/>
        </w:rPr>
      </w:pPr>
      <w:r w:rsidRPr="00A3180A">
        <w:rPr>
          <w:rStyle w:val="normaltextrun"/>
          <w:rFonts w:ascii="Arial" w:eastAsiaTheme="majorEastAsia" w:hAnsi="Arial" w:cs="Arial"/>
        </w:rPr>
        <w:t>Werriwa (Anne Stanley – Labor) 5.82%</w:t>
      </w:r>
      <w:r w:rsidRPr="00A3180A">
        <w:rPr>
          <w:rStyle w:val="normaltextrun"/>
          <w:rFonts w:eastAsiaTheme="majorEastAsia"/>
        </w:rPr>
        <w:t> </w:t>
      </w:r>
    </w:p>
    <w:p w14:paraId="15236689" w14:textId="77777777" w:rsidR="00D46AB6" w:rsidRPr="00A3180A" w:rsidRDefault="00D46AB6" w:rsidP="00D46AB6">
      <w:pPr>
        <w:pStyle w:val="paragraph"/>
        <w:numPr>
          <w:ilvl w:val="0"/>
          <w:numId w:val="8"/>
        </w:numPr>
        <w:tabs>
          <w:tab w:val="num" w:pos="360"/>
        </w:tabs>
        <w:spacing w:before="0" w:beforeAutospacing="0" w:after="0" w:afterAutospacing="0"/>
        <w:textAlignment w:val="baseline"/>
        <w:rPr>
          <w:rStyle w:val="normaltextrun"/>
          <w:rFonts w:ascii="Arial" w:eastAsiaTheme="majorEastAsia" w:hAnsi="Arial" w:cs="Arial"/>
        </w:rPr>
      </w:pPr>
      <w:r w:rsidRPr="00A3180A">
        <w:rPr>
          <w:rStyle w:val="normaltextrun"/>
          <w:rFonts w:ascii="Arial" w:eastAsiaTheme="majorEastAsia" w:hAnsi="Arial" w:cs="Arial"/>
        </w:rPr>
        <w:t xml:space="preserve">Labor stands to lose ten seats nationally if it fails to include the needs of outer-metropolitan areas in its election promises, effectively halving its </w:t>
      </w:r>
      <w:hyperlink r:id="rId13" w:tgtFrame="_blank" w:history="1">
        <w:r w:rsidRPr="00A3180A">
          <w:rPr>
            <w:rStyle w:val="normaltextrun"/>
            <w:rFonts w:ascii="Arial" w:eastAsiaTheme="majorEastAsia" w:hAnsi="Arial" w:cs="Arial"/>
          </w:rPr>
          <w:t>lead</w:t>
        </w:r>
      </w:hyperlink>
      <w:r w:rsidRPr="00A3180A">
        <w:rPr>
          <w:rStyle w:val="normaltextrun"/>
          <w:rFonts w:ascii="Arial" w:eastAsiaTheme="majorEastAsia" w:hAnsi="Arial" w:cs="Arial"/>
        </w:rPr>
        <w:t xml:space="preserve"> from the 2022 election </w:t>
      </w:r>
    </w:p>
    <w:p w14:paraId="0A214B59" w14:textId="77777777" w:rsidR="00D46AB6" w:rsidRPr="00A24F79" w:rsidRDefault="00D46AB6" w:rsidP="00D46AB6">
      <w:pPr>
        <w:pStyle w:val="paragraph"/>
        <w:spacing w:before="0" w:beforeAutospacing="0" w:after="0" w:afterAutospacing="0"/>
        <w:textAlignment w:val="baseline"/>
        <w:rPr>
          <w:rStyle w:val="normaltextrun"/>
          <w:rFonts w:ascii="Arial" w:eastAsiaTheme="majorEastAsia" w:hAnsi="Arial" w:cs="Arial"/>
          <w:u w:val="single"/>
        </w:rPr>
      </w:pPr>
    </w:p>
    <w:p w14:paraId="3A5443F0" w14:textId="77777777" w:rsidR="00D46AB6" w:rsidRDefault="00D46AB6" w:rsidP="00D46AB6">
      <w:pPr>
        <w:pStyle w:val="paragraph"/>
        <w:spacing w:before="0" w:beforeAutospacing="0" w:after="0" w:afterAutospacing="0"/>
        <w:textAlignment w:val="baseline"/>
        <w:rPr>
          <w:rStyle w:val="normaltextrun"/>
          <w:rFonts w:ascii="Arial" w:eastAsiaTheme="majorEastAsia" w:hAnsi="Arial" w:cs="Arial"/>
          <w:u w:val="single"/>
        </w:rPr>
      </w:pPr>
      <w:r w:rsidRPr="00A24F79">
        <w:rPr>
          <w:rStyle w:val="normaltextrun"/>
          <w:rFonts w:ascii="Arial" w:eastAsiaTheme="majorEastAsia" w:hAnsi="Arial" w:cs="Arial"/>
          <w:u w:val="single"/>
        </w:rPr>
        <w:t>NGAA Resea</w:t>
      </w:r>
      <w:r>
        <w:rPr>
          <w:rStyle w:val="normaltextrun"/>
          <w:rFonts w:ascii="Arial" w:eastAsiaTheme="majorEastAsia" w:hAnsi="Arial" w:cs="Arial"/>
          <w:u w:val="single"/>
        </w:rPr>
        <w:t>r</w:t>
      </w:r>
      <w:r w:rsidRPr="00A24F79">
        <w:rPr>
          <w:rStyle w:val="normaltextrun"/>
          <w:rFonts w:ascii="Arial" w:eastAsiaTheme="majorEastAsia" w:hAnsi="Arial" w:cs="Arial"/>
          <w:u w:val="single"/>
        </w:rPr>
        <w:t>ch data by State</w:t>
      </w:r>
    </w:p>
    <w:p w14:paraId="4DBF2747" w14:textId="77777777" w:rsidR="00D46AB6" w:rsidRPr="00A70A4A" w:rsidRDefault="00D46AB6" w:rsidP="00D46AB6">
      <w:pPr>
        <w:pStyle w:val="paragraph"/>
        <w:spacing w:before="0" w:beforeAutospacing="0" w:after="0" w:afterAutospacing="0"/>
        <w:textAlignment w:val="baseline"/>
        <w:rPr>
          <w:rStyle w:val="normaltextrun"/>
          <w:rFonts w:ascii="Arial" w:eastAsiaTheme="majorEastAsia" w:hAnsi="Arial" w:cs="Arial"/>
          <w:i/>
          <w:iCs/>
        </w:rPr>
      </w:pPr>
      <w:r w:rsidRPr="00A70A4A">
        <w:rPr>
          <w:rStyle w:val="normaltextrun"/>
          <w:rFonts w:ascii="Arial" w:eastAsiaTheme="majorEastAsia" w:hAnsi="Arial" w:cs="Arial"/>
          <w:i/>
          <w:iCs/>
        </w:rPr>
        <w:t>NB. All data usage must be cited back to the National Growth Areas Alliance</w:t>
      </w:r>
    </w:p>
    <w:p w14:paraId="3952A782" w14:textId="77777777" w:rsidR="00D46AB6" w:rsidRDefault="00D46AB6" w:rsidP="00D46AB6">
      <w:pPr>
        <w:pStyle w:val="paragraph"/>
        <w:spacing w:before="0" w:beforeAutospacing="0" w:after="0" w:afterAutospacing="0"/>
        <w:textAlignment w:val="baseline"/>
        <w:rPr>
          <w:rStyle w:val="normaltextrun"/>
          <w:rFonts w:ascii="Arial" w:eastAsiaTheme="majorEastAsia" w:hAnsi="Arial" w:cs="Arial"/>
          <w:u w:val="single"/>
        </w:rPr>
      </w:pPr>
    </w:p>
    <w:p w14:paraId="32F10277" w14:textId="77777777" w:rsidR="00D46AB6" w:rsidRDefault="00D46AB6" w:rsidP="00D46AB6">
      <w:pPr>
        <w:pStyle w:val="paragraph"/>
        <w:spacing w:before="0" w:beforeAutospacing="0" w:after="0" w:afterAutospacing="0"/>
        <w:textAlignment w:val="baseline"/>
        <w:rPr>
          <w:rStyle w:val="normaltextrun"/>
          <w:rFonts w:ascii="Arial" w:eastAsiaTheme="majorEastAsia" w:hAnsi="Arial" w:cs="Arial"/>
          <w:u w:val="single"/>
        </w:rPr>
      </w:pPr>
    </w:p>
    <w:p w14:paraId="62F859B5" w14:textId="77777777" w:rsidR="00D46AB6" w:rsidRDefault="00D46AB6" w:rsidP="00D46AB6">
      <w:pPr>
        <w:pStyle w:val="paragraph"/>
        <w:spacing w:before="0" w:beforeAutospacing="0" w:after="0" w:afterAutospacing="0"/>
        <w:textAlignment w:val="baseline"/>
        <w:rPr>
          <w:rFonts w:ascii="Arial" w:hAnsi="Arial" w:cs="Arial"/>
        </w:rPr>
      </w:pPr>
      <w:r>
        <w:rPr>
          <w:rFonts w:ascii="Arial" w:hAnsi="Arial" w:cs="Arial"/>
        </w:rPr>
        <w:t>Research analysis by</w:t>
      </w:r>
      <w:r w:rsidRPr="00427A53">
        <w:rPr>
          <w:rFonts w:ascii="Arial" w:hAnsi="Arial" w:cs="Arial"/>
        </w:rPr>
        <w:t xml:space="preserve"> RMIT’s Australian Urban Observatory</w:t>
      </w:r>
      <w:r>
        <w:rPr>
          <w:rFonts w:ascii="Arial" w:hAnsi="Arial" w:cs="Arial"/>
        </w:rPr>
        <w:t xml:space="preserve"> on behalf of the National Growth Areas Alliance</w:t>
      </w:r>
      <w:r w:rsidRPr="00427A53">
        <w:rPr>
          <w:rFonts w:ascii="Arial" w:hAnsi="Arial" w:cs="Arial"/>
        </w:rPr>
        <w:t xml:space="preserve"> </w:t>
      </w:r>
      <w:r w:rsidRPr="008E1447">
        <w:rPr>
          <w:rFonts w:ascii="Arial" w:hAnsi="Arial" w:cs="Arial"/>
        </w:rPr>
        <w:t xml:space="preserve">has revealed large disparities in access to local infrastructure </w:t>
      </w:r>
      <w:r>
        <w:rPr>
          <w:rFonts w:ascii="Arial" w:hAnsi="Arial" w:cs="Arial"/>
        </w:rPr>
        <w:t>between</w:t>
      </w:r>
      <w:r w:rsidRPr="008E1447">
        <w:rPr>
          <w:rFonts w:ascii="Arial" w:hAnsi="Arial" w:cs="Arial"/>
        </w:rPr>
        <w:t xml:space="preserve"> Growth Areas</w:t>
      </w:r>
      <w:r>
        <w:rPr>
          <w:rFonts w:ascii="Arial" w:hAnsi="Arial" w:cs="Arial"/>
        </w:rPr>
        <w:t xml:space="preserve"> and non-Growth Areas</w:t>
      </w:r>
      <w:r w:rsidRPr="008E1447">
        <w:rPr>
          <w:rFonts w:ascii="Arial" w:hAnsi="Arial" w:cs="Arial"/>
        </w:rPr>
        <w:t>.</w:t>
      </w:r>
    </w:p>
    <w:p w14:paraId="6C9663B8" w14:textId="77777777" w:rsidR="00D46AB6" w:rsidRPr="00A12B71" w:rsidRDefault="00D46AB6" w:rsidP="00D46AB6">
      <w:pPr>
        <w:pStyle w:val="paragraph"/>
        <w:spacing w:before="0" w:beforeAutospacing="0" w:after="0" w:afterAutospacing="0"/>
        <w:textAlignment w:val="baseline"/>
        <w:rPr>
          <w:rStyle w:val="normaltextrun"/>
          <w:rFonts w:ascii="Arial" w:eastAsiaTheme="majorEastAsia" w:hAnsi="Arial" w:cs="Arial"/>
          <w:u w:val="single"/>
        </w:rPr>
      </w:pPr>
      <w:r>
        <w:rPr>
          <w:rFonts w:ascii="Arial" w:hAnsi="Arial" w:cs="Arial"/>
        </w:rPr>
        <w:t>The NGAA’s</w:t>
      </w:r>
      <w:r w:rsidRPr="00427A53">
        <w:rPr>
          <w:rFonts w:ascii="Arial" w:hAnsi="Arial" w:cs="Arial"/>
        </w:rPr>
        <w:t xml:space="preserve"> </w:t>
      </w:r>
      <w:r w:rsidRPr="00427A53">
        <w:rPr>
          <w:rFonts w:ascii="Arial" w:hAnsi="Arial" w:cs="Arial"/>
          <w:i/>
          <w:iCs/>
        </w:rPr>
        <w:t>City Liveability Scorecards for Growth Areas</w:t>
      </w:r>
      <w:r>
        <w:rPr>
          <w:rFonts w:ascii="Arial" w:hAnsi="Arial" w:cs="Arial"/>
        </w:rPr>
        <w:t xml:space="preserve"> highlight these gaps, for example, people in [</w:t>
      </w:r>
      <w:r w:rsidRPr="004F13EB">
        <w:rPr>
          <w:rFonts w:ascii="Arial" w:hAnsi="Arial" w:cs="Arial"/>
          <w:highlight w:val="yellow"/>
        </w:rPr>
        <w:t>State</w:t>
      </w:r>
      <w:r>
        <w:rPr>
          <w:rFonts w:ascii="Arial" w:hAnsi="Arial" w:cs="Arial"/>
        </w:rPr>
        <w:t xml:space="preserve">] are </w:t>
      </w:r>
      <w:r w:rsidRPr="004F13EB">
        <w:rPr>
          <w:rFonts w:ascii="Arial" w:hAnsi="Arial" w:cs="Arial"/>
          <w:highlight w:val="yellow"/>
        </w:rPr>
        <w:t>X</w:t>
      </w:r>
      <w:r>
        <w:rPr>
          <w:rFonts w:ascii="Arial" w:hAnsi="Arial" w:cs="Arial"/>
        </w:rPr>
        <w:t>% less likely to have access to local health services.</w:t>
      </w:r>
    </w:p>
    <w:p w14:paraId="607C8A6B" w14:textId="77777777" w:rsidR="00D46AB6" w:rsidRPr="00A24F79" w:rsidRDefault="00D46AB6" w:rsidP="00D46AB6">
      <w:pPr>
        <w:pStyle w:val="paragraph"/>
        <w:spacing w:before="0" w:beforeAutospacing="0" w:after="0" w:afterAutospacing="0"/>
        <w:textAlignment w:val="baseline"/>
        <w:rPr>
          <w:rStyle w:val="normaltextrun"/>
          <w:rFonts w:ascii="Arial" w:eastAsiaTheme="majorEastAsia" w:hAnsi="Arial" w:cs="Arial"/>
          <w:u w:val="single"/>
        </w:rPr>
      </w:pPr>
    </w:p>
    <w:tbl>
      <w:tblPr>
        <w:tblStyle w:val="TableGrid"/>
        <w:tblW w:w="10916" w:type="dxa"/>
        <w:tblInd w:w="-856" w:type="dxa"/>
        <w:tblLook w:val="04A0" w:firstRow="1" w:lastRow="0" w:firstColumn="1" w:lastColumn="0" w:noHBand="0" w:noVBand="1"/>
      </w:tblPr>
      <w:tblGrid>
        <w:gridCol w:w="2183"/>
        <w:gridCol w:w="2183"/>
        <w:gridCol w:w="2183"/>
        <w:gridCol w:w="2183"/>
        <w:gridCol w:w="2184"/>
      </w:tblGrid>
      <w:tr w:rsidR="00D46AB6" w14:paraId="66134DF3" w14:textId="77777777" w:rsidTr="00317AD6">
        <w:tc>
          <w:tcPr>
            <w:tcW w:w="2183" w:type="dxa"/>
            <w:shd w:val="clear" w:color="auto" w:fill="9F1F63"/>
          </w:tcPr>
          <w:p w14:paraId="24D71F63" w14:textId="77777777" w:rsidR="00D46AB6" w:rsidRPr="00A24F79" w:rsidRDefault="00D46AB6" w:rsidP="00317AD6">
            <w:pPr>
              <w:rPr>
                <w:color w:val="FFFFFF" w:themeColor="background1"/>
              </w:rPr>
            </w:pPr>
            <w:r w:rsidRPr="00A24F79">
              <w:rPr>
                <w:color w:val="FFFFFF" w:themeColor="background1"/>
              </w:rPr>
              <w:t>QLD</w:t>
            </w:r>
          </w:p>
        </w:tc>
        <w:tc>
          <w:tcPr>
            <w:tcW w:w="2183" w:type="dxa"/>
            <w:shd w:val="clear" w:color="auto" w:fill="9F1F63"/>
          </w:tcPr>
          <w:p w14:paraId="6BDBDDBF" w14:textId="77777777" w:rsidR="00D46AB6" w:rsidRPr="00A24F79" w:rsidRDefault="00D46AB6" w:rsidP="00317AD6">
            <w:pPr>
              <w:rPr>
                <w:color w:val="FFFFFF" w:themeColor="background1"/>
              </w:rPr>
            </w:pPr>
            <w:r w:rsidRPr="00A24F79">
              <w:rPr>
                <w:color w:val="FFFFFF" w:themeColor="background1"/>
              </w:rPr>
              <w:t>NSW</w:t>
            </w:r>
          </w:p>
        </w:tc>
        <w:tc>
          <w:tcPr>
            <w:tcW w:w="2183" w:type="dxa"/>
            <w:shd w:val="clear" w:color="auto" w:fill="9F1F63"/>
          </w:tcPr>
          <w:p w14:paraId="6CD6DED9" w14:textId="77777777" w:rsidR="00D46AB6" w:rsidRPr="00A24F79" w:rsidRDefault="00D46AB6" w:rsidP="00317AD6">
            <w:pPr>
              <w:rPr>
                <w:color w:val="FFFFFF" w:themeColor="background1"/>
              </w:rPr>
            </w:pPr>
            <w:r w:rsidRPr="00A24F79">
              <w:rPr>
                <w:color w:val="FFFFFF" w:themeColor="background1"/>
              </w:rPr>
              <w:t>VIC</w:t>
            </w:r>
          </w:p>
        </w:tc>
        <w:tc>
          <w:tcPr>
            <w:tcW w:w="2183" w:type="dxa"/>
            <w:shd w:val="clear" w:color="auto" w:fill="9F1F63"/>
          </w:tcPr>
          <w:p w14:paraId="0A300B6B" w14:textId="77777777" w:rsidR="00D46AB6" w:rsidRPr="00A24F79" w:rsidRDefault="00D46AB6" w:rsidP="00317AD6">
            <w:pPr>
              <w:rPr>
                <w:color w:val="FFFFFF" w:themeColor="background1"/>
              </w:rPr>
            </w:pPr>
            <w:r w:rsidRPr="00A24F79">
              <w:rPr>
                <w:color w:val="FFFFFF" w:themeColor="background1"/>
              </w:rPr>
              <w:t>SA</w:t>
            </w:r>
          </w:p>
        </w:tc>
        <w:tc>
          <w:tcPr>
            <w:tcW w:w="2184" w:type="dxa"/>
            <w:shd w:val="clear" w:color="auto" w:fill="9F1F63"/>
          </w:tcPr>
          <w:p w14:paraId="7032C097" w14:textId="77777777" w:rsidR="00D46AB6" w:rsidRPr="00A24F79" w:rsidRDefault="00D46AB6" w:rsidP="00317AD6">
            <w:pPr>
              <w:rPr>
                <w:color w:val="FFFFFF" w:themeColor="background1"/>
              </w:rPr>
            </w:pPr>
            <w:r w:rsidRPr="00A24F79">
              <w:rPr>
                <w:color w:val="FFFFFF" w:themeColor="background1"/>
              </w:rPr>
              <w:t>WA</w:t>
            </w:r>
          </w:p>
        </w:tc>
      </w:tr>
      <w:tr w:rsidR="00D46AB6" w14:paraId="4B62D4A2" w14:textId="77777777" w:rsidTr="00317AD6">
        <w:tc>
          <w:tcPr>
            <w:tcW w:w="2183" w:type="dxa"/>
          </w:tcPr>
          <w:p w14:paraId="0DA24F1A" w14:textId="77777777" w:rsidR="00D46AB6" w:rsidRPr="00484AB6"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484AB6">
              <w:rPr>
                <w:rFonts w:ascii="Aptos" w:eastAsia="Times New Roman" w:hAnsi="Aptos" w:cs="Times New Roman"/>
                <w:color w:val="000000"/>
                <w:kern w:val="0"/>
                <w:sz w:val="20"/>
                <w:szCs w:val="20"/>
                <w:lang w:eastAsia="en-GB"/>
                <w14:ligatures w14:val="none"/>
              </w:rPr>
              <w:t>Public transport: 61.5%</w:t>
            </w:r>
          </w:p>
          <w:p w14:paraId="26C15A89" w14:textId="77777777" w:rsidR="00D46AB6" w:rsidRPr="00484AB6"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484AB6">
              <w:rPr>
                <w:rFonts w:ascii="Aptos" w:eastAsia="Times New Roman" w:hAnsi="Aptos" w:cs="Times New Roman"/>
                <w:color w:val="000000"/>
                <w:kern w:val="0"/>
                <w:sz w:val="20"/>
                <w:szCs w:val="20"/>
                <w:lang w:eastAsia="en-GB"/>
                <w14:ligatures w14:val="none"/>
              </w:rPr>
              <w:t>Health services: 53%</w:t>
            </w:r>
          </w:p>
          <w:p w14:paraId="62BAF530" w14:textId="77777777" w:rsidR="00D46AB6" w:rsidRPr="00484AB6"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484AB6">
              <w:rPr>
                <w:rFonts w:ascii="Aptos" w:eastAsia="Times New Roman" w:hAnsi="Aptos" w:cs="Times New Roman"/>
                <w:color w:val="000000"/>
                <w:kern w:val="0"/>
                <w:sz w:val="20"/>
                <w:szCs w:val="20"/>
                <w:lang w:eastAsia="en-GB"/>
                <w14:ligatures w14:val="none"/>
              </w:rPr>
              <w:t>Education: 27.4%</w:t>
            </w:r>
          </w:p>
          <w:p w14:paraId="395D0DDA" w14:textId="77777777" w:rsidR="00D46AB6" w:rsidRPr="00484AB6"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484AB6">
              <w:rPr>
                <w:rFonts w:ascii="Aptos" w:eastAsia="Times New Roman" w:hAnsi="Aptos" w:cs="Times New Roman"/>
                <w:color w:val="000000"/>
                <w:kern w:val="0"/>
                <w:sz w:val="20"/>
                <w:szCs w:val="20"/>
                <w:lang w:eastAsia="en-GB"/>
                <w14:ligatures w14:val="none"/>
              </w:rPr>
              <w:t>Arts &amp; Culture: 34.5%</w:t>
            </w:r>
          </w:p>
          <w:p w14:paraId="41E92EC0" w14:textId="77777777" w:rsidR="00D46AB6" w:rsidRPr="00A24F79"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484AB6">
              <w:rPr>
                <w:rFonts w:ascii="Aptos" w:eastAsia="Times New Roman" w:hAnsi="Aptos" w:cs="Times New Roman"/>
                <w:color w:val="000000"/>
                <w:kern w:val="0"/>
                <w:sz w:val="20"/>
                <w:szCs w:val="20"/>
                <w:lang w:eastAsia="en-GB"/>
                <w14:ligatures w14:val="none"/>
              </w:rPr>
              <w:t>Sports &amp; Leisure: 68%</w:t>
            </w:r>
          </w:p>
        </w:tc>
        <w:tc>
          <w:tcPr>
            <w:tcW w:w="2183" w:type="dxa"/>
          </w:tcPr>
          <w:p w14:paraId="29B34B53" w14:textId="77777777" w:rsidR="00D46AB6" w:rsidRPr="00421C9C"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421C9C">
              <w:rPr>
                <w:rFonts w:ascii="Aptos" w:eastAsia="Times New Roman" w:hAnsi="Aptos" w:cs="Times New Roman"/>
                <w:color w:val="000000"/>
                <w:kern w:val="0"/>
                <w:sz w:val="20"/>
                <w:szCs w:val="20"/>
                <w:lang w:eastAsia="en-GB"/>
                <w14:ligatures w14:val="none"/>
              </w:rPr>
              <w:t>Public transport: 17.4%</w:t>
            </w:r>
          </w:p>
          <w:p w14:paraId="5E5D853E" w14:textId="77777777" w:rsidR="00D46AB6" w:rsidRPr="00421C9C"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421C9C">
              <w:rPr>
                <w:rFonts w:ascii="Aptos" w:eastAsia="Times New Roman" w:hAnsi="Aptos" w:cs="Times New Roman"/>
                <w:color w:val="000000"/>
                <w:kern w:val="0"/>
                <w:sz w:val="20"/>
                <w:szCs w:val="20"/>
                <w:lang w:eastAsia="en-GB"/>
                <w14:ligatures w14:val="none"/>
              </w:rPr>
              <w:t>Health services: 47.9%</w:t>
            </w:r>
          </w:p>
          <w:p w14:paraId="44CD9069" w14:textId="77777777" w:rsidR="00D46AB6" w:rsidRPr="00421C9C"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421C9C">
              <w:rPr>
                <w:rFonts w:ascii="Aptos" w:eastAsia="Times New Roman" w:hAnsi="Aptos" w:cs="Times New Roman"/>
                <w:color w:val="000000"/>
                <w:kern w:val="0"/>
                <w:sz w:val="20"/>
                <w:szCs w:val="20"/>
                <w:lang w:eastAsia="en-GB"/>
                <w14:ligatures w14:val="none"/>
              </w:rPr>
              <w:t>Education: 18.4%</w:t>
            </w:r>
          </w:p>
          <w:p w14:paraId="1D29F3C6" w14:textId="77777777" w:rsidR="00D46AB6" w:rsidRPr="00421C9C"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421C9C">
              <w:rPr>
                <w:rFonts w:ascii="Aptos" w:eastAsia="Times New Roman" w:hAnsi="Aptos" w:cs="Times New Roman"/>
                <w:color w:val="000000"/>
                <w:kern w:val="0"/>
                <w:sz w:val="20"/>
                <w:szCs w:val="20"/>
                <w:lang w:eastAsia="en-GB"/>
                <w14:ligatures w14:val="none"/>
              </w:rPr>
              <w:t>Arts &amp; Culture: 61.5%</w:t>
            </w:r>
          </w:p>
          <w:p w14:paraId="6D79AE6C" w14:textId="77777777" w:rsidR="00D46AB6" w:rsidRPr="00A24F79"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421C9C">
              <w:rPr>
                <w:rFonts w:ascii="Aptos" w:eastAsia="Times New Roman" w:hAnsi="Aptos" w:cs="Times New Roman"/>
                <w:color w:val="000000"/>
                <w:kern w:val="0"/>
                <w:sz w:val="20"/>
                <w:szCs w:val="20"/>
                <w:lang w:eastAsia="en-GB"/>
                <w14:ligatures w14:val="none"/>
              </w:rPr>
              <w:t>Sports &amp; Leisure: 69.4%</w:t>
            </w:r>
          </w:p>
        </w:tc>
        <w:tc>
          <w:tcPr>
            <w:tcW w:w="2183" w:type="dxa"/>
          </w:tcPr>
          <w:p w14:paraId="7025479D" w14:textId="77777777" w:rsidR="00D46AB6" w:rsidRPr="00692116"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692116">
              <w:rPr>
                <w:rFonts w:ascii="Aptos" w:eastAsia="Times New Roman" w:hAnsi="Aptos" w:cs="Times New Roman"/>
                <w:color w:val="000000"/>
                <w:kern w:val="0"/>
                <w:sz w:val="20"/>
                <w:szCs w:val="20"/>
                <w:lang w:eastAsia="en-GB"/>
                <w14:ligatures w14:val="none"/>
              </w:rPr>
              <w:t>Public transport: 55.9%</w:t>
            </w:r>
          </w:p>
          <w:p w14:paraId="61393EE7" w14:textId="77777777" w:rsidR="00D46AB6" w:rsidRPr="00692116"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692116">
              <w:rPr>
                <w:rFonts w:ascii="Aptos" w:eastAsia="Times New Roman" w:hAnsi="Aptos" w:cs="Times New Roman"/>
                <w:color w:val="000000"/>
                <w:kern w:val="0"/>
                <w:sz w:val="20"/>
                <w:szCs w:val="20"/>
                <w:lang w:eastAsia="en-GB"/>
                <w14:ligatures w14:val="none"/>
              </w:rPr>
              <w:t>Health services: 53.3%</w:t>
            </w:r>
          </w:p>
          <w:p w14:paraId="6C2F2145" w14:textId="77777777" w:rsidR="00D46AB6" w:rsidRPr="00692116"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692116">
              <w:rPr>
                <w:rFonts w:ascii="Aptos" w:eastAsia="Times New Roman" w:hAnsi="Aptos" w:cs="Times New Roman"/>
                <w:color w:val="000000"/>
                <w:kern w:val="0"/>
                <w:sz w:val="20"/>
                <w:szCs w:val="20"/>
                <w:lang w:eastAsia="en-GB"/>
                <w14:ligatures w14:val="none"/>
              </w:rPr>
              <w:t>Education: 26.1%</w:t>
            </w:r>
          </w:p>
          <w:p w14:paraId="671C4FD9" w14:textId="77777777" w:rsidR="00D46AB6" w:rsidRPr="00692116"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692116">
              <w:rPr>
                <w:rFonts w:ascii="Aptos" w:eastAsia="Times New Roman" w:hAnsi="Aptos" w:cs="Times New Roman"/>
                <w:color w:val="000000"/>
                <w:kern w:val="0"/>
                <w:sz w:val="20"/>
                <w:szCs w:val="20"/>
                <w:lang w:eastAsia="en-GB"/>
                <w14:ligatures w14:val="none"/>
              </w:rPr>
              <w:t>Arts &amp; Culture: 77.1%</w:t>
            </w:r>
          </w:p>
          <w:p w14:paraId="4430145E" w14:textId="77777777" w:rsidR="00D46AB6" w:rsidRPr="00A24F79"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692116">
              <w:rPr>
                <w:rFonts w:ascii="Aptos" w:eastAsia="Times New Roman" w:hAnsi="Aptos" w:cs="Times New Roman"/>
                <w:color w:val="000000"/>
                <w:kern w:val="0"/>
                <w:sz w:val="20"/>
                <w:szCs w:val="20"/>
                <w:lang w:eastAsia="en-GB"/>
                <w14:ligatures w14:val="none"/>
              </w:rPr>
              <w:t>Sports &amp; Leisure: 75.7%</w:t>
            </w:r>
          </w:p>
        </w:tc>
        <w:tc>
          <w:tcPr>
            <w:tcW w:w="2183" w:type="dxa"/>
          </w:tcPr>
          <w:p w14:paraId="038A4081" w14:textId="77777777" w:rsidR="00D46AB6" w:rsidRPr="00F77313"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F77313">
              <w:rPr>
                <w:rFonts w:ascii="Aptos" w:eastAsia="Times New Roman" w:hAnsi="Aptos" w:cs="Times New Roman"/>
                <w:color w:val="000000"/>
                <w:kern w:val="0"/>
                <w:sz w:val="20"/>
                <w:szCs w:val="20"/>
                <w:lang w:eastAsia="en-GB"/>
                <w14:ligatures w14:val="none"/>
              </w:rPr>
              <w:t>Public transport: 29.1%</w:t>
            </w:r>
          </w:p>
          <w:p w14:paraId="69D94CFB" w14:textId="77777777" w:rsidR="00D46AB6" w:rsidRPr="00F77313"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F77313">
              <w:rPr>
                <w:rFonts w:ascii="Aptos" w:eastAsia="Times New Roman" w:hAnsi="Aptos" w:cs="Times New Roman"/>
                <w:color w:val="000000"/>
                <w:kern w:val="0"/>
                <w:sz w:val="20"/>
                <w:szCs w:val="20"/>
                <w:lang w:eastAsia="en-GB"/>
                <w14:ligatures w14:val="none"/>
              </w:rPr>
              <w:t>Health services: 37.2%</w:t>
            </w:r>
          </w:p>
          <w:p w14:paraId="506B3B42" w14:textId="77777777" w:rsidR="00D46AB6" w:rsidRPr="00F77313"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F77313">
              <w:rPr>
                <w:rFonts w:ascii="Aptos" w:eastAsia="Times New Roman" w:hAnsi="Aptos" w:cs="Times New Roman"/>
                <w:color w:val="000000"/>
                <w:kern w:val="0"/>
                <w:sz w:val="20"/>
                <w:szCs w:val="20"/>
                <w:lang w:eastAsia="en-GB"/>
                <w14:ligatures w14:val="none"/>
              </w:rPr>
              <w:t>Education: 20.2%</w:t>
            </w:r>
          </w:p>
          <w:p w14:paraId="3CCD3967" w14:textId="77777777" w:rsidR="00D46AB6" w:rsidRPr="00F77313"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F77313">
              <w:rPr>
                <w:rFonts w:ascii="Aptos" w:eastAsia="Times New Roman" w:hAnsi="Aptos" w:cs="Times New Roman"/>
                <w:color w:val="000000"/>
                <w:kern w:val="0"/>
                <w:sz w:val="20"/>
                <w:szCs w:val="20"/>
                <w:lang w:eastAsia="en-GB"/>
                <w14:ligatures w14:val="none"/>
              </w:rPr>
              <w:t>Arts &amp; Culture: 40.4%</w:t>
            </w:r>
          </w:p>
          <w:p w14:paraId="282009DF" w14:textId="77777777" w:rsidR="00D46AB6" w:rsidRPr="00A24F79"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F77313">
              <w:rPr>
                <w:rFonts w:ascii="Aptos" w:eastAsia="Times New Roman" w:hAnsi="Aptos" w:cs="Times New Roman"/>
                <w:color w:val="000000"/>
                <w:kern w:val="0"/>
                <w:sz w:val="20"/>
                <w:szCs w:val="20"/>
                <w:lang w:eastAsia="en-GB"/>
                <w14:ligatures w14:val="none"/>
              </w:rPr>
              <w:t>Sports &amp; Leisure: 61.2%</w:t>
            </w:r>
          </w:p>
        </w:tc>
        <w:tc>
          <w:tcPr>
            <w:tcW w:w="2184" w:type="dxa"/>
          </w:tcPr>
          <w:p w14:paraId="7027879A" w14:textId="77777777" w:rsidR="00D46AB6" w:rsidRPr="003B0F39"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3B0F39">
              <w:rPr>
                <w:rFonts w:ascii="Aptos" w:eastAsia="Times New Roman" w:hAnsi="Aptos" w:cs="Times New Roman"/>
                <w:color w:val="000000"/>
                <w:kern w:val="0"/>
                <w:sz w:val="20"/>
                <w:szCs w:val="20"/>
                <w:lang w:eastAsia="en-GB"/>
                <w14:ligatures w14:val="none"/>
              </w:rPr>
              <w:t>Public transport: 30.9%</w:t>
            </w:r>
          </w:p>
          <w:p w14:paraId="378A05BF" w14:textId="77777777" w:rsidR="00D46AB6" w:rsidRPr="003B0F39"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3B0F39">
              <w:rPr>
                <w:rFonts w:ascii="Aptos" w:eastAsia="Times New Roman" w:hAnsi="Aptos" w:cs="Times New Roman"/>
                <w:color w:val="000000"/>
                <w:kern w:val="0"/>
                <w:sz w:val="20"/>
                <w:szCs w:val="20"/>
                <w:lang w:eastAsia="en-GB"/>
                <w14:ligatures w14:val="none"/>
              </w:rPr>
              <w:t>Health services: 46.7%</w:t>
            </w:r>
          </w:p>
          <w:p w14:paraId="450B5251" w14:textId="77777777" w:rsidR="00D46AB6" w:rsidRPr="003B0F39"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3B0F39">
              <w:rPr>
                <w:rFonts w:ascii="Aptos" w:eastAsia="Times New Roman" w:hAnsi="Aptos" w:cs="Times New Roman"/>
                <w:color w:val="000000"/>
                <w:kern w:val="0"/>
                <w:sz w:val="20"/>
                <w:szCs w:val="20"/>
                <w:lang w:eastAsia="en-GB"/>
                <w14:ligatures w14:val="none"/>
              </w:rPr>
              <w:t>Education: 14.8%</w:t>
            </w:r>
          </w:p>
          <w:p w14:paraId="5E61D6C6" w14:textId="77777777" w:rsidR="00D46AB6" w:rsidRPr="003B0F39"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3B0F39">
              <w:rPr>
                <w:rFonts w:ascii="Aptos" w:eastAsia="Times New Roman" w:hAnsi="Aptos" w:cs="Times New Roman"/>
                <w:color w:val="000000"/>
                <w:kern w:val="0"/>
                <w:sz w:val="20"/>
                <w:szCs w:val="20"/>
                <w:lang w:eastAsia="en-GB"/>
                <w14:ligatures w14:val="none"/>
              </w:rPr>
              <w:t>Arts &amp; Culture: 64.6%</w:t>
            </w:r>
          </w:p>
          <w:p w14:paraId="6A79529A" w14:textId="77777777" w:rsidR="00D46AB6" w:rsidRPr="00A24F79" w:rsidRDefault="00D46AB6" w:rsidP="00D46AB6">
            <w:pPr>
              <w:numPr>
                <w:ilvl w:val="0"/>
                <w:numId w:val="10"/>
              </w:numPr>
              <w:tabs>
                <w:tab w:val="clear" w:pos="720"/>
              </w:tabs>
              <w:ind w:left="92" w:hanging="142"/>
              <w:rPr>
                <w:rFonts w:ascii="Aptos" w:eastAsia="Times New Roman" w:hAnsi="Aptos" w:cs="Times New Roman"/>
                <w:color w:val="000000"/>
                <w:kern w:val="0"/>
                <w:sz w:val="20"/>
                <w:szCs w:val="20"/>
                <w:lang w:eastAsia="en-GB"/>
                <w14:ligatures w14:val="none"/>
              </w:rPr>
            </w:pPr>
            <w:r w:rsidRPr="003B0F39">
              <w:rPr>
                <w:rFonts w:ascii="Aptos" w:eastAsia="Times New Roman" w:hAnsi="Aptos" w:cs="Times New Roman"/>
                <w:color w:val="000000"/>
                <w:kern w:val="0"/>
                <w:sz w:val="20"/>
                <w:szCs w:val="20"/>
                <w:lang w:eastAsia="en-GB"/>
                <w14:ligatures w14:val="none"/>
              </w:rPr>
              <w:t>Sports &amp; Leisure: 52.8%</w:t>
            </w:r>
          </w:p>
        </w:tc>
      </w:tr>
    </w:tbl>
    <w:p w14:paraId="298419E7" w14:textId="77777777" w:rsidR="00D46AB6" w:rsidRDefault="00D46AB6" w:rsidP="00D46AB6">
      <w:pPr>
        <w:rPr>
          <w:color w:val="9F1F63"/>
        </w:rPr>
      </w:pPr>
    </w:p>
    <w:p w14:paraId="4BE27E98" w14:textId="77777777" w:rsidR="00D46AB6" w:rsidRPr="00484AB6" w:rsidRDefault="00D46AB6" w:rsidP="00D46AB6">
      <w:pPr>
        <w:rPr>
          <w:color w:val="9F1F63"/>
        </w:rPr>
      </w:pPr>
    </w:p>
    <w:p w14:paraId="4B1F7897" w14:textId="77777777" w:rsidR="00D46AB6" w:rsidRDefault="00D46AB6" w:rsidP="00D46AB6">
      <w:pPr>
        <w:rPr>
          <w:rFonts w:ascii="Arial" w:hAnsi="Arial" w:cs="Arial"/>
          <w:b/>
          <w:bCs/>
          <w:color w:val="9F1F63"/>
        </w:rPr>
      </w:pPr>
      <w:r>
        <w:rPr>
          <w:color w:val="9F1F63"/>
        </w:rPr>
        <w:br w:type="page"/>
      </w:r>
    </w:p>
    <w:p w14:paraId="6B8B403A" w14:textId="77777777" w:rsidR="0034651F" w:rsidRPr="00A24F79" w:rsidRDefault="0034651F" w:rsidP="0034651F">
      <w:pPr>
        <w:pStyle w:val="Heading2"/>
        <w:contextualSpacing/>
        <w:rPr>
          <w:color w:val="9F1F63"/>
          <w:sz w:val="32"/>
          <w:szCs w:val="32"/>
        </w:rPr>
      </w:pPr>
      <w:bookmarkStart w:id="2" w:name="_Template_Letter_to_1"/>
      <w:bookmarkEnd w:id="2"/>
      <w:r w:rsidRPr="00A24F79">
        <w:rPr>
          <w:color w:val="9F1F63"/>
          <w:sz w:val="32"/>
          <w:szCs w:val="32"/>
        </w:rPr>
        <w:lastRenderedPageBreak/>
        <w:t>Template Letter to Candidates</w:t>
      </w:r>
    </w:p>
    <w:p w14:paraId="582BDCD1" w14:textId="77777777" w:rsidR="0034651F" w:rsidRDefault="0034651F" w:rsidP="0034651F">
      <w:pPr>
        <w:ind w:left="5760" w:firstLine="720"/>
        <w:contextualSpacing/>
        <w:rPr>
          <w:rFonts w:ascii="Arial" w:eastAsia="Calibri" w:hAnsi="Arial" w:cs="Arial"/>
        </w:rPr>
      </w:pPr>
    </w:p>
    <w:p w14:paraId="25C31F8F" w14:textId="77777777" w:rsidR="0034651F" w:rsidRDefault="0034651F" w:rsidP="0034651F">
      <w:pPr>
        <w:ind w:left="5760" w:firstLine="720"/>
        <w:contextualSpacing/>
        <w:rPr>
          <w:rFonts w:ascii="Arial" w:eastAsia="Calibri" w:hAnsi="Arial" w:cs="Arial"/>
        </w:rPr>
      </w:pPr>
    </w:p>
    <w:p w14:paraId="499E7E6D" w14:textId="77777777" w:rsidR="0034651F" w:rsidRPr="00211FBB" w:rsidRDefault="0034651F" w:rsidP="0034651F">
      <w:pPr>
        <w:ind w:left="5760" w:firstLine="720"/>
        <w:contextualSpacing/>
        <w:rPr>
          <w:rFonts w:ascii="Arial" w:eastAsia="Calibri" w:hAnsi="Arial" w:cs="Arial"/>
        </w:rPr>
      </w:pPr>
      <w:r>
        <w:rPr>
          <w:rFonts w:ascii="Arial" w:eastAsia="Calibri" w:hAnsi="Arial" w:cs="Arial"/>
        </w:rPr>
        <w:t>March</w:t>
      </w:r>
      <w:r w:rsidRPr="00211FBB">
        <w:rPr>
          <w:rFonts w:ascii="Arial" w:eastAsia="Calibri" w:hAnsi="Arial" w:cs="Arial"/>
        </w:rPr>
        <w:t xml:space="preserve"> 202</w:t>
      </w:r>
      <w:r>
        <w:rPr>
          <w:rFonts w:ascii="Arial" w:eastAsia="Calibri" w:hAnsi="Arial" w:cs="Arial"/>
        </w:rPr>
        <w:t>5</w:t>
      </w:r>
    </w:p>
    <w:p w14:paraId="6064EE64" w14:textId="77777777" w:rsidR="0034651F" w:rsidRPr="00211FBB" w:rsidRDefault="0034651F" w:rsidP="0034651F">
      <w:pPr>
        <w:contextualSpacing/>
        <w:rPr>
          <w:rFonts w:ascii="Arial" w:eastAsia="Calibri" w:hAnsi="Arial" w:cs="Arial"/>
        </w:rPr>
      </w:pPr>
    </w:p>
    <w:p w14:paraId="1B1A6785" w14:textId="77777777" w:rsidR="0034651F" w:rsidRPr="00833DE3" w:rsidRDefault="0034651F" w:rsidP="0034651F">
      <w:pPr>
        <w:contextualSpacing/>
        <w:rPr>
          <w:rFonts w:ascii="Arial" w:eastAsia="Calibri" w:hAnsi="Arial" w:cs="Arial"/>
          <w:highlight w:val="yellow"/>
        </w:rPr>
      </w:pPr>
      <w:r w:rsidRPr="00833DE3">
        <w:rPr>
          <w:rFonts w:ascii="Arial" w:eastAsia="Calibri" w:hAnsi="Arial" w:cs="Arial"/>
          <w:highlight w:val="yellow"/>
        </w:rPr>
        <w:t>FULL NAME</w:t>
      </w:r>
    </w:p>
    <w:p w14:paraId="5F021016" w14:textId="77777777" w:rsidR="0034651F" w:rsidRDefault="0034651F" w:rsidP="0034651F">
      <w:pPr>
        <w:contextualSpacing/>
        <w:rPr>
          <w:rFonts w:ascii="Arial" w:eastAsia="Calibri" w:hAnsi="Arial" w:cs="Arial"/>
        </w:rPr>
      </w:pPr>
      <w:r w:rsidRPr="00833DE3">
        <w:rPr>
          <w:rFonts w:ascii="Arial" w:eastAsia="Calibri" w:hAnsi="Arial" w:cs="Arial"/>
          <w:highlight w:val="yellow"/>
        </w:rPr>
        <w:t>PORTFOLIO</w:t>
      </w:r>
    </w:p>
    <w:p w14:paraId="6D3013BA" w14:textId="77777777" w:rsidR="0034651F" w:rsidRPr="00211FBB" w:rsidRDefault="0034651F" w:rsidP="0034651F">
      <w:pPr>
        <w:contextualSpacing/>
        <w:rPr>
          <w:rFonts w:ascii="Arial" w:eastAsia="Calibri" w:hAnsi="Arial" w:cs="Arial"/>
        </w:rPr>
      </w:pPr>
      <w:r w:rsidRPr="00833DE3">
        <w:rPr>
          <w:rFonts w:ascii="Arial" w:eastAsia="Calibri" w:hAnsi="Arial" w:cs="Arial"/>
          <w:highlight w:val="yellow"/>
        </w:rPr>
        <w:t>Electorate Office / Candidate Office</w:t>
      </w:r>
    </w:p>
    <w:p w14:paraId="6871AA73" w14:textId="77777777" w:rsidR="0034651F" w:rsidRPr="00211FBB" w:rsidRDefault="0034651F" w:rsidP="0034651F">
      <w:pPr>
        <w:contextualSpacing/>
        <w:rPr>
          <w:rFonts w:ascii="Arial" w:eastAsia="Calibri" w:hAnsi="Arial" w:cs="Arial"/>
        </w:rPr>
      </w:pPr>
      <w:r w:rsidRPr="00211FBB">
        <w:rPr>
          <w:rFonts w:ascii="Arial" w:eastAsia="Calibri" w:hAnsi="Arial" w:cs="Arial"/>
        </w:rPr>
        <w:t xml:space="preserve">By email to: </w:t>
      </w:r>
      <w:r w:rsidRPr="00833DE3">
        <w:rPr>
          <w:rFonts w:ascii="Arial" w:hAnsi="Arial" w:cs="Arial"/>
          <w:highlight w:val="yellow"/>
        </w:rPr>
        <w:t>EMAIL</w:t>
      </w:r>
      <w:r>
        <w:t xml:space="preserve"> </w:t>
      </w:r>
    </w:p>
    <w:p w14:paraId="6BA4DC8F" w14:textId="77777777" w:rsidR="0034651F" w:rsidRDefault="0034651F" w:rsidP="0034651F">
      <w:pPr>
        <w:contextualSpacing/>
      </w:pPr>
    </w:p>
    <w:p w14:paraId="2EAE5189" w14:textId="77777777" w:rsidR="0034651F" w:rsidRDefault="0034651F" w:rsidP="0034651F">
      <w:pPr>
        <w:contextualSpacing/>
        <w:rPr>
          <w:rFonts w:ascii="Arial" w:hAnsi="Arial" w:cs="Arial"/>
        </w:rPr>
      </w:pPr>
      <w:r w:rsidRPr="00427A53">
        <w:rPr>
          <w:rFonts w:ascii="Arial" w:hAnsi="Arial" w:cs="Arial"/>
        </w:rPr>
        <w:t>Dear NAME,</w:t>
      </w:r>
    </w:p>
    <w:p w14:paraId="707ACAB6" w14:textId="77777777" w:rsidR="0034651F" w:rsidRPr="00427A53" w:rsidRDefault="0034651F" w:rsidP="0034651F">
      <w:pPr>
        <w:contextualSpacing/>
        <w:rPr>
          <w:rFonts w:ascii="Arial" w:hAnsi="Arial" w:cs="Arial"/>
        </w:rPr>
      </w:pPr>
    </w:p>
    <w:p w14:paraId="31BF8F12" w14:textId="77777777" w:rsidR="0034651F" w:rsidRDefault="0034651F" w:rsidP="0034651F">
      <w:pPr>
        <w:contextualSpacing/>
        <w:rPr>
          <w:rFonts w:ascii="Arial" w:hAnsi="Arial" w:cs="Arial"/>
        </w:rPr>
      </w:pPr>
      <w:r w:rsidRPr="00722637">
        <w:rPr>
          <w:rFonts w:ascii="Arial" w:hAnsi="Arial" w:cs="Arial"/>
        </w:rPr>
        <w:t>I am writing on behalf of [</w:t>
      </w:r>
      <w:r w:rsidRPr="00833DE3">
        <w:rPr>
          <w:rFonts w:ascii="Arial" w:hAnsi="Arial" w:cs="Arial"/>
          <w:highlight w:val="yellow"/>
        </w:rPr>
        <w:t>LGA</w:t>
      </w:r>
      <w:r w:rsidRPr="00722637">
        <w:rPr>
          <w:rFonts w:ascii="Arial" w:hAnsi="Arial" w:cs="Arial"/>
        </w:rPr>
        <w:t xml:space="preserve">] and our community to highlight the urgent need for Federal investment in </w:t>
      </w:r>
      <w:r>
        <w:rPr>
          <w:rFonts w:ascii="Arial" w:hAnsi="Arial" w:cs="Arial"/>
        </w:rPr>
        <w:t>[</w:t>
      </w:r>
      <w:r w:rsidRPr="00833DE3">
        <w:rPr>
          <w:rFonts w:ascii="Arial" w:hAnsi="Arial" w:cs="Arial"/>
          <w:highlight w:val="yellow"/>
        </w:rPr>
        <w:t>ELECTORATE</w:t>
      </w:r>
      <w:r>
        <w:rPr>
          <w:rFonts w:ascii="Arial" w:hAnsi="Arial" w:cs="Arial"/>
        </w:rPr>
        <w:t>]</w:t>
      </w:r>
      <w:r w:rsidRPr="00722637">
        <w:rPr>
          <w:rFonts w:ascii="Arial" w:hAnsi="Arial" w:cs="Arial"/>
        </w:rPr>
        <w:t xml:space="preserve">. </w:t>
      </w:r>
    </w:p>
    <w:p w14:paraId="1CE06F32" w14:textId="77777777" w:rsidR="0034651F" w:rsidRDefault="0034651F" w:rsidP="0034651F">
      <w:pPr>
        <w:contextualSpacing/>
        <w:rPr>
          <w:rFonts w:ascii="Arial" w:hAnsi="Arial" w:cs="Arial"/>
        </w:rPr>
      </w:pPr>
    </w:p>
    <w:p w14:paraId="691699D8" w14:textId="77777777" w:rsidR="0034651F" w:rsidRPr="00427A53" w:rsidRDefault="0034651F" w:rsidP="0034651F">
      <w:pPr>
        <w:contextualSpacing/>
        <w:rPr>
          <w:rFonts w:ascii="Arial" w:hAnsi="Arial" w:cs="Arial"/>
        </w:rPr>
      </w:pPr>
      <w:r>
        <w:rPr>
          <w:rFonts w:ascii="Arial" w:hAnsi="Arial" w:cs="Arial"/>
        </w:rPr>
        <w:t>As a significant g</w:t>
      </w:r>
      <w:r w:rsidRPr="00722637">
        <w:rPr>
          <w:rFonts w:ascii="Arial" w:hAnsi="Arial" w:cs="Arial"/>
        </w:rPr>
        <w:t>rowth area</w:t>
      </w:r>
      <w:r>
        <w:rPr>
          <w:rFonts w:ascii="Arial" w:hAnsi="Arial" w:cs="Arial"/>
        </w:rPr>
        <w:t>, we</w:t>
      </w:r>
      <w:r w:rsidRPr="00722637">
        <w:rPr>
          <w:rFonts w:ascii="Arial" w:hAnsi="Arial" w:cs="Arial"/>
        </w:rPr>
        <w:t xml:space="preserve"> have played</w:t>
      </w:r>
      <w:r>
        <w:rPr>
          <w:rFonts w:ascii="Arial" w:hAnsi="Arial" w:cs="Arial"/>
        </w:rPr>
        <w:t>, and will continue to play,</w:t>
      </w:r>
      <w:r w:rsidRPr="00722637">
        <w:rPr>
          <w:rFonts w:ascii="Arial" w:hAnsi="Arial" w:cs="Arial"/>
        </w:rPr>
        <w:t xml:space="preserve"> a crucial role in accommodating Australia’s population growth</w:t>
      </w:r>
      <w:r>
        <w:rPr>
          <w:rFonts w:ascii="Arial" w:hAnsi="Arial" w:cs="Arial"/>
        </w:rPr>
        <w:t xml:space="preserve"> and increasing housing supply. We would like to present investment solutions that meet the demands of growth and address the needs of our communities. </w:t>
      </w:r>
      <w:r w:rsidRPr="00722637">
        <w:rPr>
          <w:rFonts w:ascii="Arial" w:hAnsi="Arial" w:cs="Arial"/>
        </w:rPr>
        <w:t xml:space="preserve"> </w:t>
      </w:r>
    </w:p>
    <w:p w14:paraId="2318D4A7" w14:textId="77777777" w:rsidR="0034651F" w:rsidRDefault="0034651F" w:rsidP="0034651F">
      <w:pPr>
        <w:contextualSpacing/>
        <w:rPr>
          <w:rFonts w:ascii="Arial" w:hAnsi="Arial" w:cs="Arial"/>
        </w:rPr>
      </w:pPr>
    </w:p>
    <w:p w14:paraId="0AA2D4B3" w14:textId="77777777" w:rsidR="0034651F" w:rsidRDefault="0034651F" w:rsidP="0034651F">
      <w:pPr>
        <w:contextualSpacing/>
        <w:rPr>
          <w:rFonts w:ascii="Arial" w:hAnsi="Arial" w:cs="Arial"/>
        </w:rPr>
      </w:pPr>
      <w:r w:rsidRPr="00427A53">
        <w:rPr>
          <w:rFonts w:ascii="Arial" w:hAnsi="Arial" w:cs="Arial"/>
        </w:rPr>
        <w:t>Our residents are facing mounting cost-of-living pressures,</w:t>
      </w:r>
      <w:r>
        <w:rPr>
          <w:rFonts w:ascii="Arial" w:hAnsi="Arial" w:cs="Arial"/>
        </w:rPr>
        <w:t xml:space="preserve"> which could be </w:t>
      </w:r>
      <w:r w:rsidRPr="00D30F69">
        <w:rPr>
          <w:rFonts w:ascii="Arial" w:hAnsi="Arial" w:cs="Arial"/>
          <w:highlight w:val="yellow"/>
        </w:rPr>
        <w:t>alleviated/eased</w:t>
      </w:r>
      <w:r>
        <w:rPr>
          <w:rFonts w:ascii="Arial" w:hAnsi="Arial" w:cs="Arial"/>
        </w:rPr>
        <w:t xml:space="preserve"> through upgraded road networks, improved public transport, increased access to essential community services and facilities and more local job opportunities. </w:t>
      </w:r>
      <w:r w:rsidRPr="00427A53">
        <w:rPr>
          <w:rFonts w:ascii="Arial" w:hAnsi="Arial" w:cs="Arial"/>
        </w:rPr>
        <w:t xml:space="preserve"> </w:t>
      </w:r>
    </w:p>
    <w:p w14:paraId="23C69C30" w14:textId="77777777" w:rsidR="0034651F" w:rsidRDefault="0034651F" w:rsidP="0034651F">
      <w:pPr>
        <w:contextualSpacing/>
        <w:rPr>
          <w:rFonts w:ascii="Arial" w:hAnsi="Arial" w:cs="Arial"/>
        </w:rPr>
      </w:pPr>
    </w:p>
    <w:p w14:paraId="1562AA04" w14:textId="77777777" w:rsidR="0034651F" w:rsidRPr="00427A53" w:rsidRDefault="0034651F" w:rsidP="0034651F">
      <w:pPr>
        <w:contextualSpacing/>
        <w:rPr>
          <w:rFonts w:ascii="Arial" w:hAnsi="Arial" w:cs="Arial"/>
        </w:rPr>
      </w:pPr>
      <w:r w:rsidRPr="00427A53">
        <w:rPr>
          <w:rFonts w:ascii="Arial" w:hAnsi="Arial" w:cs="Arial"/>
        </w:rPr>
        <w:t xml:space="preserve">This is demonstrated in the National Growth Areas Alliance’s (NGAA) report </w:t>
      </w:r>
      <w:r w:rsidRPr="00D30F69">
        <w:rPr>
          <w:rFonts w:ascii="Arial" w:hAnsi="Arial" w:cs="Arial"/>
          <w:b/>
          <w:bCs/>
          <w:i/>
          <w:iCs/>
        </w:rPr>
        <w:t>Investment Solutions for Today’s Infrastructure Needs and Tomorrow’s Housing in Outer-Metropolitan Growth Areas</w:t>
      </w:r>
      <w:r w:rsidRPr="00427A53">
        <w:rPr>
          <w:rFonts w:ascii="Arial" w:hAnsi="Arial" w:cs="Arial"/>
          <w:b/>
          <w:bCs/>
        </w:rPr>
        <w:t>.</w:t>
      </w:r>
      <w:r>
        <w:rPr>
          <w:rFonts w:ascii="Arial" w:hAnsi="Arial" w:cs="Arial"/>
          <w:b/>
          <w:bCs/>
        </w:rPr>
        <w:t xml:space="preserve"> </w:t>
      </w:r>
      <w:r>
        <w:rPr>
          <w:rFonts w:ascii="Arial" w:hAnsi="Arial" w:cs="Arial"/>
        </w:rPr>
        <w:t xml:space="preserve">Full report and research attached. </w:t>
      </w:r>
    </w:p>
    <w:p w14:paraId="0521275C" w14:textId="77777777" w:rsidR="0034651F" w:rsidRDefault="0034651F" w:rsidP="0034651F">
      <w:pPr>
        <w:contextualSpacing/>
        <w:rPr>
          <w:rFonts w:ascii="Arial" w:hAnsi="Arial" w:cs="Arial"/>
        </w:rPr>
      </w:pPr>
    </w:p>
    <w:p w14:paraId="63EFA7F8" w14:textId="77777777" w:rsidR="0034651F" w:rsidRDefault="0034651F" w:rsidP="0034651F">
      <w:pPr>
        <w:contextualSpacing/>
        <w:rPr>
          <w:rFonts w:ascii="Arial" w:hAnsi="Arial" w:cs="Arial"/>
        </w:rPr>
      </w:pPr>
      <w:r w:rsidRPr="00427A53">
        <w:rPr>
          <w:rFonts w:ascii="Arial" w:hAnsi="Arial" w:cs="Arial"/>
        </w:rPr>
        <w:t xml:space="preserve">As a member of the NGAA, the peak advocacy body for local governments in Australia’s fastest-growing outer metropolitan suburbs, we stand united in our message to all Federal candidates: </w:t>
      </w:r>
    </w:p>
    <w:p w14:paraId="7C0BD418" w14:textId="77777777" w:rsidR="0034651F" w:rsidRDefault="0034651F" w:rsidP="0034651F">
      <w:pPr>
        <w:contextualSpacing/>
        <w:rPr>
          <w:rFonts w:ascii="Arial" w:hAnsi="Arial" w:cs="Arial"/>
        </w:rPr>
      </w:pPr>
    </w:p>
    <w:p w14:paraId="6CD49859" w14:textId="77777777" w:rsidR="0034651F" w:rsidRPr="00427A53" w:rsidRDefault="0034651F" w:rsidP="0034651F">
      <w:pPr>
        <w:contextualSpacing/>
        <w:rPr>
          <w:rFonts w:ascii="Arial" w:hAnsi="Arial" w:cs="Arial"/>
        </w:rPr>
      </w:pPr>
      <w:r w:rsidRPr="00D30F69">
        <w:rPr>
          <w:rFonts w:ascii="Arial" w:hAnsi="Arial" w:cs="Arial"/>
          <w:b/>
          <w:bCs/>
        </w:rPr>
        <w:t>Make a tangible difference in the lives of [</w:t>
      </w:r>
      <w:r w:rsidRPr="00D30F69">
        <w:rPr>
          <w:rFonts w:ascii="Arial" w:hAnsi="Arial" w:cs="Arial"/>
          <w:b/>
          <w:bCs/>
          <w:highlight w:val="yellow"/>
        </w:rPr>
        <w:t>ELECTORATE</w:t>
      </w:r>
      <w:r w:rsidRPr="00D30F69">
        <w:rPr>
          <w:rFonts w:ascii="Arial" w:hAnsi="Arial" w:cs="Arial"/>
          <w:b/>
          <w:bCs/>
        </w:rPr>
        <w:t>] residents by committing to the following actions</w:t>
      </w:r>
      <w:r w:rsidRPr="00427A53">
        <w:rPr>
          <w:rFonts w:ascii="Arial" w:hAnsi="Arial" w:cs="Arial"/>
        </w:rPr>
        <w:t>:</w:t>
      </w:r>
    </w:p>
    <w:p w14:paraId="32E58372" w14:textId="77777777" w:rsidR="0034651F" w:rsidRPr="00427A53" w:rsidRDefault="0034651F" w:rsidP="0034651F">
      <w:pPr>
        <w:pStyle w:val="ListParagraph"/>
        <w:numPr>
          <w:ilvl w:val="0"/>
          <w:numId w:val="2"/>
        </w:numPr>
        <w:spacing w:after="0" w:line="240" w:lineRule="auto"/>
        <w:rPr>
          <w:rFonts w:ascii="Arial" w:hAnsi="Arial" w:cs="Arial"/>
        </w:rPr>
      </w:pPr>
      <w:r w:rsidRPr="732A217E">
        <w:rPr>
          <w:rFonts w:ascii="Arial" w:hAnsi="Arial" w:cs="Arial"/>
        </w:rPr>
        <w:t>Recognise outer metropolitan growth areas as regions requiring specific attention in Commonwealth funding programs.</w:t>
      </w:r>
    </w:p>
    <w:p w14:paraId="29F082A8" w14:textId="77777777" w:rsidR="0034651F" w:rsidRDefault="0034651F" w:rsidP="0034651F">
      <w:pPr>
        <w:pStyle w:val="ListParagraph"/>
        <w:numPr>
          <w:ilvl w:val="0"/>
          <w:numId w:val="2"/>
        </w:numPr>
        <w:spacing w:after="0" w:line="240" w:lineRule="auto"/>
        <w:rPr>
          <w:rFonts w:ascii="Arial" w:hAnsi="Arial" w:cs="Arial"/>
        </w:rPr>
      </w:pPr>
      <w:r w:rsidRPr="732A217E">
        <w:rPr>
          <w:rFonts w:ascii="Arial" w:hAnsi="Arial" w:cs="Arial"/>
        </w:rPr>
        <w:t>Prioritise funding to invest in Australia’s growth.</w:t>
      </w:r>
    </w:p>
    <w:p w14:paraId="0AD1437F" w14:textId="77777777" w:rsidR="0034651F" w:rsidRDefault="0034651F" w:rsidP="0034651F">
      <w:pPr>
        <w:pStyle w:val="ListParagraph"/>
        <w:numPr>
          <w:ilvl w:val="0"/>
          <w:numId w:val="2"/>
        </w:numPr>
        <w:spacing w:after="0" w:line="240" w:lineRule="auto"/>
        <w:rPr>
          <w:rFonts w:ascii="Arial" w:hAnsi="Arial" w:cs="Arial"/>
        </w:rPr>
      </w:pPr>
      <w:r w:rsidRPr="00427A53">
        <w:rPr>
          <w:rFonts w:ascii="Arial" w:hAnsi="Arial" w:cs="Arial"/>
        </w:rPr>
        <w:t xml:space="preserve">Resource </w:t>
      </w:r>
      <w:r>
        <w:rPr>
          <w:rFonts w:ascii="Arial" w:hAnsi="Arial" w:cs="Arial"/>
        </w:rPr>
        <w:t xml:space="preserve">growth areas </w:t>
      </w:r>
      <w:r w:rsidRPr="00427A53">
        <w:rPr>
          <w:rFonts w:ascii="Arial" w:hAnsi="Arial" w:cs="Arial"/>
        </w:rPr>
        <w:t>equitably through a</w:t>
      </w:r>
      <w:r>
        <w:rPr>
          <w:rFonts w:ascii="Arial" w:hAnsi="Arial" w:cs="Arial"/>
        </w:rPr>
        <w:t xml:space="preserve"> dedicated,</w:t>
      </w:r>
      <w:r w:rsidRPr="00427A53">
        <w:rPr>
          <w:rFonts w:ascii="Arial" w:hAnsi="Arial" w:cs="Arial"/>
        </w:rPr>
        <w:t xml:space="preserve"> </w:t>
      </w:r>
      <w:r>
        <w:rPr>
          <w:rFonts w:ascii="Arial" w:hAnsi="Arial" w:cs="Arial"/>
        </w:rPr>
        <w:t xml:space="preserve">long term </w:t>
      </w:r>
      <w:r w:rsidRPr="00427A53">
        <w:rPr>
          <w:rFonts w:ascii="Arial" w:hAnsi="Arial" w:cs="Arial"/>
        </w:rPr>
        <w:t>national infrastructure investment framework.</w:t>
      </w:r>
    </w:p>
    <w:p w14:paraId="19171829" w14:textId="77777777" w:rsidR="0034651F" w:rsidRPr="00427A53" w:rsidRDefault="0034651F" w:rsidP="0034651F">
      <w:pPr>
        <w:pStyle w:val="ListParagraph"/>
        <w:rPr>
          <w:rFonts w:ascii="Arial" w:hAnsi="Arial" w:cs="Arial"/>
        </w:rPr>
      </w:pPr>
    </w:p>
    <w:p w14:paraId="26069924" w14:textId="77777777" w:rsidR="0034651F" w:rsidRDefault="0034651F" w:rsidP="0034651F">
      <w:pPr>
        <w:contextualSpacing/>
        <w:rPr>
          <w:rFonts w:ascii="Arial" w:hAnsi="Arial" w:cs="Arial"/>
        </w:rPr>
      </w:pPr>
      <w:r w:rsidRPr="00427A53">
        <w:rPr>
          <w:rFonts w:ascii="Arial" w:hAnsi="Arial" w:cs="Arial"/>
        </w:rPr>
        <w:lastRenderedPageBreak/>
        <w:t xml:space="preserve">We </w:t>
      </w:r>
      <w:r>
        <w:rPr>
          <w:rFonts w:ascii="Arial" w:hAnsi="Arial" w:cs="Arial"/>
        </w:rPr>
        <w:t>encourage</w:t>
      </w:r>
      <w:r w:rsidRPr="00427A53">
        <w:rPr>
          <w:rFonts w:ascii="Arial" w:hAnsi="Arial" w:cs="Arial"/>
        </w:rPr>
        <w:t xml:space="preserve"> you to public</w:t>
      </w:r>
      <w:r>
        <w:rPr>
          <w:rFonts w:ascii="Arial" w:hAnsi="Arial" w:cs="Arial"/>
        </w:rPr>
        <w:t>ly</w:t>
      </w:r>
      <w:r w:rsidRPr="00427A53">
        <w:rPr>
          <w:rFonts w:ascii="Arial" w:hAnsi="Arial" w:cs="Arial"/>
        </w:rPr>
        <w:t xml:space="preserve"> support these measures and commit to prioritising growth area infrastructure if elected. </w:t>
      </w:r>
    </w:p>
    <w:p w14:paraId="662DAF0D" w14:textId="77777777" w:rsidR="0034651F" w:rsidRDefault="0034651F" w:rsidP="0034651F">
      <w:pPr>
        <w:contextualSpacing/>
        <w:rPr>
          <w:rFonts w:ascii="Arial" w:hAnsi="Arial" w:cs="Arial"/>
        </w:rPr>
      </w:pPr>
    </w:p>
    <w:p w14:paraId="01A16FAD" w14:textId="77777777" w:rsidR="0034651F" w:rsidRDefault="0034651F" w:rsidP="0034651F">
      <w:pPr>
        <w:contextualSpacing/>
        <w:rPr>
          <w:rFonts w:ascii="Arial" w:hAnsi="Arial" w:cs="Arial"/>
        </w:rPr>
      </w:pPr>
      <w:r w:rsidRPr="00427A53">
        <w:rPr>
          <w:rFonts w:ascii="Arial" w:hAnsi="Arial" w:cs="Arial"/>
        </w:rPr>
        <w:t xml:space="preserve">We would welcome the opportunity to discuss this further and invite you to meet with </w:t>
      </w:r>
      <w:r>
        <w:rPr>
          <w:rFonts w:ascii="Arial" w:hAnsi="Arial" w:cs="Arial"/>
        </w:rPr>
        <w:t xml:space="preserve">us </w:t>
      </w:r>
      <w:r w:rsidRPr="00427A53">
        <w:rPr>
          <w:rFonts w:ascii="Arial" w:hAnsi="Arial" w:cs="Arial"/>
        </w:rPr>
        <w:t xml:space="preserve">to hear firsthand about the </w:t>
      </w:r>
      <w:r>
        <w:rPr>
          <w:rFonts w:ascii="Arial" w:hAnsi="Arial" w:cs="Arial"/>
        </w:rPr>
        <w:t>investment solutions for [</w:t>
      </w:r>
      <w:r w:rsidRPr="00D30F69">
        <w:rPr>
          <w:rFonts w:ascii="Arial" w:hAnsi="Arial" w:cs="Arial"/>
          <w:highlight w:val="yellow"/>
        </w:rPr>
        <w:t>ELECTORATE</w:t>
      </w:r>
      <w:r>
        <w:rPr>
          <w:rFonts w:ascii="Arial" w:hAnsi="Arial" w:cs="Arial"/>
        </w:rPr>
        <w:t>]</w:t>
      </w:r>
      <w:r w:rsidRPr="00427A53">
        <w:rPr>
          <w:rFonts w:ascii="Arial" w:hAnsi="Arial" w:cs="Arial"/>
        </w:rPr>
        <w:t>.</w:t>
      </w:r>
      <w:r>
        <w:rPr>
          <w:rFonts w:ascii="Arial" w:hAnsi="Arial" w:cs="Arial"/>
        </w:rPr>
        <w:t xml:space="preserve"> </w:t>
      </w:r>
    </w:p>
    <w:p w14:paraId="2945ED2E" w14:textId="77777777" w:rsidR="0034651F" w:rsidRDefault="0034651F" w:rsidP="0034651F">
      <w:pPr>
        <w:contextualSpacing/>
        <w:rPr>
          <w:rFonts w:ascii="Arial" w:hAnsi="Arial" w:cs="Arial"/>
        </w:rPr>
      </w:pPr>
    </w:p>
    <w:p w14:paraId="7AA8D36D" w14:textId="77777777" w:rsidR="0034651F" w:rsidRDefault="0034651F" w:rsidP="0034651F">
      <w:pPr>
        <w:contextualSpacing/>
        <w:rPr>
          <w:rFonts w:ascii="Arial" w:hAnsi="Arial" w:cs="Arial"/>
        </w:rPr>
      </w:pPr>
      <w:r>
        <w:rPr>
          <w:rFonts w:ascii="Arial" w:hAnsi="Arial" w:cs="Arial"/>
        </w:rPr>
        <w:t xml:space="preserve">We will be in touch to arrange a meeting. </w:t>
      </w:r>
    </w:p>
    <w:p w14:paraId="4790C3BB" w14:textId="77777777" w:rsidR="00D46AB6" w:rsidRDefault="00D46AB6">
      <w:pPr>
        <w:rPr>
          <w:rFonts w:ascii="Arial" w:hAnsi="Arial" w:cs="Arial"/>
          <w:b/>
          <w:bCs/>
        </w:rPr>
      </w:pPr>
      <w:r>
        <w:br w:type="page"/>
      </w:r>
    </w:p>
    <w:p w14:paraId="1EC594F9" w14:textId="77777777" w:rsidR="00024AB3" w:rsidRPr="00A24F79" w:rsidRDefault="00024AB3" w:rsidP="00024AB3">
      <w:pPr>
        <w:pStyle w:val="Heading2"/>
        <w:contextualSpacing/>
        <w:rPr>
          <w:color w:val="9F1F63"/>
          <w:sz w:val="32"/>
          <w:szCs w:val="32"/>
        </w:rPr>
      </w:pPr>
      <w:bookmarkStart w:id="3" w:name="_Press_Release_Template_1"/>
      <w:bookmarkEnd w:id="3"/>
      <w:r w:rsidRPr="00A24F79">
        <w:rPr>
          <w:color w:val="9F1F63"/>
          <w:sz w:val="32"/>
          <w:szCs w:val="32"/>
        </w:rPr>
        <w:lastRenderedPageBreak/>
        <w:t>Press Release Template</w:t>
      </w:r>
    </w:p>
    <w:p w14:paraId="1CF0C8FC" w14:textId="77777777" w:rsidR="00024AB3" w:rsidRPr="00B55F28" w:rsidRDefault="00024AB3" w:rsidP="00024AB3"/>
    <w:p w14:paraId="5C5B2BAF" w14:textId="77777777" w:rsidR="00024AB3" w:rsidRPr="00B55F28" w:rsidRDefault="00024AB3" w:rsidP="00024AB3">
      <w:pPr>
        <w:contextualSpacing/>
        <w:jc w:val="center"/>
        <w:rPr>
          <w:rFonts w:ascii="Arial" w:hAnsi="Arial" w:cs="Arial"/>
          <w:b/>
          <w:bCs/>
        </w:rPr>
      </w:pPr>
      <w:r w:rsidRPr="00345C7A">
        <w:rPr>
          <w:rFonts w:ascii="Arial" w:hAnsi="Arial" w:cs="Arial"/>
          <w:b/>
          <w:bCs/>
        </w:rPr>
        <w:t>[</w:t>
      </w:r>
      <w:r w:rsidRPr="00345C7A">
        <w:rPr>
          <w:rFonts w:ascii="Arial" w:hAnsi="Arial" w:cs="Arial"/>
          <w:b/>
          <w:bCs/>
          <w:highlight w:val="yellow"/>
        </w:rPr>
        <w:t>LGA</w:t>
      </w:r>
      <w:r w:rsidRPr="00345C7A">
        <w:rPr>
          <w:rFonts w:ascii="Arial" w:hAnsi="Arial" w:cs="Arial"/>
          <w:b/>
          <w:bCs/>
        </w:rPr>
        <w:t>] Urges Federal Action to Prioritise Australia’s Growth Areas</w:t>
      </w:r>
    </w:p>
    <w:p w14:paraId="30A7C4FF" w14:textId="77777777" w:rsidR="00024AB3" w:rsidRDefault="00024AB3" w:rsidP="00024AB3">
      <w:pPr>
        <w:pStyle w:val="ListParagraph"/>
        <w:ind w:left="1440"/>
        <w:rPr>
          <w:rFonts w:ascii="Arial" w:hAnsi="Arial" w:cs="Arial"/>
          <w:sz w:val="21"/>
          <w:szCs w:val="21"/>
        </w:rPr>
      </w:pPr>
    </w:p>
    <w:p w14:paraId="2F3D3E1C" w14:textId="77777777" w:rsidR="00024AB3" w:rsidRPr="00833DE3" w:rsidRDefault="00024AB3" w:rsidP="00024AB3">
      <w:pPr>
        <w:pStyle w:val="ListParagraph"/>
        <w:numPr>
          <w:ilvl w:val="0"/>
          <w:numId w:val="11"/>
        </w:numPr>
        <w:spacing w:after="0" w:line="240" w:lineRule="auto"/>
        <w:rPr>
          <w:rFonts w:ascii="Arial" w:hAnsi="Arial" w:cs="Arial"/>
          <w:sz w:val="21"/>
          <w:szCs w:val="21"/>
        </w:rPr>
      </w:pPr>
      <w:r w:rsidRPr="00833DE3">
        <w:rPr>
          <w:rFonts w:ascii="Arial" w:hAnsi="Arial" w:cs="Arial"/>
          <w:sz w:val="21"/>
          <w:szCs w:val="21"/>
        </w:rPr>
        <w:t>[</w:t>
      </w:r>
      <w:r w:rsidRPr="00833DE3">
        <w:rPr>
          <w:rFonts w:ascii="Arial" w:hAnsi="Arial" w:cs="Arial"/>
          <w:sz w:val="21"/>
          <w:szCs w:val="21"/>
          <w:highlight w:val="yellow"/>
        </w:rPr>
        <w:t>State</w:t>
      </w:r>
      <w:r w:rsidRPr="00833DE3">
        <w:rPr>
          <w:rFonts w:ascii="Arial" w:hAnsi="Arial" w:cs="Arial"/>
          <w:sz w:val="21"/>
          <w:szCs w:val="21"/>
        </w:rPr>
        <w:t>] Growth Areas such as [</w:t>
      </w:r>
      <w:r w:rsidRPr="001E378E">
        <w:rPr>
          <w:rFonts w:ascii="Arial" w:hAnsi="Arial" w:cs="Arial"/>
          <w:sz w:val="21"/>
          <w:szCs w:val="21"/>
        </w:rPr>
        <w:t>LGA</w:t>
      </w:r>
      <w:r w:rsidRPr="00833DE3">
        <w:rPr>
          <w:rFonts w:ascii="Arial" w:hAnsi="Arial" w:cs="Arial"/>
          <w:sz w:val="21"/>
          <w:szCs w:val="21"/>
        </w:rPr>
        <w:t>] living with lower access to education (</w:t>
      </w:r>
      <w:r w:rsidRPr="001E378E">
        <w:rPr>
          <w:rFonts w:ascii="Arial" w:hAnsi="Arial" w:cs="Arial"/>
          <w:sz w:val="21"/>
          <w:szCs w:val="21"/>
        </w:rPr>
        <w:t>X</w:t>
      </w:r>
      <w:r w:rsidRPr="00833DE3">
        <w:rPr>
          <w:rFonts w:ascii="Arial" w:hAnsi="Arial" w:cs="Arial"/>
          <w:sz w:val="21"/>
          <w:szCs w:val="21"/>
        </w:rPr>
        <w:t>%), healthcare (</w:t>
      </w:r>
      <w:r w:rsidRPr="00833DE3">
        <w:rPr>
          <w:rFonts w:ascii="Arial" w:hAnsi="Arial" w:cs="Arial"/>
          <w:sz w:val="21"/>
          <w:szCs w:val="21"/>
          <w:highlight w:val="yellow"/>
        </w:rPr>
        <w:t>X</w:t>
      </w:r>
      <w:r w:rsidRPr="00833DE3">
        <w:rPr>
          <w:rFonts w:ascii="Arial" w:hAnsi="Arial" w:cs="Arial"/>
          <w:sz w:val="21"/>
          <w:szCs w:val="21"/>
        </w:rPr>
        <w:t>%), sporting facilities (</w:t>
      </w:r>
      <w:r w:rsidRPr="00833DE3">
        <w:rPr>
          <w:rFonts w:ascii="Arial" w:hAnsi="Arial" w:cs="Arial"/>
          <w:sz w:val="21"/>
          <w:szCs w:val="21"/>
          <w:highlight w:val="yellow"/>
        </w:rPr>
        <w:t>X</w:t>
      </w:r>
      <w:r w:rsidRPr="00833DE3">
        <w:rPr>
          <w:rFonts w:ascii="Arial" w:hAnsi="Arial" w:cs="Arial"/>
          <w:sz w:val="21"/>
          <w:szCs w:val="21"/>
        </w:rPr>
        <w:t>%) and public transport (</w:t>
      </w:r>
      <w:r w:rsidRPr="00833DE3">
        <w:rPr>
          <w:rFonts w:ascii="Arial" w:hAnsi="Arial" w:cs="Arial"/>
          <w:sz w:val="21"/>
          <w:szCs w:val="21"/>
          <w:highlight w:val="yellow"/>
        </w:rPr>
        <w:t>X</w:t>
      </w:r>
      <w:r w:rsidRPr="00833DE3">
        <w:rPr>
          <w:rFonts w:ascii="Arial" w:hAnsi="Arial" w:cs="Arial"/>
          <w:sz w:val="21"/>
          <w:szCs w:val="21"/>
        </w:rPr>
        <w:t>%)</w:t>
      </w:r>
    </w:p>
    <w:p w14:paraId="5B8478FC" w14:textId="77777777" w:rsidR="00024AB3" w:rsidRPr="00833DE3" w:rsidRDefault="00024AB3" w:rsidP="00024AB3">
      <w:pPr>
        <w:pStyle w:val="ListParagraph"/>
        <w:numPr>
          <w:ilvl w:val="0"/>
          <w:numId w:val="11"/>
        </w:numPr>
        <w:spacing w:after="0" w:line="240" w:lineRule="auto"/>
        <w:rPr>
          <w:rFonts w:ascii="Arial" w:hAnsi="Arial" w:cs="Arial"/>
          <w:sz w:val="21"/>
          <w:szCs w:val="21"/>
        </w:rPr>
      </w:pPr>
      <w:r w:rsidRPr="00833DE3">
        <w:rPr>
          <w:rFonts w:ascii="Arial" w:hAnsi="Arial" w:cs="Arial"/>
          <w:sz w:val="21"/>
          <w:szCs w:val="21"/>
        </w:rPr>
        <w:t>Growth Areas “will be where the Federal election is decided”</w:t>
      </w:r>
    </w:p>
    <w:p w14:paraId="042239F6" w14:textId="77777777" w:rsidR="00024AB3" w:rsidRPr="00833DE3" w:rsidRDefault="00024AB3" w:rsidP="00024AB3">
      <w:pPr>
        <w:pStyle w:val="ListParagraph"/>
        <w:numPr>
          <w:ilvl w:val="0"/>
          <w:numId w:val="11"/>
        </w:numPr>
        <w:spacing w:after="0" w:line="240" w:lineRule="auto"/>
        <w:rPr>
          <w:rFonts w:ascii="Arial" w:hAnsi="Arial" w:cs="Arial"/>
          <w:sz w:val="21"/>
          <w:szCs w:val="21"/>
        </w:rPr>
      </w:pPr>
      <w:r w:rsidRPr="00833DE3">
        <w:rPr>
          <w:rFonts w:ascii="Arial" w:hAnsi="Arial" w:cs="Arial"/>
          <w:sz w:val="21"/>
          <w:szCs w:val="21"/>
        </w:rPr>
        <w:t>[</w:t>
      </w:r>
      <w:r w:rsidRPr="00833DE3">
        <w:rPr>
          <w:rFonts w:ascii="Arial" w:hAnsi="Arial" w:cs="Arial"/>
          <w:sz w:val="21"/>
          <w:szCs w:val="21"/>
          <w:highlight w:val="yellow"/>
        </w:rPr>
        <w:t>LGA</w:t>
      </w:r>
      <w:r w:rsidRPr="00833DE3">
        <w:rPr>
          <w:rFonts w:ascii="Arial" w:hAnsi="Arial" w:cs="Arial"/>
          <w:sz w:val="21"/>
          <w:szCs w:val="21"/>
        </w:rPr>
        <w:t>] [</w:t>
      </w:r>
      <w:r w:rsidRPr="00833DE3">
        <w:rPr>
          <w:rFonts w:ascii="Arial" w:hAnsi="Arial" w:cs="Arial"/>
          <w:sz w:val="21"/>
          <w:szCs w:val="21"/>
          <w:highlight w:val="yellow"/>
        </w:rPr>
        <w:t>local project(s)</w:t>
      </w:r>
      <w:r w:rsidRPr="00833DE3">
        <w:rPr>
          <w:rFonts w:ascii="Arial" w:hAnsi="Arial" w:cs="Arial"/>
          <w:sz w:val="21"/>
          <w:szCs w:val="21"/>
        </w:rPr>
        <w:t>] funding key for both parties to win over local voters</w:t>
      </w:r>
    </w:p>
    <w:p w14:paraId="301640C0" w14:textId="77777777" w:rsidR="00024AB3" w:rsidRDefault="00024AB3" w:rsidP="00024AB3">
      <w:pPr>
        <w:contextualSpacing/>
        <w:rPr>
          <w:rFonts w:ascii="Arial" w:hAnsi="Arial" w:cs="Arial"/>
        </w:rPr>
      </w:pPr>
    </w:p>
    <w:p w14:paraId="60BEC9EF" w14:textId="77777777" w:rsidR="00024AB3" w:rsidRDefault="00024AB3" w:rsidP="00024AB3">
      <w:pPr>
        <w:contextualSpacing/>
        <w:jc w:val="both"/>
        <w:rPr>
          <w:rFonts w:ascii="Arial" w:hAnsi="Arial" w:cs="Arial"/>
        </w:rPr>
      </w:pPr>
      <w:r w:rsidRPr="00453041">
        <w:rPr>
          <w:rFonts w:ascii="Arial" w:hAnsi="Arial" w:cs="Arial"/>
        </w:rPr>
        <w:t>[</w:t>
      </w:r>
      <w:r w:rsidRPr="00E4542C">
        <w:rPr>
          <w:rFonts w:ascii="Arial" w:hAnsi="Arial" w:cs="Arial"/>
          <w:highlight w:val="yellow"/>
        </w:rPr>
        <w:t>LGA</w:t>
      </w:r>
      <w:r w:rsidRPr="00453041">
        <w:rPr>
          <w:rFonts w:ascii="Arial" w:hAnsi="Arial" w:cs="Arial"/>
        </w:rPr>
        <w:t xml:space="preserve">], </w:t>
      </w:r>
      <w:r>
        <w:rPr>
          <w:rFonts w:ascii="Arial" w:hAnsi="Arial" w:cs="Arial"/>
        </w:rPr>
        <w:t>a member of</w:t>
      </w:r>
      <w:r w:rsidRPr="00453041">
        <w:rPr>
          <w:rFonts w:ascii="Arial" w:hAnsi="Arial" w:cs="Arial"/>
        </w:rPr>
        <w:t xml:space="preserve"> the National Growth Areas Alliance (NGAA), is urging Federal candidates to </w:t>
      </w:r>
      <w:r>
        <w:rPr>
          <w:rFonts w:ascii="Arial" w:hAnsi="Arial" w:cs="Arial"/>
          <w:b/>
          <w:bCs/>
        </w:rPr>
        <w:t xml:space="preserve">recognise, prioritise </w:t>
      </w:r>
      <w:r>
        <w:rPr>
          <w:rFonts w:ascii="Arial" w:hAnsi="Arial" w:cs="Arial"/>
        </w:rPr>
        <w:t xml:space="preserve">and </w:t>
      </w:r>
      <w:r>
        <w:rPr>
          <w:rFonts w:ascii="Arial" w:hAnsi="Arial" w:cs="Arial"/>
          <w:b/>
          <w:bCs/>
        </w:rPr>
        <w:t xml:space="preserve">fund </w:t>
      </w:r>
      <w:r w:rsidRPr="00453041">
        <w:rPr>
          <w:rFonts w:ascii="Arial" w:hAnsi="Arial" w:cs="Arial"/>
        </w:rPr>
        <w:t>Australia’s fastest-growing communities</w:t>
      </w:r>
      <w:r>
        <w:rPr>
          <w:rFonts w:ascii="Arial" w:hAnsi="Arial" w:cs="Arial"/>
        </w:rPr>
        <w:t xml:space="preserve"> to ease cost of living pressures and support resilient, liveable and thriving communities. </w:t>
      </w:r>
    </w:p>
    <w:p w14:paraId="1255BAE8" w14:textId="77777777" w:rsidR="00024AB3" w:rsidRDefault="00024AB3" w:rsidP="00024AB3">
      <w:pPr>
        <w:contextualSpacing/>
        <w:jc w:val="both"/>
        <w:rPr>
          <w:rFonts w:ascii="Arial" w:hAnsi="Arial" w:cs="Arial"/>
        </w:rPr>
      </w:pPr>
    </w:p>
    <w:p w14:paraId="7DF00B07" w14:textId="77777777" w:rsidR="00024AB3" w:rsidRDefault="00024AB3" w:rsidP="00024AB3">
      <w:pPr>
        <w:contextualSpacing/>
        <w:jc w:val="both"/>
        <w:rPr>
          <w:rFonts w:ascii="Arial" w:hAnsi="Arial" w:cs="Arial"/>
        </w:rPr>
      </w:pPr>
      <w:r w:rsidRPr="732A217E">
        <w:rPr>
          <w:rFonts w:ascii="Arial" w:hAnsi="Arial" w:cs="Arial"/>
        </w:rPr>
        <w:t>Together with the NGAA, the peak body representing the fastest growing local governments areas in Australia, [</w:t>
      </w:r>
      <w:r w:rsidRPr="00E4542C">
        <w:rPr>
          <w:rFonts w:ascii="Arial" w:hAnsi="Arial" w:cs="Arial"/>
          <w:highlight w:val="yellow"/>
        </w:rPr>
        <w:t>LGA</w:t>
      </w:r>
      <w:r w:rsidRPr="732A217E">
        <w:rPr>
          <w:rFonts w:ascii="Arial" w:hAnsi="Arial" w:cs="Arial"/>
        </w:rPr>
        <w:t xml:space="preserve">] is shining a spotlight on the need for investment to improve infrastructure that will help to ease cost pressures for residents and support future prosperity, resilience and wellbeing. </w:t>
      </w:r>
    </w:p>
    <w:p w14:paraId="7CE406F2" w14:textId="77777777" w:rsidR="00024AB3" w:rsidRDefault="00024AB3" w:rsidP="00024AB3">
      <w:pPr>
        <w:contextualSpacing/>
        <w:jc w:val="both"/>
        <w:rPr>
          <w:rFonts w:ascii="Arial" w:hAnsi="Arial" w:cs="Arial"/>
        </w:rPr>
      </w:pPr>
    </w:p>
    <w:p w14:paraId="52EB7869" w14:textId="77777777" w:rsidR="00024AB3" w:rsidRDefault="00024AB3" w:rsidP="00024AB3">
      <w:pPr>
        <w:contextualSpacing/>
        <w:jc w:val="both"/>
        <w:rPr>
          <w:rFonts w:ascii="Arial" w:hAnsi="Arial" w:cs="Arial"/>
        </w:rPr>
      </w:pPr>
      <w:r w:rsidRPr="56F21D1B">
        <w:rPr>
          <w:rFonts w:ascii="Arial" w:hAnsi="Arial" w:cs="Arial"/>
        </w:rPr>
        <w:t>‘Australia’s growth areas, like [</w:t>
      </w:r>
      <w:r w:rsidRPr="007B6AC8">
        <w:rPr>
          <w:rFonts w:ascii="Arial" w:hAnsi="Arial" w:cs="Arial"/>
          <w:highlight w:val="yellow"/>
        </w:rPr>
        <w:t>LGA</w:t>
      </w:r>
      <w:r w:rsidRPr="56F21D1B">
        <w:rPr>
          <w:rFonts w:ascii="Arial" w:hAnsi="Arial" w:cs="Arial"/>
        </w:rPr>
        <w:t>], are nationally significant and will be where the Federal election is decided’ said [</w:t>
      </w:r>
      <w:r w:rsidRPr="007B6AC8">
        <w:rPr>
          <w:rFonts w:ascii="Arial" w:hAnsi="Arial" w:cs="Arial"/>
          <w:highlight w:val="yellow"/>
        </w:rPr>
        <w:t>Mayor/CEO Name</w:t>
      </w:r>
      <w:r w:rsidRPr="56F21D1B">
        <w:rPr>
          <w:rFonts w:ascii="Arial" w:hAnsi="Arial" w:cs="Arial"/>
        </w:rPr>
        <w:t xml:space="preserve">]. ‘This election presents the opportunity for candidates to support growth areas with improved road networks, better transport, increased access to essential community services and facilities and more local job opportunities.’ </w:t>
      </w:r>
    </w:p>
    <w:p w14:paraId="2E772FC9" w14:textId="77777777" w:rsidR="00024AB3" w:rsidRPr="00427A53" w:rsidRDefault="00024AB3" w:rsidP="00024AB3">
      <w:pPr>
        <w:contextualSpacing/>
        <w:jc w:val="both"/>
        <w:rPr>
          <w:rFonts w:ascii="Arial" w:hAnsi="Arial" w:cs="Arial"/>
        </w:rPr>
      </w:pPr>
    </w:p>
    <w:p w14:paraId="2D70EB1E" w14:textId="77777777" w:rsidR="00024AB3" w:rsidRDefault="00024AB3" w:rsidP="00024AB3">
      <w:pPr>
        <w:contextualSpacing/>
        <w:jc w:val="both"/>
        <w:rPr>
          <w:rFonts w:ascii="Arial" w:hAnsi="Arial" w:cs="Arial"/>
        </w:rPr>
      </w:pPr>
      <w:r w:rsidRPr="00427A53">
        <w:rPr>
          <w:rFonts w:ascii="Arial" w:hAnsi="Arial" w:cs="Arial"/>
        </w:rPr>
        <w:t>Growth areas</w:t>
      </w:r>
      <w:r>
        <w:rPr>
          <w:rFonts w:ascii="Arial" w:hAnsi="Arial" w:cs="Arial"/>
        </w:rPr>
        <w:t xml:space="preserve"> like [</w:t>
      </w:r>
      <w:r w:rsidRPr="007B6AC8">
        <w:rPr>
          <w:rFonts w:ascii="Arial" w:hAnsi="Arial" w:cs="Arial"/>
          <w:highlight w:val="yellow"/>
        </w:rPr>
        <w:t>LGA</w:t>
      </w:r>
      <w:r>
        <w:rPr>
          <w:rFonts w:ascii="Arial" w:hAnsi="Arial" w:cs="Arial"/>
        </w:rPr>
        <w:t>]</w:t>
      </w:r>
      <w:r w:rsidRPr="00427A53">
        <w:rPr>
          <w:rFonts w:ascii="Arial" w:hAnsi="Arial" w:cs="Arial"/>
        </w:rPr>
        <w:t xml:space="preserve"> have accommodated over 30% of Australia’s recent population growth but have received only around 15% of Federal infrastructure funding</w:t>
      </w:r>
      <w:r>
        <w:rPr>
          <w:rStyle w:val="FootnoteReference"/>
          <w:rFonts w:ascii="Arial" w:hAnsi="Arial" w:cs="Arial"/>
        </w:rPr>
        <w:footnoteReference w:id="2"/>
      </w:r>
      <w:r w:rsidRPr="00427A53">
        <w:rPr>
          <w:rFonts w:ascii="Arial" w:hAnsi="Arial" w:cs="Arial"/>
        </w:rPr>
        <w:t xml:space="preserve">. </w:t>
      </w:r>
    </w:p>
    <w:p w14:paraId="5FF8A11C" w14:textId="77777777" w:rsidR="00024AB3" w:rsidRDefault="00024AB3" w:rsidP="00024AB3">
      <w:pPr>
        <w:contextualSpacing/>
        <w:jc w:val="both"/>
        <w:rPr>
          <w:rFonts w:ascii="Arial" w:hAnsi="Arial" w:cs="Arial"/>
        </w:rPr>
      </w:pPr>
    </w:p>
    <w:p w14:paraId="60498663" w14:textId="77777777" w:rsidR="00024AB3" w:rsidRDefault="00024AB3" w:rsidP="00024AB3">
      <w:pPr>
        <w:contextualSpacing/>
        <w:jc w:val="both"/>
        <w:rPr>
          <w:rFonts w:ascii="Arial" w:hAnsi="Arial" w:cs="Arial"/>
        </w:rPr>
      </w:pPr>
      <w:r w:rsidRPr="00427A53">
        <w:rPr>
          <w:rFonts w:ascii="Arial" w:hAnsi="Arial" w:cs="Arial"/>
        </w:rPr>
        <w:t>This underfunding has created significant disparities between growth areas and non-growth areas in capital cities</w:t>
      </w:r>
      <w:r>
        <w:rPr>
          <w:rFonts w:ascii="Arial" w:hAnsi="Arial" w:cs="Arial"/>
        </w:rPr>
        <w:t xml:space="preserve"> in access to transport and social infrastructure and services that contributes to health and wellbeing. These disparities</w:t>
      </w:r>
      <w:r w:rsidRPr="00427A53">
        <w:rPr>
          <w:rFonts w:ascii="Arial" w:hAnsi="Arial" w:cs="Arial"/>
        </w:rPr>
        <w:t xml:space="preserve"> a</w:t>
      </w:r>
      <w:r>
        <w:rPr>
          <w:rFonts w:ascii="Arial" w:hAnsi="Arial" w:cs="Arial"/>
        </w:rPr>
        <w:t>re</w:t>
      </w:r>
      <w:r w:rsidRPr="00427A53">
        <w:rPr>
          <w:rFonts w:ascii="Arial" w:hAnsi="Arial" w:cs="Arial"/>
        </w:rPr>
        <w:t xml:space="preserve"> highlighted </w:t>
      </w:r>
      <w:r>
        <w:rPr>
          <w:rFonts w:ascii="Arial" w:hAnsi="Arial" w:cs="Arial"/>
        </w:rPr>
        <w:t>in</w:t>
      </w:r>
      <w:r w:rsidRPr="00427A53">
        <w:rPr>
          <w:rFonts w:ascii="Arial" w:hAnsi="Arial" w:cs="Arial"/>
        </w:rPr>
        <w:t xml:space="preserve"> </w:t>
      </w:r>
      <w:r>
        <w:rPr>
          <w:rFonts w:ascii="Arial" w:hAnsi="Arial" w:cs="Arial"/>
        </w:rPr>
        <w:t xml:space="preserve">analysis for </w:t>
      </w:r>
      <w:r w:rsidRPr="00427A53">
        <w:rPr>
          <w:rFonts w:ascii="Arial" w:hAnsi="Arial" w:cs="Arial"/>
        </w:rPr>
        <w:t xml:space="preserve">the </w:t>
      </w:r>
      <w:r>
        <w:rPr>
          <w:rFonts w:ascii="Arial" w:hAnsi="Arial" w:cs="Arial"/>
        </w:rPr>
        <w:t>NGAA</w:t>
      </w:r>
      <w:r w:rsidRPr="00427A53">
        <w:rPr>
          <w:rFonts w:ascii="Arial" w:hAnsi="Arial" w:cs="Arial"/>
        </w:rPr>
        <w:t xml:space="preserve"> </w:t>
      </w:r>
      <w:r>
        <w:rPr>
          <w:rFonts w:ascii="Arial" w:hAnsi="Arial" w:cs="Arial"/>
        </w:rPr>
        <w:t>by</w:t>
      </w:r>
      <w:r w:rsidRPr="00427A53">
        <w:rPr>
          <w:rFonts w:ascii="Arial" w:hAnsi="Arial" w:cs="Arial"/>
        </w:rPr>
        <w:t xml:space="preserve"> RMIT’s Australian Urban Observatory in their </w:t>
      </w:r>
      <w:r w:rsidRPr="00427A53">
        <w:rPr>
          <w:rFonts w:ascii="Arial" w:hAnsi="Arial" w:cs="Arial"/>
          <w:i/>
          <w:iCs/>
        </w:rPr>
        <w:t>City Liveability Scorecards for Growth Areas</w:t>
      </w:r>
      <w:r w:rsidRPr="00427A53">
        <w:rPr>
          <w:rFonts w:ascii="Arial" w:hAnsi="Arial" w:cs="Arial"/>
        </w:rPr>
        <w:t xml:space="preserve">. The Scorecards reinforce the urgent need for targeted investment to </w:t>
      </w:r>
      <w:r>
        <w:rPr>
          <w:rFonts w:ascii="Arial" w:hAnsi="Arial" w:cs="Arial"/>
        </w:rPr>
        <w:t>improve liveability in growing suburbs</w:t>
      </w:r>
      <w:r w:rsidRPr="00427A53">
        <w:rPr>
          <w:rFonts w:ascii="Arial" w:hAnsi="Arial" w:cs="Arial"/>
        </w:rPr>
        <w:t>.</w:t>
      </w:r>
    </w:p>
    <w:p w14:paraId="7FB56E49" w14:textId="77777777" w:rsidR="00024AB3" w:rsidRPr="00427A53" w:rsidRDefault="00024AB3" w:rsidP="00024AB3">
      <w:pPr>
        <w:contextualSpacing/>
        <w:jc w:val="both"/>
        <w:rPr>
          <w:rFonts w:ascii="Arial" w:hAnsi="Arial" w:cs="Arial"/>
        </w:rPr>
      </w:pPr>
    </w:p>
    <w:p w14:paraId="6E54DD0E" w14:textId="77777777" w:rsidR="00024AB3" w:rsidRDefault="00024AB3" w:rsidP="00024AB3">
      <w:pPr>
        <w:contextualSpacing/>
        <w:jc w:val="both"/>
        <w:rPr>
          <w:rFonts w:ascii="Arial" w:hAnsi="Arial" w:cs="Arial"/>
        </w:rPr>
      </w:pPr>
      <w:r w:rsidRPr="00427A53">
        <w:rPr>
          <w:rFonts w:ascii="Arial" w:hAnsi="Arial" w:cs="Arial"/>
        </w:rPr>
        <w:t>In response, the NGAA, representing more than 5.6 million people across Australia’s outer metropolitan growth areas</w:t>
      </w:r>
      <w:r>
        <w:rPr>
          <w:rFonts w:ascii="Arial" w:hAnsi="Arial" w:cs="Arial"/>
        </w:rPr>
        <w:t>,</w:t>
      </w:r>
      <w:r w:rsidRPr="00427A53">
        <w:rPr>
          <w:rFonts w:ascii="Arial" w:hAnsi="Arial" w:cs="Arial"/>
        </w:rPr>
        <w:t xml:space="preserve"> has released </w:t>
      </w:r>
      <w:r w:rsidRPr="00427A53">
        <w:rPr>
          <w:rFonts w:ascii="Arial" w:hAnsi="Arial" w:cs="Arial"/>
          <w:i/>
          <w:iCs/>
        </w:rPr>
        <w:t>Investment Solutions for Today’s Infrastructure Needs and Tomorrow’s Housing in Outer-Metropolitan Growth Areas</w:t>
      </w:r>
      <w:r w:rsidRPr="00427A53">
        <w:rPr>
          <w:rFonts w:ascii="Arial" w:hAnsi="Arial" w:cs="Arial"/>
        </w:rPr>
        <w:t xml:space="preserve">. </w:t>
      </w:r>
      <w:r w:rsidRPr="00427A53">
        <w:rPr>
          <w:rFonts w:ascii="Arial" w:hAnsi="Arial" w:cs="Arial"/>
        </w:rPr>
        <w:lastRenderedPageBreak/>
        <w:t>This report outlines three key recommendations for the Federal Government to address these challenges:</w:t>
      </w:r>
    </w:p>
    <w:p w14:paraId="48B149B6" w14:textId="77777777" w:rsidR="00024AB3" w:rsidRPr="00427A53" w:rsidRDefault="00024AB3" w:rsidP="00024AB3">
      <w:pPr>
        <w:contextualSpacing/>
        <w:jc w:val="both"/>
        <w:rPr>
          <w:rFonts w:ascii="Arial" w:hAnsi="Arial" w:cs="Arial"/>
        </w:rPr>
      </w:pPr>
    </w:p>
    <w:p w14:paraId="5465AD0C" w14:textId="77777777" w:rsidR="00024AB3" w:rsidRPr="00427A53" w:rsidRDefault="00024AB3" w:rsidP="00024AB3">
      <w:pPr>
        <w:pStyle w:val="ListParagraph"/>
        <w:numPr>
          <w:ilvl w:val="0"/>
          <w:numId w:val="2"/>
        </w:numPr>
        <w:spacing w:after="0" w:line="240" w:lineRule="auto"/>
        <w:jc w:val="both"/>
        <w:rPr>
          <w:rFonts w:ascii="Arial" w:hAnsi="Arial" w:cs="Arial"/>
        </w:rPr>
      </w:pPr>
      <w:r w:rsidRPr="732A217E">
        <w:rPr>
          <w:rFonts w:ascii="Arial" w:hAnsi="Arial" w:cs="Arial"/>
        </w:rPr>
        <w:t>Recognise outer metropolitan growth areas as regions requiring specific attention in Commonwealth funding programs.</w:t>
      </w:r>
    </w:p>
    <w:p w14:paraId="5BAC8EB5" w14:textId="77777777" w:rsidR="00024AB3" w:rsidRDefault="00024AB3" w:rsidP="00024AB3">
      <w:pPr>
        <w:pStyle w:val="ListParagraph"/>
        <w:numPr>
          <w:ilvl w:val="0"/>
          <w:numId w:val="2"/>
        </w:numPr>
        <w:spacing w:after="0" w:line="240" w:lineRule="auto"/>
        <w:jc w:val="both"/>
        <w:rPr>
          <w:rFonts w:ascii="Arial" w:hAnsi="Arial" w:cs="Arial"/>
        </w:rPr>
      </w:pPr>
      <w:r w:rsidRPr="732A217E">
        <w:rPr>
          <w:rFonts w:ascii="Arial" w:hAnsi="Arial" w:cs="Arial"/>
        </w:rPr>
        <w:t>Prioritise funding to invest in Australia’s growth</w:t>
      </w:r>
    </w:p>
    <w:p w14:paraId="05EB9E6F" w14:textId="77777777" w:rsidR="00024AB3" w:rsidRDefault="00024AB3" w:rsidP="00024AB3">
      <w:pPr>
        <w:pStyle w:val="ListParagraph"/>
        <w:numPr>
          <w:ilvl w:val="0"/>
          <w:numId w:val="2"/>
        </w:numPr>
        <w:spacing w:after="0" w:line="240" w:lineRule="auto"/>
        <w:jc w:val="both"/>
        <w:rPr>
          <w:rFonts w:ascii="Arial" w:hAnsi="Arial" w:cs="Arial"/>
        </w:rPr>
      </w:pPr>
      <w:r w:rsidRPr="00427A53">
        <w:rPr>
          <w:rFonts w:ascii="Arial" w:hAnsi="Arial" w:cs="Arial"/>
        </w:rPr>
        <w:t xml:space="preserve">Resource </w:t>
      </w:r>
      <w:r>
        <w:rPr>
          <w:rFonts w:ascii="Arial" w:hAnsi="Arial" w:cs="Arial"/>
        </w:rPr>
        <w:t xml:space="preserve">growth areas </w:t>
      </w:r>
      <w:r w:rsidRPr="00427A53">
        <w:rPr>
          <w:rFonts w:ascii="Arial" w:hAnsi="Arial" w:cs="Arial"/>
        </w:rPr>
        <w:t xml:space="preserve">equitably through a </w:t>
      </w:r>
      <w:r>
        <w:rPr>
          <w:rFonts w:ascii="Arial" w:hAnsi="Arial" w:cs="Arial"/>
        </w:rPr>
        <w:t xml:space="preserve">dedicated </w:t>
      </w:r>
      <w:r w:rsidRPr="00427A53">
        <w:rPr>
          <w:rFonts w:ascii="Arial" w:hAnsi="Arial" w:cs="Arial"/>
        </w:rPr>
        <w:t>national infrastructure investment framework.</w:t>
      </w:r>
    </w:p>
    <w:p w14:paraId="3B29B249" w14:textId="77777777" w:rsidR="00024AB3" w:rsidRPr="00427A53" w:rsidRDefault="00024AB3" w:rsidP="00024AB3">
      <w:pPr>
        <w:pStyle w:val="ListParagraph"/>
        <w:jc w:val="both"/>
        <w:rPr>
          <w:rFonts w:ascii="Arial" w:hAnsi="Arial" w:cs="Arial"/>
        </w:rPr>
      </w:pPr>
    </w:p>
    <w:p w14:paraId="49A96992" w14:textId="77777777" w:rsidR="00024AB3" w:rsidRDefault="00024AB3" w:rsidP="00024AB3">
      <w:pPr>
        <w:contextualSpacing/>
        <w:jc w:val="both"/>
        <w:rPr>
          <w:rFonts w:ascii="Arial" w:hAnsi="Arial" w:cs="Arial"/>
        </w:rPr>
      </w:pPr>
      <w:r w:rsidRPr="56F21D1B">
        <w:rPr>
          <w:rFonts w:ascii="Arial" w:hAnsi="Arial" w:cs="Arial"/>
        </w:rPr>
        <w:t>A review of international research conducted by Western Sydney University shows that national governments including in the United Kingdom, Canada, and in the USA, have successfully implemented infrastructure funding models that deliver services in line with population growth. These models provide evidence of the social and economic benefits that can be generated from long-term, stable funding frameworks. Australia must adopt similar best practices to ensure our newest communities can thrive and make a substantial contribution to future national prosperity</w:t>
      </w:r>
      <w:r>
        <w:rPr>
          <w:rFonts w:ascii="Arial" w:hAnsi="Arial" w:cs="Arial"/>
        </w:rPr>
        <w:t>.</w:t>
      </w:r>
    </w:p>
    <w:p w14:paraId="0343D1B8" w14:textId="77777777" w:rsidR="00024AB3" w:rsidRPr="00427A53" w:rsidRDefault="00024AB3" w:rsidP="00024AB3">
      <w:pPr>
        <w:contextualSpacing/>
        <w:jc w:val="both"/>
        <w:rPr>
          <w:rFonts w:ascii="Arial" w:hAnsi="Arial" w:cs="Arial"/>
        </w:rPr>
      </w:pPr>
    </w:p>
    <w:p w14:paraId="5BD144DA" w14:textId="77777777" w:rsidR="00024AB3" w:rsidRDefault="00024AB3" w:rsidP="00024AB3">
      <w:pPr>
        <w:contextualSpacing/>
        <w:jc w:val="both"/>
        <w:rPr>
          <w:rFonts w:ascii="Arial" w:hAnsi="Arial" w:cs="Arial"/>
        </w:rPr>
      </w:pPr>
      <w:r w:rsidRPr="732A217E">
        <w:rPr>
          <w:rFonts w:ascii="Arial" w:hAnsi="Arial" w:cs="Arial"/>
        </w:rPr>
        <w:t>NGAA CEO Bronwen Clark emphasised the importance of Federal Government intervention</w:t>
      </w:r>
      <w:r>
        <w:rPr>
          <w:rFonts w:ascii="Arial" w:hAnsi="Arial" w:cs="Arial"/>
        </w:rPr>
        <w:t>:</w:t>
      </w:r>
    </w:p>
    <w:p w14:paraId="064B4434" w14:textId="77777777" w:rsidR="00024AB3" w:rsidRDefault="00024AB3" w:rsidP="00024AB3">
      <w:pPr>
        <w:contextualSpacing/>
        <w:jc w:val="both"/>
        <w:rPr>
          <w:rFonts w:ascii="Arial" w:hAnsi="Arial" w:cs="Arial"/>
        </w:rPr>
      </w:pPr>
    </w:p>
    <w:p w14:paraId="108443AE" w14:textId="77777777" w:rsidR="00024AB3" w:rsidRDefault="00024AB3" w:rsidP="00024AB3">
      <w:pPr>
        <w:contextualSpacing/>
        <w:jc w:val="both"/>
        <w:rPr>
          <w:rFonts w:ascii="Arial" w:hAnsi="Arial" w:cs="Arial"/>
        </w:rPr>
      </w:pPr>
      <w:r>
        <w:rPr>
          <w:rFonts w:ascii="Arial" w:hAnsi="Arial" w:cs="Arial"/>
        </w:rPr>
        <w:t>“</w:t>
      </w:r>
      <w:r w:rsidRPr="732A217E">
        <w:rPr>
          <w:rFonts w:ascii="Arial" w:hAnsi="Arial" w:cs="Arial"/>
        </w:rPr>
        <w:t xml:space="preserve">Australia’s </w:t>
      </w:r>
      <w:r>
        <w:rPr>
          <w:rFonts w:ascii="Arial" w:hAnsi="Arial" w:cs="Arial"/>
        </w:rPr>
        <w:t>G</w:t>
      </w:r>
      <w:r w:rsidRPr="732A217E">
        <w:rPr>
          <w:rFonts w:ascii="Arial" w:hAnsi="Arial" w:cs="Arial"/>
        </w:rPr>
        <w:t xml:space="preserve">rowth </w:t>
      </w:r>
      <w:r>
        <w:rPr>
          <w:rFonts w:ascii="Arial" w:hAnsi="Arial" w:cs="Arial"/>
        </w:rPr>
        <w:t>A</w:t>
      </w:r>
      <w:r w:rsidRPr="732A217E">
        <w:rPr>
          <w:rFonts w:ascii="Arial" w:hAnsi="Arial" w:cs="Arial"/>
        </w:rPr>
        <w:t xml:space="preserve">reas are home to young families, essential workers, and the future workforce of the nation. These communities require infrastructure and services that match the scale of growth. Recent Federal funding has been welcomed by our </w:t>
      </w:r>
      <w:proofErr w:type="gramStart"/>
      <w:r w:rsidRPr="732A217E">
        <w:rPr>
          <w:rFonts w:ascii="Arial" w:hAnsi="Arial" w:cs="Arial"/>
        </w:rPr>
        <w:t>members</w:t>
      </w:r>
      <w:proofErr w:type="gramEnd"/>
      <w:r w:rsidRPr="732A217E">
        <w:rPr>
          <w:rFonts w:ascii="Arial" w:hAnsi="Arial" w:cs="Arial"/>
        </w:rPr>
        <w:t>, however more targeted investment is crucial.  By prioritising growth areas, we can unlock additional housing, bridge the infrastructure gap and enhance the liveability of our communities for the long term</w:t>
      </w:r>
      <w:r>
        <w:rPr>
          <w:rFonts w:ascii="Arial" w:hAnsi="Arial" w:cs="Arial"/>
        </w:rPr>
        <w:t>,” she says.</w:t>
      </w:r>
      <w:r w:rsidRPr="732A217E">
        <w:rPr>
          <w:rFonts w:ascii="Arial" w:hAnsi="Arial" w:cs="Arial"/>
        </w:rPr>
        <w:t xml:space="preserve"> </w:t>
      </w:r>
    </w:p>
    <w:p w14:paraId="3D2513F2" w14:textId="77777777" w:rsidR="00024AB3" w:rsidRDefault="00024AB3" w:rsidP="00024AB3">
      <w:pPr>
        <w:contextualSpacing/>
        <w:jc w:val="both"/>
        <w:rPr>
          <w:rFonts w:ascii="Arial" w:hAnsi="Arial" w:cs="Arial"/>
        </w:rPr>
      </w:pPr>
    </w:p>
    <w:p w14:paraId="527B0B6C" w14:textId="77777777" w:rsidR="00024AB3" w:rsidRPr="00427A53" w:rsidRDefault="00024AB3" w:rsidP="00024AB3">
      <w:pPr>
        <w:contextualSpacing/>
        <w:jc w:val="both"/>
        <w:rPr>
          <w:rFonts w:ascii="Arial" w:hAnsi="Arial" w:cs="Arial"/>
        </w:rPr>
      </w:pPr>
      <w:r>
        <w:rPr>
          <w:rFonts w:ascii="Arial" w:hAnsi="Arial" w:cs="Arial"/>
        </w:rPr>
        <w:t xml:space="preserve">OPTION 2: </w:t>
      </w:r>
      <w:r w:rsidRPr="0C72A8B7">
        <w:rPr>
          <w:rFonts w:ascii="Arial" w:hAnsi="Arial" w:cs="Arial"/>
        </w:rPr>
        <w:t>Recent Federal</w:t>
      </w:r>
      <w:r>
        <w:rPr>
          <w:rFonts w:ascii="Arial" w:hAnsi="Arial" w:cs="Arial"/>
        </w:rPr>
        <w:t xml:space="preserve"> funding has been welcomed by our members, including here at [</w:t>
      </w:r>
      <w:r w:rsidRPr="00360CC5">
        <w:rPr>
          <w:rFonts w:ascii="Arial" w:hAnsi="Arial" w:cs="Arial"/>
          <w:highlight w:val="yellow"/>
        </w:rPr>
        <w:t>LGA</w:t>
      </w:r>
      <w:r>
        <w:rPr>
          <w:rFonts w:ascii="Arial" w:hAnsi="Arial" w:cs="Arial"/>
        </w:rPr>
        <w:t>] where $</w:t>
      </w:r>
      <w:proofErr w:type="gramStart"/>
      <w:r w:rsidRPr="00360CC5">
        <w:rPr>
          <w:rFonts w:ascii="Arial" w:hAnsi="Arial" w:cs="Arial"/>
          <w:highlight w:val="yellow"/>
        </w:rPr>
        <w:t>XXX,XXX</w:t>
      </w:r>
      <w:proofErr w:type="gramEnd"/>
      <w:r>
        <w:rPr>
          <w:rFonts w:ascii="Arial" w:hAnsi="Arial" w:cs="Arial"/>
        </w:rPr>
        <w:t xml:space="preserve"> has been invested to deliver [</w:t>
      </w:r>
      <w:r w:rsidRPr="00360CC5">
        <w:rPr>
          <w:rFonts w:ascii="Arial" w:hAnsi="Arial" w:cs="Arial"/>
          <w:highlight w:val="yellow"/>
        </w:rPr>
        <w:t>insert project</w:t>
      </w:r>
      <w:r>
        <w:rPr>
          <w:rFonts w:ascii="Arial" w:hAnsi="Arial" w:cs="Arial"/>
        </w:rPr>
        <w:t xml:space="preserve">]. However, more targeted investment is crucial. </w:t>
      </w:r>
    </w:p>
    <w:p w14:paraId="55720646" w14:textId="77777777" w:rsidR="00024AB3" w:rsidRPr="00427A53" w:rsidRDefault="00024AB3" w:rsidP="00024AB3">
      <w:pPr>
        <w:contextualSpacing/>
        <w:jc w:val="both"/>
        <w:rPr>
          <w:rFonts w:ascii="Arial" w:hAnsi="Arial" w:cs="Arial"/>
        </w:rPr>
      </w:pPr>
    </w:p>
    <w:p w14:paraId="126795AE" w14:textId="77777777" w:rsidR="00024AB3" w:rsidRDefault="00024AB3" w:rsidP="00024AB3">
      <w:pPr>
        <w:contextualSpacing/>
        <w:jc w:val="both"/>
        <w:rPr>
          <w:rFonts w:ascii="Arial" w:hAnsi="Arial" w:cs="Arial"/>
        </w:rPr>
      </w:pPr>
      <w:r w:rsidRPr="00427A53">
        <w:rPr>
          <w:rFonts w:ascii="Arial" w:hAnsi="Arial" w:cs="Arial"/>
        </w:rPr>
        <w:t>[</w:t>
      </w:r>
      <w:r w:rsidRPr="00360CC5">
        <w:rPr>
          <w:rFonts w:ascii="Arial" w:hAnsi="Arial" w:cs="Arial"/>
          <w:highlight w:val="yellow"/>
        </w:rPr>
        <w:t>Insert details on local advocacy priorities, projects, events, candidate meetings or community initiatives</w:t>
      </w:r>
      <w:r w:rsidRPr="00427A53">
        <w:rPr>
          <w:rFonts w:ascii="Arial" w:hAnsi="Arial" w:cs="Arial"/>
        </w:rPr>
        <w:t>]</w:t>
      </w:r>
    </w:p>
    <w:p w14:paraId="2AE5FD6B" w14:textId="77777777" w:rsidR="00024AB3" w:rsidRPr="00427A53" w:rsidRDefault="00024AB3" w:rsidP="00024AB3">
      <w:pPr>
        <w:contextualSpacing/>
        <w:jc w:val="both"/>
        <w:rPr>
          <w:rFonts w:ascii="Arial" w:hAnsi="Arial" w:cs="Arial"/>
        </w:rPr>
      </w:pPr>
    </w:p>
    <w:p w14:paraId="5437B71B" w14:textId="77777777" w:rsidR="00024AB3" w:rsidRDefault="00024AB3" w:rsidP="00024AB3">
      <w:pPr>
        <w:contextualSpacing/>
        <w:jc w:val="both"/>
        <w:rPr>
          <w:rFonts w:ascii="Arial" w:hAnsi="Arial" w:cs="Arial"/>
        </w:rPr>
      </w:pPr>
      <w:r w:rsidRPr="00427A53">
        <w:rPr>
          <w:rFonts w:ascii="Arial" w:hAnsi="Arial" w:cs="Arial"/>
        </w:rPr>
        <w:t xml:space="preserve">For access to NGAA’s report and associated research, please visit: </w:t>
      </w:r>
      <w:hyperlink r:id="rId14" w:history="1">
        <w:r w:rsidRPr="00360CC5">
          <w:rPr>
            <w:rStyle w:val="Hyperlink"/>
            <w:rFonts w:ascii="Arial" w:hAnsi="Arial" w:cs="Arial"/>
          </w:rPr>
          <w:t>ngaa.org.au/advocacy</w:t>
        </w:r>
      </w:hyperlink>
    </w:p>
    <w:p w14:paraId="78785A5A" w14:textId="77777777" w:rsidR="00024AB3" w:rsidRDefault="00024AB3" w:rsidP="00024AB3">
      <w:pPr>
        <w:contextualSpacing/>
        <w:jc w:val="both"/>
        <w:rPr>
          <w:rFonts w:ascii="Arial" w:hAnsi="Arial" w:cs="Arial"/>
        </w:rPr>
      </w:pPr>
    </w:p>
    <w:p w14:paraId="3C2F1CD7" w14:textId="77777777" w:rsidR="00024AB3" w:rsidRPr="0028066F" w:rsidRDefault="00024AB3" w:rsidP="00024AB3">
      <w:pPr>
        <w:contextualSpacing/>
        <w:jc w:val="center"/>
        <w:rPr>
          <w:rFonts w:ascii="Arial" w:hAnsi="Arial" w:cs="Arial"/>
          <w:b/>
          <w:bCs/>
        </w:rPr>
      </w:pPr>
      <w:r w:rsidRPr="0028066F">
        <w:rPr>
          <w:rFonts w:ascii="Arial" w:hAnsi="Arial" w:cs="Arial"/>
          <w:b/>
          <w:bCs/>
        </w:rPr>
        <w:t>-ENDS-</w:t>
      </w:r>
    </w:p>
    <w:p w14:paraId="76723E8A" w14:textId="77777777" w:rsidR="00024AB3" w:rsidRDefault="00024AB3" w:rsidP="00024AB3">
      <w:pPr>
        <w:contextualSpacing/>
        <w:jc w:val="both"/>
        <w:rPr>
          <w:rFonts w:ascii="Arial" w:hAnsi="Arial" w:cs="Arial"/>
        </w:rPr>
      </w:pPr>
    </w:p>
    <w:p w14:paraId="17D63D8E" w14:textId="77777777" w:rsidR="00024AB3" w:rsidRDefault="00024AB3" w:rsidP="00024AB3">
      <w:pPr>
        <w:contextualSpacing/>
        <w:jc w:val="both"/>
        <w:rPr>
          <w:rFonts w:ascii="Arial" w:hAnsi="Arial" w:cs="Arial"/>
        </w:rPr>
      </w:pPr>
      <w:r>
        <w:rPr>
          <w:rFonts w:ascii="Arial" w:hAnsi="Arial" w:cs="Arial"/>
        </w:rPr>
        <w:t>For more information or to arrange an interview with [</w:t>
      </w:r>
      <w:r w:rsidRPr="0028066F">
        <w:rPr>
          <w:rFonts w:ascii="Arial" w:hAnsi="Arial" w:cs="Arial"/>
          <w:highlight w:val="yellow"/>
        </w:rPr>
        <w:t>spokesperson</w:t>
      </w:r>
      <w:r>
        <w:rPr>
          <w:rFonts w:ascii="Arial" w:hAnsi="Arial" w:cs="Arial"/>
        </w:rPr>
        <w:t>] or NGAA CEO, Bronwen Clark, please contact:</w:t>
      </w:r>
    </w:p>
    <w:p w14:paraId="11042929" w14:textId="77777777" w:rsidR="00024AB3" w:rsidRDefault="00024AB3" w:rsidP="00024AB3">
      <w:pPr>
        <w:contextualSpacing/>
        <w:jc w:val="both"/>
        <w:rPr>
          <w:rFonts w:ascii="Arial" w:hAnsi="Arial" w:cs="Arial"/>
        </w:rPr>
      </w:pPr>
      <w:r>
        <w:rPr>
          <w:rFonts w:ascii="Arial" w:hAnsi="Arial" w:cs="Arial"/>
        </w:rPr>
        <w:t>[</w:t>
      </w:r>
      <w:r w:rsidRPr="0028066F">
        <w:rPr>
          <w:rFonts w:ascii="Arial" w:hAnsi="Arial" w:cs="Arial"/>
          <w:highlight w:val="yellow"/>
        </w:rPr>
        <w:t>Name</w:t>
      </w:r>
      <w:r>
        <w:rPr>
          <w:rFonts w:ascii="Arial" w:hAnsi="Arial" w:cs="Arial"/>
        </w:rPr>
        <w:t>], [</w:t>
      </w:r>
      <w:r w:rsidRPr="0028066F">
        <w:rPr>
          <w:rFonts w:ascii="Arial" w:hAnsi="Arial" w:cs="Arial"/>
          <w:highlight w:val="yellow"/>
        </w:rPr>
        <w:t>position</w:t>
      </w:r>
      <w:r>
        <w:rPr>
          <w:rFonts w:ascii="Arial" w:hAnsi="Arial" w:cs="Arial"/>
        </w:rPr>
        <w:t>]</w:t>
      </w:r>
    </w:p>
    <w:p w14:paraId="67ABC2B0" w14:textId="77777777" w:rsidR="00024AB3" w:rsidRDefault="00024AB3" w:rsidP="00024AB3">
      <w:pPr>
        <w:contextualSpacing/>
        <w:jc w:val="both"/>
        <w:rPr>
          <w:rFonts w:ascii="Arial" w:hAnsi="Arial" w:cs="Arial"/>
        </w:rPr>
      </w:pPr>
      <w:r>
        <w:rPr>
          <w:rFonts w:ascii="Arial" w:hAnsi="Arial" w:cs="Arial"/>
        </w:rPr>
        <w:lastRenderedPageBreak/>
        <w:t xml:space="preserve">Tel: </w:t>
      </w:r>
      <w:r w:rsidRPr="0028066F">
        <w:rPr>
          <w:rFonts w:ascii="Arial" w:hAnsi="Arial" w:cs="Arial"/>
          <w:highlight w:val="yellow"/>
        </w:rPr>
        <w:t>XX</w:t>
      </w:r>
    </w:p>
    <w:p w14:paraId="4358CE00" w14:textId="77777777" w:rsidR="00024AB3" w:rsidRDefault="00024AB3" w:rsidP="00024AB3">
      <w:pPr>
        <w:contextualSpacing/>
        <w:jc w:val="both"/>
        <w:rPr>
          <w:rFonts w:ascii="Arial" w:hAnsi="Arial" w:cs="Arial"/>
        </w:rPr>
      </w:pPr>
      <w:r>
        <w:rPr>
          <w:rFonts w:ascii="Arial" w:hAnsi="Arial" w:cs="Arial"/>
        </w:rPr>
        <w:t xml:space="preserve">Email: </w:t>
      </w:r>
      <w:r w:rsidRPr="0028066F">
        <w:rPr>
          <w:rFonts w:ascii="Arial" w:hAnsi="Arial" w:cs="Arial"/>
          <w:highlight w:val="yellow"/>
        </w:rPr>
        <w:t>XX</w:t>
      </w:r>
    </w:p>
    <w:p w14:paraId="40E3BDB3" w14:textId="77777777" w:rsidR="00024AB3" w:rsidRDefault="00024AB3" w:rsidP="00024AB3">
      <w:pPr>
        <w:contextualSpacing/>
        <w:jc w:val="both"/>
        <w:rPr>
          <w:rFonts w:ascii="Arial" w:hAnsi="Arial" w:cs="Arial"/>
        </w:rPr>
      </w:pPr>
    </w:p>
    <w:p w14:paraId="7BF164D9" w14:textId="77777777" w:rsidR="00024AB3" w:rsidRDefault="00024AB3" w:rsidP="00024AB3">
      <w:pPr>
        <w:contextualSpacing/>
        <w:jc w:val="both"/>
        <w:rPr>
          <w:rFonts w:ascii="Arial" w:hAnsi="Arial" w:cs="Arial"/>
          <w:b/>
          <w:bCs/>
        </w:rPr>
      </w:pPr>
      <w:r>
        <w:rPr>
          <w:rFonts w:ascii="Arial" w:hAnsi="Arial" w:cs="Arial"/>
          <w:b/>
          <w:bCs/>
        </w:rPr>
        <w:t>About [</w:t>
      </w:r>
      <w:r w:rsidRPr="00B55F28">
        <w:rPr>
          <w:rFonts w:ascii="Arial" w:hAnsi="Arial" w:cs="Arial"/>
          <w:b/>
          <w:bCs/>
          <w:highlight w:val="yellow"/>
        </w:rPr>
        <w:t>LGA</w:t>
      </w:r>
      <w:r>
        <w:rPr>
          <w:rFonts w:ascii="Arial" w:hAnsi="Arial" w:cs="Arial"/>
          <w:b/>
          <w:bCs/>
        </w:rPr>
        <w:t>]</w:t>
      </w:r>
    </w:p>
    <w:p w14:paraId="76B6DD74" w14:textId="77777777" w:rsidR="00024AB3" w:rsidRPr="00E4542C" w:rsidRDefault="00024AB3" w:rsidP="00024AB3">
      <w:pPr>
        <w:contextualSpacing/>
        <w:jc w:val="both"/>
        <w:rPr>
          <w:rFonts w:ascii="Arial" w:hAnsi="Arial" w:cs="Arial"/>
        </w:rPr>
      </w:pPr>
      <w:r w:rsidRPr="00E4542C">
        <w:rPr>
          <w:rFonts w:ascii="Arial" w:hAnsi="Arial" w:cs="Arial"/>
          <w:highlight w:val="yellow"/>
        </w:rPr>
        <w:t>XX</w:t>
      </w:r>
    </w:p>
    <w:p w14:paraId="605A9876" w14:textId="77777777" w:rsidR="00024AB3" w:rsidRDefault="00024AB3" w:rsidP="00024AB3">
      <w:pPr>
        <w:contextualSpacing/>
        <w:jc w:val="both"/>
        <w:rPr>
          <w:rFonts w:ascii="Arial" w:hAnsi="Arial" w:cs="Arial"/>
          <w:b/>
          <w:bCs/>
        </w:rPr>
      </w:pPr>
    </w:p>
    <w:p w14:paraId="0E97C14F" w14:textId="77777777" w:rsidR="00024AB3" w:rsidRPr="00E4542C" w:rsidRDefault="00024AB3" w:rsidP="00024AB3">
      <w:pPr>
        <w:contextualSpacing/>
        <w:jc w:val="both"/>
        <w:rPr>
          <w:rFonts w:ascii="Arial" w:hAnsi="Arial" w:cs="Arial"/>
          <w:b/>
          <w:bCs/>
        </w:rPr>
      </w:pPr>
      <w:r w:rsidRPr="00E4542C">
        <w:rPr>
          <w:rFonts w:ascii="Arial" w:hAnsi="Arial" w:cs="Arial"/>
          <w:b/>
          <w:bCs/>
        </w:rPr>
        <w:t>About the National Growth Areas Alliance</w:t>
      </w:r>
    </w:p>
    <w:p w14:paraId="6EDFB063" w14:textId="77777777" w:rsidR="00024AB3" w:rsidRPr="00E4542C" w:rsidRDefault="00024AB3" w:rsidP="00024AB3">
      <w:pPr>
        <w:contextualSpacing/>
        <w:jc w:val="both"/>
        <w:rPr>
          <w:rFonts w:ascii="Arial" w:hAnsi="Arial" w:cs="Arial"/>
          <w:color w:val="000000" w:themeColor="text1"/>
        </w:rPr>
      </w:pPr>
      <w:r w:rsidRPr="00E4542C">
        <w:rPr>
          <w:rFonts w:ascii="Arial" w:hAnsi="Arial" w:cs="Arial"/>
          <w:color w:val="000000" w:themeColor="text1"/>
        </w:rPr>
        <w:t xml:space="preserve">The NGAA is the peak body for local governments in Australia’s outer metropolitan Growth Areas, advocating to state and federal governments </w:t>
      </w:r>
      <w:proofErr w:type="gramStart"/>
      <w:r w:rsidRPr="00E4542C">
        <w:rPr>
          <w:rFonts w:ascii="Arial" w:hAnsi="Arial" w:cs="Arial"/>
          <w:color w:val="000000" w:themeColor="text1"/>
        </w:rPr>
        <w:t>in regard to</w:t>
      </w:r>
      <w:proofErr w:type="gramEnd"/>
      <w:r w:rsidRPr="00E4542C">
        <w:rPr>
          <w:rFonts w:ascii="Arial" w:hAnsi="Arial" w:cs="Arial"/>
          <w:color w:val="000000" w:themeColor="text1"/>
        </w:rPr>
        <w:t xml:space="preserve"> Growth Area challenges and opportunities. The Alliance represents more than five million people living in Australia’s fast-growing suburbs and cities, united by the shared experiences of population growth rates at double the national average and long-term under-investment in vital infrastructure.</w:t>
      </w:r>
    </w:p>
    <w:p w14:paraId="167ECB1E" w14:textId="77777777" w:rsidR="00024AB3" w:rsidRPr="00E4542C" w:rsidRDefault="00024AB3" w:rsidP="00024AB3">
      <w:pPr>
        <w:contextualSpacing/>
        <w:jc w:val="both"/>
        <w:rPr>
          <w:rFonts w:ascii="Arial" w:hAnsi="Arial" w:cs="Arial"/>
        </w:rPr>
      </w:pPr>
    </w:p>
    <w:p w14:paraId="1942E8D6" w14:textId="77777777" w:rsidR="00024AB3" w:rsidRPr="00E4542C" w:rsidRDefault="00024AB3" w:rsidP="00024AB3">
      <w:pPr>
        <w:contextualSpacing/>
        <w:jc w:val="both"/>
        <w:rPr>
          <w:rFonts w:ascii="Arial" w:hAnsi="Arial" w:cs="Arial"/>
          <w:b/>
          <w:bCs/>
        </w:rPr>
      </w:pPr>
      <w:r w:rsidRPr="00E4542C">
        <w:rPr>
          <w:rFonts w:ascii="Arial" w:hAnsi="Arial" w:cs="Arial"/>
          <w:b/>
          <w:bCs/>
        </w:rPr>
        <w:t>About the research</w:t>
      </w:r>
    </w:p>
    <w:p w14:paraId="36EB104A" w14:textId="77777777" w:rsidR="00024AB3" w:rsidRPr="00E4542C" w:rsidRDefault="00024AB3" w:rsidP="00024AB3">
      <w:pPr>
        <w:contextualSpacing/>
        <w:jc w:val="both"/>
        <w:rPr>
          <w:rFonts w:ascii="Arial" w:hAnsi="Arial" w:cs="Arial"/>
        </w:rPr>
      </w:pPr>
      <w:r w:rsidRPr="00E4542C">
        <w:rPr>
          <w:rFonts w:ascii="Arial" w:hAnsi="Arial" w:cs="Arial"/>
        </w:rPr>
        <w:t>The National Growth Areas Alliance, in partnership with the RMIT Australian Urban Observatory (AUO), has analysed key measures of liveability that draw on over 10 years of policy-relevant, academic research into the relationships between the built environment and health, wellbeing, social equity and the UN Sustainable Development Goals.</w:t>
      </w:r>
    </w:p>
    <w:p w14:paraId="72DCC9B6" w14:textId="77777777" w:rsidR="00024AB3" w:rsidRPr="00E4542C" w:rsidRDefault="00024AB3" w:rsidP="00024AB3">
      <w:pPr>
        <w:contextualSpacing/>
        <w:jc w:val="both"/>
        <w:rPr>
          <w:rFonts w:ascii="Arial" w:hAnsi="Arial" w:cs="Arial"/>
        </w:rPr>
      </w:pPr>
    </w:p>
    <w:p w14:paraId="1B333B5D" w14:textId="77777777" w:rsidR="00024AB3" w:rsidRPr="001E378E" w:rsidRDefault="00024AB3" w:rsidP="00024AB3">
      <w:pPr>
        <w:contextualSpacing/>
        <w:jc w:val="both"/>
        <w:rPr>
          <w:rFonts w:ascii="Arial" w:hAnsi="Arial" w:cs="Arial"/>
        </w:rPr>
      </w:pPr>
      <w:r w:rsidRPr="00E4542C">
        <w:rPr>
          <w:rFonts w:ascii="Arial" w:hAnsi="Arial" w:cs="Arial"/>
        </w:rPr>
        <w:t>This analysis comprised comparisons between Growth Areas and Non-Growth Areas across Australia’s state capitals using AUO’s City Liveability Scorecards. These highlight liveability inequity across Australian cities to help identify areas where liveability could be enhanced through targeted policy and planning action and investment.</w:t>
      </w:r>
    </w:p>
    <w:p w14:paraId="17791629" w14:textId="77777777" w:rsidR="00024AB3" w:rsidRDefault="00024AB3" w:rsidP="00024AB3">
      <w:pPr>
        <w:rPr>
          <w:rFonts w:ascii="Arial" w:hAnsi="Arial" w:cs="Arial"/>
          <w:b/>
          <w:bCs/>
        </w:rPr>
      </w:pPr>
      <w:r>
        <w:br w:type="page"/>
      </w:r>
    </w:p>
    <w:p w14:paraId="0DD36274" w14:textId="77777777" w:rsidR="00722637" w:rsidRDefault="00722637">
      <w:r>
        <w:lastRenderedPageBreak/>
        <w:br w:type="page"/>
      </w:r>
    </w:p>
    <w:p w14:paraId="36327674" w14:textId="77777777" w:rsidR="000B360B" w:rsidRPr="00A24F79" w:rsidRDefault="000B360B" w:rsidP="000B360B">
      <w:pPr>
        <w:pStyle w:val="Heading2"/>
        <w:contextualSpacing/>
        <w:rPr>
          <w:color w:val="9F1F63"/>
          <w:sz w:val="32"/>
          <w:szCs w:val="32"/>
        </w:rPr>
      </w:pPr>
      <w:bookmarkStart w:id="4" w:name="_Template_Letter_to"/>
      <w:bookmarkStart w:id="5" w:name="_Media_Pitch"/>
      <w:bookmarkEnd w:id="4"/>
      <w:bookmarkEnd w:id="5"/>
      <w:r w:rsidRPr="00A24F79">
        <w:rPr>
          <w:color w:val="9F1F63"/>
          <w:sz w:val="32"/>
          <w:szCs w:val="32"/>
        </w:rPr>
        <w:lastRenderedPageBreak/>
        <w:t>Media Pitch</w:t>
      </w:r>
    </w:p>
    <w:p w14:paraId="48F70C91" w14:textId="77777777" w:rsidR="000B360B" w:rsidRPr="001E378E" w:rsidRDefault="000B360B" w:rsidP="000B360B">
      <w:pPr>
        <w:contextualSpacing/>
      </w:pPr>
    </w:p>
    <w:p w14:paraId="48A9FB01" w14:textId="77777777" w:rsidR="000B360B" w:rsidRPr="00C74DAA" w:rsidRDefault="000B360B" w:rsidP="000B360B">
      <w:pPr>
        <w:contextualSpacing/>
        <w:rPr>
          <w:rFonts w:ascii="Arial" w:hAnsi="Arial" w:cs="Arial"/>
          <w:b/>
          <w:bCs/>
        </w:rPr>
      </w:pPr>
      <w:r w:rsidRPr="00C74DAA">
        <w:rPr>
          <w:rFonts w:ascii="Arial" w:hAnsi="Arial" w:cs="Arial"/>
          <w:b/>
          <w:bCs/>
        </w:rPr>
        <w:t>Subject: Local Growth Areas Key to Winning Federal Election Votes</w:t>
      </w:r>
    </w:p>
    <w:p w14:paraId="3C0F3785" w14:textId="77777777" w:rsidR="000B360B" w:rsidRDefault="000B360B" w:rsidP="000B360B">
      <w:pPr>
        <w:contextualSpacing/>
        <w:rPr>
          <w:rFonts w:ascii="Arial" w:hAnsi="Arial" w:cs="Arial"/>
        </w:rPr>
      </w:pPr>
    </w:p>
    <w:p w14:paraId="2ED1C135" w14:textId="77777777" w:rsidR="000B360B" w:rsidRPr="00C74DAA" w:rsidRDefault="000B360B" w:rsidP="000B360B">
      <w:pPr>
        <w:contextualSpacing/>
        <w:rPr>
          <w:rFonts w:ascii="Arial" w:hAnsi="Arial" w:cs="Arial"/>
        </w:rPr>
      </w:pPr>
      <w:r w:rsidRPr="00C74DAA">
        <w:rPr>
          <w:rFonts w:ascii="Arial" w:hAnsi="Arial" w:cs="Arial"/>
        </w:rPr>
        <w:t>Hi [</w:t>
      </w:r>
      <w:r w:rsidRPr="00B9496B">
        <w:rPr>
          <w:rFonts w:ascii="Arial" w:hAnsi="Arial" w:cs="Arial"/>
          <w:highlight w:val="yellow"/>
        </w:rPr>
        <w:t>Journalist Name</w:t>
      </w:r>
      <w:r w:rsidRPr="00C74DAA">
        <w:rPr>
          <w:rFonts w:ascii="Arial" w:hAnsi="Arial" w:cs="Arial"/>
        </w:rPr>
        <w:t>],</w:t>
      </w:r>
    </w:p>
    <w:p w14:paraId="3FEDEA91" w14:textId="77777777" w:rsidR="000B360B" w:rsidRDefault="000B360B" w:rsidP="000B360B">
      <w:pPr>
        <w:contextualSpacing/>
        <w:rPr>
          <w:rFonts w:ascii="Arial" w:hAnsi="Arial" w:cs="Arial"/>
        </w:rPr>
      </w:pPr>
    </w:p>
    <w:p w14:paraId="254C8E20" w14:textId="77777777" w:rsidR="000B360B" w:rsidRDefault="000B360B" w:rsidP="000B360B">
      <w:pPr>
        <w:contextualSpacing/>
        <w:jc w:val="both"/>
        <w:rPr>
          <w:rFonts w:ascii="Arial" w:hAnsi="Arial" w:cs="Arial"/>
        </w:rPr>
      </w:pPr>
      <w:r>
        <w:rPr>
          <w:rFonts w:ascii="Arial" w:hAnsi="Arial" w:cs="Arial"/>
        </w:rPr>
        <w:t>Growth Areas like [</w:t>
      </w:r>
      <w:r w:rsidRPr="00A82AE1">
        <w:rPr>
          <w:rFonts w:ascii="Arial" w:hAnsi="Arial" w:cs="Arial"/>
          <w:highlight w:val="yellow"/>
        </w:rPr>
        <w:t>LGA</w:t>
      </w:r>
      <w:r>
        <w:rPr>
          <w:rFonts w:ascii="Arial" w:hAnsi="Arial" w:cs="Arial"/>
        </w:rPr>
        <w:t>] will be critical battlegrounds in the coming Federal Election.</w:t>
      </w:r>
    </w:p>
    <w:p w14:paraId="04F5261D" w14:textId="77777777" w:rsidR="000B360B" w:rsidRDefault="000B360B" w:rsidP="000B360B">
      <w:pPr>
        <w:contextualSpacing/>
        <w:jc w:val="both"/>
        <w:rPr>
          <w:rFonts w:ascii="Arial" w:hAnsi="Arial" w:cs="Arial"/>
        </w:rPr>
      </w:pPr>
    </w:p>
    <w:p w14:paraId="4BC3DAC3" w14:textId="77777777" w:rsidR="000B360B" w:rsidRDefault="000B360B" w:rsidP="000B360B">
      <w:pPr>
        <w:contextualSpacing/>
        <w:jc w:val="both"/>
        <w:rPr>
          <w:rFonts w:ascii="Arial" w:hAnsi="Arial" w:cs="Arial"/>
        </w:rPr>
      </w:pPr>
      <w:r>
        <w:rPr>
          <w:rFonts w:ascii="Arial" w:hAnsi="Arial" w:cs="Arial"/>
        </w:rPr>
        <w:t xml:space="preserve">Home to 1-in-5 Australians, these cities and suburbs have huge voting potential and will be key to addressing national issues including cost-of-living and housing pressures. </w:t>
      </w:r>
    </w:p>
    <w:p w14:paraId="33AC3578" w14:textId="77777777" w:rsidR="000B360B" w:rsidRDefault="000B360B" w:rsidP="000B360B">
      <w:pPr>
        <w:contextualSpacing/>
        <w:jc w:val="both"/>
        <w:rPr>
          <w:rFonts w:ascii="Arial" w:hAnsi="Arial" w:cs="Arial"/>
        </w:rPr>
      </w:pPr>
    </w:p>
    <w:p w14:paraId="708C1322" w14:textId="77777777" w:rsidR="000B360B" w:rsidRDefault="000B360B" w:rsidP="000B360B">
      <w:pPr>
        <w:contextualSpacing/>
        <w:jc w:val="both"/>
        <w:rPr>
          <w:rFonts w:ascii="Arial" w:hAnsi="Arial" w:cs="Arial"/>
        </w:rPr>
      </w:pPr>
      <w:r w:rsidRPr="732A217E">
        <w:rPr>
          <w:rFonts w:ascii="Arial" w:hAnsi="Arial" w:cs="Arial"/>
        </w:rPr>
        <w:t xml:space="preserve">With strategic investment, Federal government can </w:t>
      </w:r>
      <w:r>
        <w:rPr>
          <w:rFonts w:ascii="Arial" w:hAnsi="Arial" w:cs="Arial"/>
        </w:rPr>
        <w:t xml:space="preserve">address these issues </w:t>
      </w:r>
      <w:r w:rsidRPr="732A217E">
        <w:rPr>
          <w:rFonts w:ascii="Arial" w:hAnsi="Arial" w:cs="Arial"/>
        </w:rPr>
        <w:t>through upgraded road networks, improved public transport, increased access to essential community services and facilities and more local job opportunities</w:t>
      </w:r>
      <w:r>
        <w:rPr>
          <w:rFonts w:ascii="Arial" w:hAnsi="Arial" w:cs="Arial"/>
        </w:rPr>
        <w:t>. Including [</w:t>
      </w:r>
      <w:r w:rsidRPr="00B7525B">
        <w:rPr>
          <w:rFonts w:ascii="Arial" w:hAnsi="Arial" w:cs="Arial"/>
          <w:highlight w:val="yellow"/>
        </w:rPr>
        <w:t>project</w:t>
      </w:r>
      <w:r>
        <w:rPr>
          <w:rFonts w:ascii="Arial" w:hAnsi="Arial" w:cs="Arial"/>
        </w:rPr>
        <w:t>] in [</w:t>
      </w:r>
      <w:r w:rsidRPr="00B7525B">
        <w:rPr>
          <w:rFonts w:ascii="Arial" w:hAnsi="Arial" w:cs="Arial"/>
          <w:highlight w:val="yellow"/>
        </w:rPr>
        <w:t>LGA</w:t>
      </w:r>
      <w:r>
        <w:rPr>
          <w:rFonts w:ascii="Arial" w:hAnsi="Arial" w:cs="Arial"/>
        </w:rPr>
        <w:t xml:space="preserve">] which </w:t>
      </w:r>
      <w:proofErr w:type="gramStart"/>
      <w:r>
        <w:rPr>
          <w:rFonts w:ascii="Arial" w:hAnsi="Arial" w:cs="Arial"/>
        </w:rPr>
        <w:t>has the opportunity to</w:t>
      </w:r>
      <w:proofErr w:type="gramEnd"/>
      <w:r>
        <w:rPr>
          <w:rFonts w:ascii="Arial" w:hAnsi="Arial" w:cs="Arial"/>
        </w:rPr>
        <w:t xml:space="preserve"> [</w:t>
      </w:r>
      <w:r w:rsidRPr="00B7525B">
        <w:rPr>
          <w:rFonts w:ascii="Arial" w:hAnsi="Arial" w:cs="Arial"/>
          <w:highlight w:val="yellow"/>
        </w:rPr>
        <w:t>impact</w:t>
      </w:r>
      <w:r>
        <w:rPr>
          <w:rFonts w:ascii="Arial" w:hAnsi="Arial" w:cs="Arial"/>
        </w:rPr>
        <w:t>].</w:t>
      </w:r>
    </w:p>
    <w:p w14:paraId="48C6F7B0" w14:textId="77777777" w:rsidR="000B360B" w:rsidRDefault="000B360B" w:rsidP="000B360B">
      <w:pPr>
        <w:contextualSpacing/>
        <w:jc w:val="both"/>
        <w:rPr>
          <w:rFonts w:ascii="Arial" w:hAnsi="Arial" w:cs="Arial"/>
        </w:rPr>
      </w:pPr>
    </w:p>
    <w:p w14:paraId="1418E9FD" w14:textId="77777777" w:rsidR="000B360B" w:rsidRDefault="000B360B" w:rsidP="000B360B">
      <w:pPr>
        <w:contextualSpacing/>
        <w:jc w:val="both"/>
        <w:rPr>
          <w:rFonts w:ascii="Arial" w:hAnsi="Arial" w:cs="Arial"/>
        </w:rPr>
      </w:pPr>
      <w:r>
        <w:rPr>
          <w:rFonts w:ascii="Arial" w:hAnsi="Arial" w:cs="Arial"/>
        </w:rPr>
        <w:t>According to research from the National Growth Areas Alliance (NGAA), [</w:t>
      </w:r>
      <w:r w:rsidRPr="00E9784E">
        <w:rPr>
          <w:rFonts w:ascii="Arial" w:hAnsi="Arial" w:cs="Arial"/>
          <w:highlight w:val="yellow"/>
        </w:rPr>
        <w:t>LGA</w:t>
      </w:r>
      <w:r>
        <w:rPr>
          <w:rFonts w:ascii="Arial" w:hAnsi="Arial" w:cs="Arial"/>
        </w:rPr>
        <w:t>] isn’t alone in suffering from huge gaps in access to basic infrastructure. Compared to established communities, Growth Areas in [</w:t>
      </w:r>
      <w:r w:rsidRPr="00B7525B">
        <w:rPr>
          <w:rFonts w:ascii="Arial" w:hAnsi="Arial" w:cs="Arial"/>
          <w:highlight w:val="yellow"/>
        </w:rPr>
        <w:t>State</w:t>
      </w:r>
      <w:r>
        <w:rPr>
          <w:rFonts w:ascii="Arial" w:hAnsi="Arial" w:cs="Arial"/>
        </w:rPr>
        <w:t xml:space="preserve">] are </w:t>
      </w:r>
      <w:r w:rsidRPr="00E9784E">
        <w:rPr>
          <w:rFonts w:ascii="Arial" w:hAnsi="Arial" w:cs="Arial"/>
          <w:highlight w:val="yellow"/>
        </w:rPr>
        <w:t>X</w:t>
      </w:r>
      <w:r>
        <w:rPr>
          <w:rFonts w:ascii="Arial" w:hAnsi="Arial" w:cs="Arial"/>
        </w:rPr>
        <w:t xml:space="preserve">% less likely to have local access to </w:t>
      </w:r>
      <w:r w:rsidRPr="00E9784E">
        <w:rPr>
          <w:rFonts w:ascii="Arial" w:hAnsi="Arial" w:cs="Arial"/>
        </w:rPr>
        <w:t xml:space="preserve">education a figure which reaches </w:t>
      </w:r>
      <w:r w:rsidRPr="00E9784E">
        <w:rPr>
          <w:rFonts w:ascii="Arial" w:hAnsi="Arial" w:cs="Arial"/>
          <w:highlight w:val="yellow"/>
        </w:rPr>
        <w:t>X</w:t>
      </w:r>
      <w:r w:rsidRPr="00E9784E">
        <w:rPr>
          <w:rFonts w:ascii="Arial" w:hAnsi="Arial" w:cs="Arial"/>
        </w:rPr>
        <w:t xml:space="preserve">% for healthcare, </w:t>
      </w:r>
      <w:r w:rsidRPr="00E9784E">
        <w:rPr>
          <w:rFonts w:ascii="Arial" w:hAnsi="Arial" w:cs="Arial"/>
          <w:highlight w:val="yellow"/>
        </w:rPr>
        <w:t>X</w:t>
      </w:r>
      <w:r w:rsidRPr="00E9784E">
        <w:rPr>
          <w:rFonts w:ascii="Arial" w:hAnsi="Arial" w:cs="Arial"/>
        </w:rPr>
        <w:t xml:space="preserve">% for sporting facilities and </w:t>
      </w:r>
      <w:r w:rsidRPr="00E9784E">
        <w:rPr>
          <w:rFonts w:ascii="Arial" w:hAnsi="Arial" w:cs="Arial"/>
          <w:highlight w:val="yellow"/>
        </w:rPr>
        <w:t>X</w:t>
      </w:r>
      <w:r w:rsidRPr="00E9784E">
        <w:rPr>
          <w:rFonts w:ascii="Arial" w:hAnsi="Arial" w:cs="Arial"/>
        </w:rPr>
        <w:t>% for public transport.</w:t>
      </w:r>
    </w:p>
    <w:p w14:paraId="1AD55A97" w14:textId="77777777" w:rsidR="000B360B" w:rsidRPr="00C74DAA" w:rsidRDefault="000B360B" w:rsidP="000B360B">
      <w:pPr>
        <w:contextualSpacing/>
        <w:jc w:val="both"/>
        <w:rPr>
          <w:rFonts w:ascii="Arial" w:hAnsi="Arial" w:cs="Arial"/>
        </w:rPr>
      </w:pPr>
      <w:r w:rsidRPr="732A217E">
        <w:rPr>
          <w:rFonts w:ascii="Arial" w:hAnsi="Arial" w:cs="Arial"/>
        </w:rPr>
        <w:t xml:space="preserve"> </w:t>
      </w:r>
    </w:p>
    <w:p w14:paraId="060117DE" w14:textId="77777777" w:rsidR="000B360B" w:rsidRDefault="000B360B" w:rsidP="000B360B">
      <w:pPr>
        <w:contextualSpacing/>
        <w:jc w:val="both"/>
        <w:rPr>
          <w:rFonts w:ascii="Arial" w:hAnsi="Arial" w:cs="Arial"/>
        </w:rPr>
      </w:pPr>
      <w:r w:rsidRPr="00C74DAA">
        <w:rPr>
          <w:rFonts w:ascii="Arial" w:hAnsi="Arial" w:cs="Arial"/>
        </w:rPr>
        <w:t>[</w:t>
      </w:r>
      <w:r w:rsidRPr="00B9496B">
        <w:rPr>
          <w:rFonts w:ascii="Arial" w:hAnsi="Arial" w:cs="Arial"/>
          <w:highlight w:val="yellow"/>
        </w:rPr>
        <w:t>Mayor/CEO Name</w:t>
      </w:r>
      <w:r w:rsidRPr="00C74DAA">
        <w:rPr>
          <w:rFonts w:ascii="Arial" w:hAnsi="Arial" w:cs="Arial"/>
        </w:rPr>
        <w:t xml:space="preserve">] </w:t>
      </w:r>
      <w:r w:rsidRPr="00EE223E">
        <w:rPr>
          <w:rFonts w:ascii="Arial" w:hAnsi="Arial" w:cs="Arial"/>
        </w:rPr>
        <w:t xml:space="preserve">is available for comment on the community’s top priorities and what federal candidates must commit to </w:t>
      </w:r>
      <w:proofErr w:type="gramStart"/>
      <w:r w:rsidRPr="00EE223E">
        <w:rPr>
          <w:rFonts w:ascii="Arial" w:hAnsi="Arial" w:cs="Arial"/>
        </w:rPr>
        <w:t>in order to</w:t>
      </w:r>
      <w:proofErr w:type="gramEnd"/>
      <w:r w:rsidRPr="00EE223E">
        <w:rPr>
          <w:rFonts w:ascii="Arial" w:hAnsi="Arial" w:cs="Arial"/>
        </w:rPr>
        <w:t xml:space="preserve"> earn our votes.</w:t>
      </w:r>
    </w:p>
    <w:p w14:paraId="72FD5E49" w14:textId="77777777" w:rsidR="000B360B" w:rsidRPr="00C74DAA" w:rsidRDefault="000B360B" w:rsidP="000B360B">
      <w:pPr>
        <w:contextualSpacing/>
        <w:jc w:val="both"/>
        <w:rPr>
          <w:rFonts w:ascii="Arial" w:hAnsi="Arial" w:cs="Arial"/>
        </w:rPr>
      </w:pPr>
    </w:p>
    <w:p w14:paraId="7D171106" w14:textId="77777777" w:rsidR="000B360B" w:rsidRDefault="000B360B" w:rsidP="000B360B">
      <w:pPr>
        <w:contextualSpacing/>
        <w:jc w:val="both"/>
        <w:rPr>
          <w:rFonts w:ascii="Arial" w:hAnsi="Arial" w:cs="Arial"/>
        </w:rPr>
      </w:pPr>
      <w:r>
        <w:rPr>
          <w:rFonts w:ascii="Arial" w:hAnsi="Arial" w:cs="Arial"/>
        </w:rPr>
        <w:t xml:space="preserve">Please see the attached media release for more information. </w:t>
      </w:r>
      <w:r w:rsidRPr="732A217E">
        <w:rPr>
          <w:rFonts w:ascii="Arial" w:hAnsi="Arial" w:cs="Arial"/>
        </w:rPr>
        <w:t>We can also provide</w:t>
      </w:r>
      <w:r>
        <w:rPr>
          <w:rFonts w:ascii="Arial" w:hAnsi="Arial" w:cs="Arial"/>
        </w:rPr>
        <w:t>:</w:t>
      </w:r>
    </w:p>
    <w:p w14:paraId="78F512C8" w14:textId="77777777" w:rsidR="000B360B" w:rsidRDefault="000B360B" w:rsidP="000B360B">
      <w:pPr>
        <w:pStyle w:val="ListParagraph"/>
        <w:numPr>
          <w:ilvl w:val="0"/>
          <w:numId w:val="12"/>
        </w:numPr>
        <w:spacing w:after="0" w:line="240" w:lineRule="auto"/>
        <w:jc w:val="both"/>
        <w:rPr>
          <w:rFonts w:ascii="Arial" w:hAnsi="Arial" w:cs="Arial"/>
        </w:rPr>
      </w:pPr>
      <w:r>
        <w:rPr>
          <w:rFonts w:ascii="Arial" w:hAnsi="Arial" w:cs="Arial"/>
        </w:rPr>
        <w:t>Local resident and local business case studies</w:t>
      </w:r>
    </w:p>
    <w:p w14:paraId="6CDE6961" w14:textId="77777777" w:rsidR="000B360B" w:rsidRDefault="000B360B" w:rsidP="000B360B">
      <w:pPr>
        <w:pStyle w:val="ListParagraph"/>
        <w:numPr>
          <w:ilvl w:val="0"/>
          <w:numId w:val="12"/>
        </w:numPr>
        <w:spacing w:after="0" w:line="240" w:lineRule="auto"/>
        <w:jc w:val="both"/>
        <w:rPr>
          <w:rFonts w:ascii="Arial" w:hAnsi="Arial" w:cs="Arial"/>
        </w:rPr>
      </w:pPr>
      <w:r>
        <w:rPr>
          <w:rFonts w:ascii="Arial" w:hAnsi="Arial" w:cs="Arial"/>
        </w:rPr>
        <w:t xml:space="preserve">Interview with NGAA CEO, Bronwen Clark </w:t>
      </w:r>
    </w:p>
    <w:p w14:paraId="2B7DAFA4" w14:textId="77777777" w:rsidR="000B360B" w:rsidRDefault="000B360B" w:rsidP="000B360B">
      <w:pPr>
        <w:pStyle w:val="ListParagraph"/>
        <w:numPr>
          <w:ilvl w:val="0"/>
          <w:numId w:val="12"/>
        </w:numPr>
        <w:spacing w:after="0" w:line="240" w:lineRule="auto"/>
        <w:jc w:val="both"/>
        <w:rPr>
          <w:rFonts w:ascii="Arial" w:hAnsi="Arial" w:cs="Arial"/>
        </w:rPr>
      </w:pPr>
      <w:r>
        <w:rPr>
          <w:rFonts w:ascii="Arial" w:hAnsi="Arial" w:cs="Arial"/>
        </w:rPr>
        <w:t>Data from the NGAA’s</w:t>
      </w:r>
      <w:r w:rsidRPr="00321BC6">
        <w:rPr>
          <w:rFonts w:ascii="Arial" w:hAnsi="Arial" w:cs="Arial"/>
        </w:rPr>
        <w:t xml:space="preserve"> report, </w:t>
      </w:r>
      <w:r w:rsidRPr="00321BC6">
        <w:rPr>
          <w:rFonts w:ascii="Arial" w:hAnsi="Arial" w:cs="Arial"/>
          <w:b/>
          <w:bCs/>
          <w:i/>
          <w:iCs/>
        </w:rPr>
        <w:t>Investment Solutions for Today’s Infrastructure Needs and Tomorrow’s Housing in Outer-Metropolitan Growth Areas</w:t>
      </w:r>
    </w:p>
    <w:p w14:paraId="0FC7F4BB" w14:textId="77777777" w:rsidR="000B360B" w:rsidRDefault="000B360B" w:rsidP="000B360B">
      <w:pPr>
        <w:jc w:val="both"/>
        <w:rPr>
          <w:rFonts w:ascii="Arial" w:hAnsi="Arial" w:cs="Arial"/>
        </w:rPr>
      </w:pPr>
    </w:p>
    <w:p w14:paraId="05046EB9" w14:textId="77777777" w:rsidR="000B360B" w:rsidRPr="00321BC6" w:rsidRDefault="000B360B" w:rsidP="000B360B">
      <w:pPr>
        <w:jc w:val="both"/>
        <w:rPr>
          <w:rFonts w:ascii="Arial" w:hAnsi="Arial" w:cs="Arial"/>
        </w:rPr>
      </w:pPr>
      <w:r>
        <w:rPr>
          <w:rFonts w:ascii="Arial" w:hAnsi="Arial" w:cs="Arial"/>
        </w:rPr>
        <w:t>Would this be of interest for a piece?</w:t>
      </w:r>
    </w:p>
    <w:p w14:paraId="161858F2" w14:textId="77777777" w:rsidR="000B360B" w:rsidRDefault="000B360B" w:rsidP="000B360B">
      <w:pPr>
        <w:contextualSpacing/>
        <w:rPr>
          <w:rFonts w:ascii="Arial" w:hAnsi="Arial" w:cs="Arial"/>
        </w:rPr>
      </w:pPr>
    </w:p>
    <w:p w14:paraId="3F18F60F" w14:textId="77777777" w:rsidR="000B360B" w:rsidRDefault="000B360B" w:rsidP="000B360B">
      <w:pPr>
        <w:contextualSpacing/>
        <w:rPr>
          <w:rFonts w:ascii="Arial" w:hAnsi="Arial" w:cs="Arial"/>
        </w:rPr>
      </w:pPr>
      <w:r>
        <w:rPr>
          <w:rFonts w:ascii="Arial" w:hAnsi="Arial" w:cs="Arial"/>
        </w:rPr>
        <w:t>Best,</w:t>
      </w:r>
    </w:p>
    <w:p w14:paraId="3BA4757E" w14:textId="77777777" w:rsidR="000B360B" w:rsidRDefault="000B360B" w:rsidP="000B360B">
      <w:pPr>
        <w:contextualSpacing/>
        <w:rPr>
          <w:rFonts w:ascii="Arial" w:hAnsi="Arial" w:cs="Arial"/>
        </w:rPr>
      </w:pPr>
      <w:r>
        <w:rPr>
          <w:rFonts w:ascii="Arial" w:hAnsi="Arial" w:cs="Arial"/>
        </w:rPr>
        <w:t>[</w:t>
      </w:r>
      <w:r>
        <w:rPr>
          <w:rFonts w:ascii="Arial" w:hAnsi="Arial" w:cs="Arial"/>
          <w:highlight w:val="yellow"/>
        </w:rPr>
        <w:t>N</w:t>
      </w:r>
      <w:r w:rsidRPr="00321BC6">
        <w:rPr>
          <w:rFonts w:ascii="Arial" w:hAnsi="Arial" w:cs="Arial"/>
          <w:highlight w:val="yellow"/>
        </w:rPr>
        <w:t>ame</w:t>
      </w:r>
      <w:r>
        <w:rPr>
          <w:rFonts w:ascii="Arial" w:hAnsi="Arial" w:cs="Arial"/>
        </w:rPr>
        <w:t>]</w:t>
      </w:r>
    </w:p>
    <w:p w14:paraId="2F3C26A9" w14:textId="77777777" w:rsidR="000B360B" w:rsidRDefault="000B360B" w:rsidP="000B360B">
      <w:pPr>
        <w:contextualSpacing/>
        <w:rPr>
          <w:rFonts w:ascii="Arial" w:hAnsi="Arial" w:cs="Arial"/>
        </w:rPr>
      </w:pPr>
    </w:p>
    <w:p w14:paraId="31A3EA9A" w14:textId="77777777" w:rsidR="000B360B" w:rsidRDefault="000B360B" w:rsidP="000B360B">
      <w:pPr>
        <w:contextualSpacing/>
        <w:rPr>
          <w:rFonts w:ascii="Arial" w:hAnsi="Arial" w:cs="Arial"/>
        </w:rPr>
      </w:pPr>
      <w:r>
        <w:rPr>
          <w:rFonts w:ascii="Arial" w:hAnsi="Arial" w:cs="Arial"/>
        </w:rPr>
        <w:t>[</w:t>
      </w:r>
      <w:r w:rsidRPr="00321BC6">
        <w:rPr>
          <w:rFonts w:ascii="Arial" w:hAnsi="Arial" w:cs="Arial"/>
          <w:highlight w:val="yellow"/>
        </w:rPr>
        <w:t>Signature with phone number</w:t>
      </w:r>
      <w:r>
        <w:rPr>
          <w:rFonts w:ascii="Arial" w:hAnsi="Arial" w:cs="Arial"/>
        </w:rPr>
        <w:t>]</w:t>
      </w:r>
    </w:p>
    <w:p w14:paraId="3F14C8D5" w14:textId="025A399B" w:rsidR="00B41940" w:rsidRDefault="00B41940">
      <w:pPr>
        <w:rPr>
          <w:rFonts w:ascii="Arial" w:hAnsi="Arial" w:cs="Arial"/>
        </w:rPr>
      </w:pPr>
      <w:r>
        <w:rPr>
          <w:rFonts w:ascii="Arial" w:hAnsi="Arial" w:cs="Arial"/>
        </w:rPr>
        <w:br w:type="page"/>
      </w:r>
    </w:p>
    <w:p w14:paraId="0EBA1D17" w14:textId="1D71169C" w:rsidR="00C47D8A" w:rsidRDefault="00C47D8A" w:rsidP="00C47D8A">
      <w:pPr>
        <w:pStyle w:val="Heading2"/>
      </w:pPr>
      <w:bookmarkStart w:id="6" w:name="_Factsheet:_Capital_City"/>
      <w:bookmarkEnd w:id="6"/>
      <w:r>
        <w:lastRenderedPageBreak/>
        <w:t>Factsheet: Capital City Growth Areas Liveability Scorecards</w:t>
      </w:r>
    </w:p>
    <w:p w14:paraId="1A797282" w14:textId="3A82833C" w:rsidR="00B41940" w:rsidRPr="0052710B" w:rsidRDefault="00B41940" w:rsidP="00B41940">
      <w:pPr>
        <w:autoSpaceDE w:val="0"/>
        <w:autoSpaceDN w:val="0"/>
        <w:adjustRightInd w:val="0"/>
        <w:rPr>
          <w:rFonts w:ascii="Arial" w:hAnsi="Arial" w:cs="Arial"/>
          <w:sz w:val="22"/>
          <w14:ligatures w14:val="none"/>
        </w:rPr>
      </w:pPr>
      <w:r>
        <w:rPr>
          <w:rFonts w:ascii="Poppins-Light" w:hAnsi="Poppins-Light" w:cs="Poppins-Light"/>
          <w:noProof/>
          <w:sz w:val="15"/>
          <w:szCs w:val="15"/>
          <w14:ligatures w14:val="none"/>
        </w:rPr>
        <mc:AlternateContent>
          <mc:Choice Requires="wps">
            <w:drawing>
              <wp:anchor distT="0" distB="0" distL="114300" distR="114300" simplePos="0" relativeHeight="251658240" behindDoc="0" locked="0" layoutInCell="1" allowOverlap="1" wp14:anchorId="7BACBC1F" wp14:editId="2CB9DB5D">
                <wp:simplePos x="0" y="0"/>
                <wp:positionH relativeFrom="page">
                  <wp:align>left</wp:align>
                </wp:positionH>
                <wp:positionV relativeFrom="paragraph">
                  <wp:posOffset>406</wp:posOffset>
                </wp:positionV>
                <wp:extent cx="7633970" cy="950595"/>
                <wp:effectExtent l="0" t="0" r="24130" b="20955"/>
                <wp:wrapTopAndBottom/>
                <wp:docPr id="6" name="Text Box 6"/>
                <wp:cNvGraphicFramePr/>
                <a:graphic xmlns:a="http://schemas.openxmlformats.org/drawingml/2006/main">
                  <a:graphicData uri="http://schemas.microsoft.com/office/word/2010/wordprocessingShape">
                    <wps:wsp>
                      <wps:cNvSpPr txBox="1"/>
                      <wps:spPr>
                        <a:xfrm>
                          <a:off x="0" y="0"/>
                          <a:ext cx="7633970" cy="950595"/>
                        </a:xfrm>
                        <a:prstGeom prst="rect">
                          <a:avLst/>
                        </a:prstGeom>
                        <a:solidFill>
                          <a:srgbClr val="002060"/>
                        </a:solidFill>
                        <a:ln w="6350">
                          <a:solidFill>
                            <a:prstClr val="black"/>
                          </a:solidFill>
                        </a:ln>
                      </wps:spPr>
                      <wps:txbx>
                        <w:txbxContent>
                          <w:p w14:paraId="7B384743" w14:textId="77777777" w:rsidR="00B41940" w:rsidRPr="00B41940" w:rsidRDefault="00B41940" w:rsidP="00B41940">
                            <w:pPr>
                              <w:autoSpaceDE w:val="0"/>
                              <w:autoSpaceDN w:val="0"/>
                              <w:adjustRightInd w:val="0"/>
                              <w:jc w:val="center"/>
                              <w:rPr>
                                <w:rFonts w:ascii="Arial" w:eastAsiaTheme="majorEastAsia" w:hAnsi="Arial" w:cs="Arial"/>
                                <w:b/>
                                <w:bCs/>
                                <w:spacing w:val="-10"/>
                                <w:kern w:val="28"/>
                                <w:sz w:val="48"/>
                                <w:szCs w:val="48"/>
                              </w:rPr>
                            </w:pPr>
                            <w:r w:rsidRPr="00B41940">
                              <w:rPr>
                                <w:rFonts w:ascii="Arial" w:eastAsiaTheme="majorEastAsia" w:hAnsi="Arial" w:cs="Arial"/>
                                <w:b/>
                                <w:bCs/>
                                <w:spacing w:val="-10"/>
                                <w:kern w:val="28"/>
                                <w:sz w:val="48"/>
                                <w:szCs w:val="48"/>
                              </w:rPr>
                              <w:t>Capital City Growth Areas</w:t>
                            </w:r>
                          </w:p>
                          <w:p w14:paraId="3912E281" w14:textId="77777777" w:rsidR="00B41940" w:rsidRPr="00B41940" w:rsidRDefault="00B41940" w:rsidP="00B41940">
                            <w:pPr>
                              <w:autoSpaceDE w:val="0"/>
                              <w:autoSpaceDN w:val="0"/>
                              <w:adjustRightInd w:val="0"/>
                              <w:jc w:val="center"/>
                              <w:rPr>
                                <w:rFonts w:ascii="Arial" w:eastAsiaTheme="majorEastAsia" w:hAnsi="Arial" w:cs="Arial"/>
                                <w:b/>
                                <w:bCs/>
                                <w:spacing w:val="-10"/>
                                <w:kern w:val="28"/>
                                <w:sz w:val="48"/>
                                <w:szCs w:val="48"/>
                              </w:rPr>
                            </w:pPr>
                            <w:r w:rsidRPr="00B41940">
                              <w:rPr>
                                <w:rFonts w:ascii="Arial" w:eastAsiaTheme="majorEastAsia" w:hAnsi="Arial" w:cs="Arial"/>
                                <w:b/>
                                <w:bCs/>
                                <w:spacing w:val="-10"/>
                                <w:kern w:val="28"/>
                                <w:sz w:val="48"/>
                                <w:szCs w:val="48"/>
                              </w:rPr>
                              <w:t>Liveability Scorecards</w:t>
                            </w:r>
                          </w:p>
                          <w:p w14:paraId="248850CC" w14:textId="77777777" w:rsidR="00B41940" w:rsidRPr="00B41940" w:rsidRDefault="00B41940" w:rsidP="00B41940">
                            <w:pPr>
                              <w:rPr>
                                <w:rFonts w:ascii="Arial" w:hAnsi="Arial" w:cs="Arial"/>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CBC1F" id="_x0000_t202" coordsize="21600,21600" o:spt="202" path="m,l,21600r21600,l21600,xe">
                <v:stroke joinstyle="miter"/>
                <v:path gradientshapeok="t" o:connecttype="rect"/>
              </v:shapetype>
              <v:shape id="Text Box 6" o:spid="_x0000_s1026" type="#_x0000_t202" style="position:absolute;margin-left:0;margin-top:.05pt;width:601.1pt;height:74.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" fillcolor="#002060" strokeweight=".5pt">
                <v:textbox>
                  <w:txbxContent>
                    <w:p w14:paraId="7B384743" w14:textId="77777777" w:rsidR="00B41940" w:rsidRPr="00B41940" w:rsidRDefault="00B41940" w:rsidP="00B41940">
                      <w:pPr>
                        <w:autoSpaceDE w:val="0"/>
                        <w:autoSpaceDN w:val="0"/>
                        <w:adjustRightInd w:val="0"/>
                        <w:jc w:val="center"/>
                        <w:rPr>
                          <w:rFonts w:ascii="Arial" w:eastAsiaTheme="majorEastAsia" w:hAnsi="Arial" w:cs="Arial"/>
                          <w:b/>
                          <w:bCs/>
                          <w:spacing w:val="-10"/>
                          <w:kern w:val="28"/>
                          <w:sz w:val="48"/>
                          <w:szCs w:val="48"/>
                        </w:rPr>
                      </w:pPr>
                      <w:r w:rsidRPr="00B41940">
                        <w:rPr>
                          <w:rFonts w:ascii="Arial" w:eastAsiaTheme="majorEastAsia" w:hAnsi="Arial" w:cs="Arial"/>
                          <w:b/>
                          <w:bCs/>
                          <w:spacing w:val="-10"/>
                          <w:kern w:val="28"/>
                          <w:sz w:val="48"/>
                          <w:szCs w:val="48"/>
                        </w:rPr>
                        <w:t>Capital City Growth Areas</w:t>
                      </w:r>
                    </w:p>
                    <w:p w14:paraId="3912E281" w14:textId="77777777" w:rsidR="00B41940" w:rsidRPr="00B41940" w:rsidRDefault="00B41940" w:rsidP="00B41940">
                      <w:pPr>
                        <w:autoSpaceDE w:val="0"/>
                        <w:autoSpaceDN w:val="0"/>
                        <w:adjustRightInd w:val="0"/>
                        <w:jc w:val="center"/>
                        <w:rPr>
                          <w:rFonts w:ascii="Arial" w:eastAsiaTheme="majorEastAsia" w:hAnsi="Arial" w:cs="Arial"/>
                          <w:b/>
                          <w:bCs/>
                          <w:spacing w:val="-10"/>
                          <w:kern w:val="28"/>
                          <w:sz w:val="48"/>
                          <w:szCs w:val="48"/>
                        </w:rPr>
                      </w:pPr>
                      <w:r w:rsidRPr="00B41940">
                        <w:rPr>
                          <w:rFonts w:ascii="Arial" w:eastAsiaTheme="majorEastAsia" w:hAnsi="Arial" w:cs="Arial"/>
                          <w:b/>
                          <w:bCs/>
                          <w:spacing w:val="-10"/>
                          <w:kern w:val="28"/>
                          <w:sz w:val="48"/>
                          <w:szCs w:val="48"/>
                        </w:rPr>
                        <w:t>Liveability Scorecards</w:t>
                      </w:r>
                    </w:p>
                    <w:p w14:paraId="248850CC" w14:textId="77777777" w:rsidR="00B41940" w:rsidRPr="00B41940" w:rsidRDefault="00B41940" w:rsidP="00B41940">
                      <w:pPr>
                        <w:rPr>
                          <w:rFonts w:ascii="Arial" w:hAnsi="Arial" w:cs="Arial"/>
                          <w:sz w:val="48"/>
                          <w:szCs w:val="48"/>
                        </w:rPr>
                      </w:pPr>
                    </w:p>
                  </w:txbxContent>
                </v:textbox>
                <w10:wrap type="topAndBottom" anchorx="page"/>
              </v:shape>
            </w:pict>
          </mc:Fallback>
        </mc:AlternateContent>
      </w:r>
      <w:r w:rsidRPr="0052710B">
        <w:rPr>
          <w:rFonts w:ascii="Arial" w:hAnsi="Arial" w:cs="Arial"/>
          <w:sz w:val="22"/>
          <w14:ligatures w14:val="none"/>
        </w:rPr>
        <w:t>RMIT and the Australian Urban Observatory’s City Liveability Scorecards for Growth Areas (the Scorecards) make it clear that under</w:t>
      </w:r>
      <w:r w:rsidR="006456D5">
        <w:rPr>
          <w:rFonts w:ascii="Arial" w:hAnsi="Arial" w:cs="Arial"/>
          <w:sz w:val="22"/>
          <w14:ligatures w14:val="none"/>
        </w:rPr>
        <w:t>investment</w:t>
      </w:r>
      <w:r w:rsidRPr="0052710B">
        <w:rPr>
          <w:rFonts w:ascii="Arial" w:hAnsi="Arial" w:cs="Arial"/>
          <w:sz w:val="22"/>
          <w14:ligatures w14:val="none"/>
        </w:rPr>
        <w:t xml:space="preserve"> has led to significant </w:t>
      </w:r>
      <w:r w:rsidR="006456D5" w:rsidRPr="0052710B">
        <w:rPr>
          <w:rFonts w:ascii="Arial" w:hAnsi="Arial" w:cs="Arial"/>
          <w:sz w:val="22"/>
          <w14:ligatures w14:val="none"/>
        </w:rPr>
        <w:t>di</w:t>
      </w:r>
      <w:r w:rsidR="006456D5">
        <w:rPr>
          <w:rFonts w:ascii="Arial" w:hAnsi="Arial" w:cs="Arial"/>
          <w:sz w:val="22"/>
          <w14:ligatures w14:val="none"/>
        </w:rPr>
        <w:t>fferences</w:t>
      </w:r>
      <w:r w:rsidR="006456D5" w:rsidRPr="0052710B">
        <w:rPr>
          <w:rFonts w:ascii="Arial" w:hAnsi="Arial" w:cs="Arial"/>
          <w:sz w:val="22"/>
          <w14:ligatures w14:val="none"/>
        </w:rPr>
        <w:t xml:space="preserve"> </w:t>
      </w:r>
      <w:r w:rsidRPr="0052710B">
        <w:rPr>
          <w:rFonts w:ascii="Arial" w:hAnsi="Arial" w:cs="Arial"/>
          <w:sz w:val="22"/>
          <w14:ligatures w14:val="none"/>
        </w:rPr>
        <w:t xml:space="preserve">between growth areas and non-growth areas in </w:t>
      </w:r>
      <w:r w:rsidR="001E25AA">
        <w:rPr>
          <w:rFonts w:ascii="Arial" w:hAnsi="Arial" w:cs="Arial"/>
          <w:sz w:val="22"/>
          <w14:ligatures w14:val="none"/>
        </w:rPr>
        <w:t xml:space="preserve">Australia’ five largest </w:t>
      </w:r>
      <w:r w:rsidRPr="0052710B">
        <w:rPr>
          <w:rFonts w:ascii="Arial" w:hAnsi="Arial" w:cs="Arial"/>
          <w:sz w:val="22"/>
          <w14:ligatures w14:val="none"/>
        </w:rPr>
        <w:t>capital cities.</w:t>
      </w:r>
      <w:r w:rsidR="006456D5">
        <w:rPr>
          <w:rFonts w:ascii="Arial" w:hAnsi="Arial" w:cs="Arial"/>
          <w:sz w:val="22"/>
          <w14:ligatures w14:val="none"/>
        </w:rPr>
        <w:t xml:space="preserve"> </w:t>
      </w:r>
    </w:p>
    <w:p w14:paraId="3EE02FAA" w14:textId="77777777" w:rsidR="00B41940" w:rsidRPr="0052710B" w:rsidRDefault="00B41940" w:rsidP="00B41940">
      <w:pPr>
        <w:autoSpaceDE w:val="0"/>
        <w:autoSpaceDN w:val="0"/>
        <w:adjustRightInd w:val="0"/>
        <w:rPr>
          <w:rFonts w:ascii="Arial" w:hAnsi="Arial" w:cs="Arial"/>
          <w:sz w:val="22"/>
          <w14:ligatures w14:val="none"/>
        </w:rPr>
      </w:pPr>
      <w:r w:rsidRPr="0052710B">
        <w:rPr>
          <w:rFonts w:ascii="Arial" w:hAnsi="Arial" w:cs="Arial"/>
          <w:sz w:val="22"/>
          <w14:ligatures w14:val="none"/>
        </w:rPr>
        <w:t>A ‘liveable’ place is defined as somewhere that is: safe, attractive, inclusive, and environmentally sustainable; with affordable and diverse types of housing, public open space, local shops, health and community services, leisure and cultural opportunities; with opportunities for employment and education all accessible by convenient public transport, walking and cycling.</w:t>
      </w:r>
    </w:p>
    <w:p w14:paraId="1961D589" w14:textId="77777777" w:rsidR="00B41940" w:rsidRPr="0052710B" w:rsidRDefault="00B41940" w:rsidP="00B41940">
      <w:pPr>
        <w:autoSpaceDE w:val="0"/>
        <w:autoSpaceDN w:val="0"/>
        <w:adjustRightInd w:val="0"/>
        <w:rPr>
          <w:rFonts w:ascii="Arial" w:hAnsi="Arial" w:cs="Arial"/>
          <w:sz w:val="22"/>
          <w14:ligatures w14:val="none"/>
        </w:rPr>
      </w:pPr>
      <w:r w:rsidRPr="0052710B">
        <w:rPr>
          <w:rFonts w:ascii="Arial" w:hAnsi="Arial" w:cs="Arial"/>
          <w:sz w:val="22"/>
          <w14:ligatures w14:val="none"/>
        </w:rPr>
        <w:t xml:space="preserve">The Scorecards show the distribution of measures of liveability by suburb within each capital city using data for 10 indicators, which include social infrastructure (health, education, arts and cultural facilities and community and sport facilities), walkability, public transport accessibility, access to public open space and housing affordability. </w:t>
      </w:r>
    </w:p>
    <w:p w14:paraId="7732B79C" w14:textId="7EF98F5E" w:rsidR="00B41940" w:rsidRPr="0052710B" w:rsidRDefault="00B41940" w:rsidP="00B41940">
      <w:pPr>
        <w:autoSpaceDE w:val="0"/>
        <w:autoSpaceDN w:val="0"/>
        <w:adjustRightInd w:val="0"/>
        <w:rPr>
          <w:rFonts w:ascii="Arial" w:hAnsi="Arial" w:cs="Arial"/>
          <w:sz w:val="22"/>
          <w14:ligatures w14:val="none"/>
        </w:rPr>
      </w:pPr>
      <w:r w:rsidRPr="0052710B">
        <w:rPr>
          <w:rFonts w:ascii="Arial" w:hAnsi="Arial" w:cs="Arial"/>
          <w:sz w:val="22"/>
          <w14:ligatures w14:val="none"/>
        </w:rPr>
        <w:t xml:space="preserve">The Scorecards reveal wide variation across capital cities with a trend towards higher </w:t>
      </w:r>
      <w:r w:rsidR="00642279">
        <w:rPr>
          <w:rFonts w:ascii="Arial" w:hAnsi="Arial" w:cs="Arial"/>
          <w:sz w:val="22"/>
          <w14:ligatures w14:val="none"/>
        </w:rPr>
        <w:t>access</w:t>
      </w:r>
      <w:r w:rsidR="00642279" w:rsidRPr="0052710B">
        <w:rPr>
          <w:rFonts w:ascii="Arial" w:hAnsi="Arial" w:cs="Arial"/>
          <w:sz w:val="22"/>
          <w14:ligatures w14:val="none"/>
        </w:rPr>
        <w:t xml:space="preserve"> </w:t>
      </w:r>
      <w:r w:rsidRPr="0052710B">
        <w:rPr>
          <w:rFonts w:ascii="Arial" w:hAnsi="Arial" w:cs="Arial"/>
          <w:sz w:val="22"/>
          <w14:ligatures w14:val="none"/>
        </w:rPr>
        <w:t xml:space="preserve">in the inner areas of each city </w:t>
      </w:r>
      <w:r w:rsidR="00D74A8E">
        <w:rPr>
          <w:rFonts w:ascii="Arial" w:hAnsi="Arial" w:cs="Arial"/>
          <w:sz w:val="22"/>
          <w14:ligatures w14:val="none"/>
        </w:rPr>
        <w:t>compared to</w:t>
      </w:r>
      <w:r w:rsidR="008564FB">
        <w:rPr>
          <w:rFonts w:ascii="Arial" w:hAnsi="Arial" w:cs="Arial"/>
          <w:sz w:val="22"/>
          <w14:ligatures w14:val="none"/>
        </w:rPr>
        <w:t xml:space="preserve"> </w:t>
      </w:r>
      <w:r w:rsidRPr="0052710B">
        <w:rPr>
          <w:rFonts w:ascii="Arial" w:hAnsi="Arial" w:cs="Arial"/>
          <w:sz w:val="22"/>
          <w14:ligatures w14:val="none"/>
        </w:rPr>
        <w:t xml:space="preserve">outer </w:t>
      </w:r>
      <w:r w:rsidR="00D74A8E">
        <w:rPr>
          <w:rFonts w:ascii="Arial" w:hAnsi="Arial" w:cs="Arial"/>
          <w:sz w:val="22"/>
          <w14:ligatures w14:val="none"/>
        </w:rPr>
        <w:t xml:space="preserve">metropolitan growth </w:t>
      </w:r>
      <w:r w:rsidRPr="0052710B">
        <w:rPr>
          <w:rFonts w:ascii="Arial" w:hAnsi="Arial" w:cs="Arial"/>
          <w:sz w:val="22"/>
          <w14:ligatures w14:val="none"/>
        </w:rPr>
        <w:t xml:space="preserve">areas of each </w:t>
      </w:r>
      <w:r w:rsidR="00D74A8E">
        <w:rPr>
          <w:rFonts w:ascii="Arial" w:hAnsi="Arial" w:cs="Arial"/>
          <w:sz w:val="22"/>
          <w14:ligatures w14:val="none"/>
        </w:rPr>
        <w:t xml:space="preserve">capital </w:t>
      </w:r>
      <w:r w:rsidRPr="0052710B">
        <w:rPr>
          <w:rFonts w:ascii="Arial" w:hAnsi="Arial" w:cs="Arial"/>
          <w:sz w:val="22"/>
          <w14:ligatures w14:val="none"/>
        </w:rPr>
        <w:t>city.</w:t>
      </w:r>
    </w:p>
    <w:p w14:paraId="6BBD92B6" w14:textId="77777777" w:rsidR="00B41940" w:rsidRPr="0052710B" w:rsidRDefault="00B41940" w:rsidP="00B41940">
      <w:pPr>
        <w:autoSpaceDE w:val="0"/>
        <w:autoSpaceDN w:val="0"/>
        <w:adjustRightInd w:val="0"/>
        <w:rPr>
          <w:rFonts w:ascii="Arial" w:hAnsi="Arial" w:cs="Arial"/>
          <w:sz w:val="22"/>
          <w14:ligatures w14:val="none"/>
        </w:rPr>
      </w:pPr>
      <w:r w:rsidRPr="0052710B">
        <w:rPr>
          <w:rFonts w:ascii="Arial" w:hAnsi="Arial" w:cs="Arial"/>
          <w:sz w:val="22"/>
          <w14:ligatures w14:val="none"/>
        </w:rPr>
        <w:t>In comparison to non-growth areas of capital cities:</w:t>
      </w:r>
    </w:p>
    <w:p w14:paraId="62B2333F" w14:textId="77777777" w:rsidR="00B41940" w:rsidRPr="0052710B" w:rsidRDefault="00B41940" w:rsidP="00B41940">
      <w:pPr>
        <w:pStyle w:val="ListParagraph"/>
        <w:numPr>
          <w:ilvl w:val="0"/>
          <w:numId w:val="4"/>
        </w:numPr>
        <w:autoSpaceDE w:val="0"/>
        <w:autoSpaceDN w:val="0"/>
        <w:adjustRightInd w:val="0"/>
        <w:spacing w:after="0" w:line="240" w:lineRule="auto"/>
        <w:contextualSpacing w:val="0"/>
        <w:rPr>
          <w:rFonts w:ascii="Arial" w:hAnsi="Arial" w:cs="Arial"/>
          <w:sz w:val="22"/>
          <w14:ligatures w14:val="none"/>
        </w:rPr>
      </w:pPr>
      <w:r w:rsidRPr="0052710B">
        <w:rPr>
          <w:rFonts w:ascii="Arial" w:hAnsi="Arial" w:cs="Arial"/>
          <w:sz w:val="22"/>
          <w14:ligatures w14:val="none"/>
        </w:rPr>
        <w:t>Residents in growth areas face a 37% accessibility gap in public transport.</w:t>
      </w:r>
    </w:p>
    <w:p w14:paraId="6964DDB6" w14:textId="77777777" w:rsidR="00B41940" w:rsidRPr="0052710B" w:rsidRDefault="00B41940" w:rsidP="00B41940">
      <w:pPr>
        <w:pStyle w:val="ListParagraph"/>
        <w:numPr>
          <w:ilvl w:val="0"/>
          <w:numId w:val="4"/>
        </w:numPr>
        <w:autoSpaceDE w:val="0"/>
        <w:autoSpaceDN w:val="0"/>
        <w:adjustRightInd w:val="0"/>
        <w:spacing w:after="0" w:line="240" w:lineRule="auto"/>
        <w:contextualSpacing w:val="0"/>
        <w:rPr>
          <w:rFonts w:ascii="Arial" w:hAnsi="Arial" w:cs="Arial"/>
          <w:sz w:val="22"/>
          <w14:ligatures w14:val="none"/>
        </w:rPr>
      </w:pPr>
      <w:r w:rsidRPr="0052710B">
        <w:rPr>
          <w:rFonts w:ascii="Arial" w:hAnsi="Arial" w:cs="Arial"/>
          <w:sz w:val="22"/>
          <w14:ligatures w14:val="none"/>
        </w:rPr>
        <w:t xml:space="preserve">Growth areas have 68% less access to sports and leisure facilities (Liveability indicator score: 0.07 vs. 0.23). </w:t>
      </w:r>
    </w:p>
    <w:p w14:paraId="5D9A898C" w14:textId="77777777" w:rsidR="00B41940" w:rsidRPr="0052710B" w:rsidRDefault="00B41940" w:rsidP="00B41940">
      <w:pPr>
        <w:pStyle w:val="ListParagraph"/>
        <w:numPr>
          <w:ilvl w:val="0"/>
          <w:numId w:val="4"/>
        </w:numPr>
        <w:autoSpaceDE w:val="0"/>
        <w:autoSpaceDN w:val="0"/>
        <w:adjustRightInd w:val="0"/>
        <w:spacing w:after="0" w:line="240" w:lineRule="auto"/>
        <w:contextualSpacing w:val="0"/>
        <w:rPr>
          <w:rFonts w:ascii="Arial" w:hAnsi="Arial" w:cs="Arial"/>
          <w:sz w:val="22"/>
          <w14:ligatures w14:val="none"/>
        </w:rPr>
      </w:pPr>
      <w:r w:rsidRPr="0052710B">
        <w:rPr>
          <w:rFonts w:ascii="Arial" w:hAnsi="Arial" w:cs="Arial"/>
          <w:sz w:val="22"/>
          <w14:ligatures w14:val="none"/>
        </w:rPr>
        <w:t>Access to arts and cultural facilities in growth areas is 44% lower (Liveability indicator score: 0.49 vs. 0.87)</w:t>
      </w:r>
    </w:p>
    <w:p w14:paraId="0C9BB86C" w14:textId="77777777" w:rsidR="00B41940" w:rsidRPr="0052710B" w:rsidRDefault="00B41940" w:rsidP="00B41940">
      <w:pPr>
        <w:pStyle w:val="ListParagraph"/>
        <w:numPr>
          <w:ilvl w:val="0"/>
          <w:numId w:val="4"/>
        </w:numPr>
        <w:autoSpaceDE w:val="0"/>
        <w:autoSpaceDN w:val="0"/>
        <w:adjustRightInd w:val="0"/>
        <w:spacing w:after="0" w:line="240" w:lineRule="auto"/>
        <w:contextualSpacing w:val="0"/>
        <w:rPr>
          <w:rFonts w:ascii="Arial" w:hAnsi="Arial" w:cs="Arial"/>
          <w:sz w:val="22"/>
          <w14:ligatures w14:val="none"/>
        </w:rPr>
      </w:pPr>
      <w:r w:rsidRPr="0052710B">
        <w:rPr>
          <w:rFonts w:ascii="Arial" w:hAnsi="Arial" w:cs="Arial"/>
          <w:sz w:val="22"/>
          <w14:ligatures w14:val="none"/>
        </w:rPr>
        <w:t xml:space="preserve">Access to health care facilities in growth areas is 48% lower (Liveability indicator score: 1.25 vs. 2.42). </w:t>
      </w:r>
    </w:p>
    <w:p w14:paraId="4CFEC4AD" w14:textId="77777777" w:rsidR="00B41940" w:rsidRPr="0052710B" w:rsidRDefault="00B41940" w:rsidP="00B41940">
      <w:pPr>
        <w:pStyle w:val="ListParagraph"/>
        <w:numPr>
          <w:ilvl w:val="0"/>
          <w:numId w:val="4"/>
        </w:numPr>
        <w:autoSpaceDE w:val="0"/>
        <w:autoSpaceDN w:val="0"/>
        <w:adjustRightInd w:val="0"/>
        <w:spacing w:after="0" w:line="240" w:lineRule="auto"/>
        <w:contextualSpacing w:val="0"/>
        <w:rPr>
          <w:rFonts w:ascii="Arial" w:hAnsi="Arial" w:cs="Arial"/>
          <w:sz w:val="22"/>
          <w14:ligatures w14:val="none"/>
        </w:rPr>
      </w:pPr>
      <w:r w:rsidRPr="0052710B">
        <w:rPr>
          <w:rFonts w:ascii="Arial" w:hAnsi="Arial" w:cs="Arial"/>
          <w:sz w:val="22"/>
          <w14:ligatures w14:val="none"/>
        </w:rPr>
        <w:t>Growth areas score 21% lower for access to education facilities (Liveability indicator score: 1.99 vs. 2.53).</w:t>
      </w:r>
    </w:p>
    <w:p w14:paraId="6FA4F32C" w14:textId="77777777" w:rsidR="00CE55B9" w:rsidRPr="00D3023A" w:rsidRDefault="00CE55B9" w:rsidP="004351C2">
      <w:pPr>
        <w:autoSpaceDE w:val="0"/>
        <w:autoSpaceDN w:val="0"/>
        <w:adjustRightInd w:val="0"/>
        <w:rPr>
          <w:rFonts w:ascii="Arial" w:hAnsi="Arial" w:cs="Arial"/>
          <w:sz w:val="22"/>
          <w14:ligatures w14:val="none"/>
        </w:rPr>
      </w:pPr>
    </w:p>
    <w:p w14:paraId="1B6C7917" w14:textId="087FC78B" w:rsidR="00F32B16" w:rsidRDefault="00B41940" w:rsidP="00003B21">
      <w:pPr>
        <w:spacing w:line="259" w:lineRule="auto"/>
        <w:rPr>
          <w:rFonts w:ascii="Arial" w:hAnsi="Arial" w:cs="Arial"/>
        </w:rPr>
      </w:pPr>
      <w:r>
        <w:rPr>
          <w:noProof/>
        </w:rPr>
        <mc:AlternateContent>
          <mc:Choice Requires="wps">
            <w:drawing>
              <wp:anchor distT="0" distB="0" distL="114300" distR="114300" simplePos="0" relativeHeight="251658242" behindDoc="0" locked="0" layoutInCell="1" allowOverlap="1" wp14:anchorId="712147D6" wp14:editId="24CDE0C5">
                <wp:simplePos x="0" y="0"/>
                <wp:positionH relativeFrom="column">
                  <wp:posOffset>2937510</wp:posOffset>
                </wp:positionH>
                <wp:positionV relativeFrom="paragraph">
                  <wp:posOffset>1900555</wp:posOffset>
                </wp:positionV>
                <wp:extent cx="3070225" cy="635"/>
                <wp:effectExtent l="0" t="0" r="0" b="0"/>
                <wp:wrapSquare wrapText="bothSides"/>
                <wp:docPr id="653136551" name="Text Box 1"/>
                <wp:cNvGraphicFramePr/>
                <a:graphic xmlns:a="http://schemas.openxmlformats.org/drawingml/2006/main">
                  <a:graphicData uri="http://schemas.microsoft.com/office/word/2010/wordprocessingShape">
                    <wps:wsp>
                      <wps:cNvSpPr txBox="1"/>
                      <wps:spPr>
                        <a:xfrm>
                          <a:off x="0" y="0"/>
                          <a:ext cx="3070225" cy="635"/>
                        </a:xfrm>
                        <a:prstGeom prst="rect">
                          <a:avLst/>
                        </a:prstGeom>
                        <a:solidFill>
                          <a:prstClr val="white"/>
                        </a:solidFill>
                        <a:ln>
                          <a:noFill/>
                        </a:ln>
                      </wps:spPr>
                      <wps:txbx>
                        <w:txbxContent>
                          <w:p w14:paraId="6A833264" w14:textId="77777777" w:rsidR="00B41940" w:rsidRPr="0040100D" w:rsidRDefault="00B41940" w:rsidP="00B41940">
                            <w:pPr>
                              <w:pStyle w:val="Caption"/>
                              <w:rPr>
                                <w:rFonts w:ascii="Arial" w:hAnsi="Arial" w:cs="Arial"/>
                                <w:sz w:val="22"/>
                                <w:szCs w:val="22"/>
                                <w14:ligatures w14:val="none"/>
                              </w:rPr>
                            </w:pPr>
                            <w:r>
                              <w:t xml:space="preserve">Figure </w:t>
                            </w:r>
                            <w:r>
                              <w:fldChar w:fldCharType="begin"/>
                            </w:r>
                            <w:r>
                              <w:instrText xml:space="preserve"> SEQ Figure \* ARABIC </w:instrText>
                            </w:r>
                            <w:r>
                              <w:fldChar w:fldCharType="separate"/>
                            </w:r>
                            <w:r>
                              <w:rPr>
                                <w:noProof/>
                              </w:rPr>
                              <w:t>1</w:t>
                            </w:r>
                            <w:r>
                              <w:fldChar w:fldCharType="end"/>
                            </w:r>
                            <w:r>
                              <w:t>: Access to Frequent Public Transport within 400m across Sydney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12147D6" id="Text Box 1" o:spid="_x0000_s1027" type="#_x0000_t202" style="position:absolute;margin-left:231.3pt;margin-top:149.65pt;width:241.75pt;height:.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" stroked="f">
                <v:textbox style="mso-fit-shape-to-text:t" inset="0,0,0,0">
                  <w:txbxContent>
                    <w:p w14:paraId="6A833264" w14:textId="77777777" w:rsidR="00B41940" w:rsidRPr="0040100D" w:rsidRDefault="00B41940" w:rsidP="00B41940">
                      <w:pPr>
                        <w:pStyle w:val="Caption"/>
                        <w:rPr>
                          <w:rFonts w:ascii="Arial" w:hAnsi="Arial" w:cs="Arial"/>
                          <w:sz w:val="22"/>
                          <w:szCs w:val="22"/>
                          <w14:ligatures w14:val="none"/>
                        </w:rPr>
                      </w:pPr>
                      <w:r>
                        <w:t xml:space="preserve">Figure </w:t>
                      </w:r>
                      <w:r>
                        <w:fldChar w:fldCharType="begin"/>
                      </w:r>
                      <w:r>
                        <w:instrText xml:space="preserve"> SEQ Figure \* ARABIC </w:instrText>
                      </w:r>
                      <w:r>
                        <w:fldChar w:fldCharType="separate"/>
                      </w:r>
                      <w:r>
                        <w:rPr>
                          <w:noProof/>
                        </w:rPr>
                        <w:t>1</w:t>
                      </w:r>
                      <w:r>
                        <w:fldChar w:fldCharType="end"/>
                      </w:r>
                      <w:r>
                        <w:t>: Access to Frequent Public Transport within 400m across Sydney</w:t>
                      </w:r>
                    </w:p>
                  </w:txbxContent>
                </v:textbox>
                <w10:wrap type="square"/>
              </v:shape>
            </w:pict>
          </mc:Fallback>
        </mc:AlternateContent>
      </w:r>
      <w:r w:rsidRPr="006848B9">
        <w:rPr>
          <w:rFonts w:ascii="Arial" w:hAnsi="Arial" w:cs="Arial"/>
          <w:noProof/>
          <w:sz w:val="22"/>
          <w14:ligatures w14:val="none"/>
        </w:rPr>
        <w:drawing>
          <wp:anchor distT="0" distB="0" distL="114300" distR="114300" simplePos="0" relativeHeight="251658241" behindDoc="0" locked="0" layoutInCell="1" allowOverlap="1" wp14:anchorId="09349B25" wp14:editId="4230890C">
            <wp:simplePos x="0" y="0"/>
            <wp:positionH relativeFrom="column">
              <wp:posOffset>2937510</wp:posOffset>
            </wp:positionH>
            <wp:positionV relativeFrom="paragraph">
              <wp:posOffset>118110</wp:posOffset>
            </wp:positionV>
            <wp:extent cx="3070225" cy="1725295"/>
            <wp:effectExtent l="0" t="0" r="0" b="8255"/>
            <wp:wrapSquare wrapText="bothSides"/>
            <wp:docPr id="1951925035" name="Picture 1" descr="A map of the state of australi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25035" name="Picture 1" descr="A map of the state of australia&#10;&#10;Description automatically generated"/>
                    <pic:cNvPicPr/>
                  </pic:nvPicPr>
                  <pic:blipFill rotWithShape="1">
                    <a:blip r:embed="rId15">
                      <a:extLst>
                        <a:ext uri="{28A0092B-C50C-407E-A947-70E740481C1C}">
                          <a14:useLocalDpi xmlns:a14="http://schemas.microsoft.com/office/drawing/2010/main" val="0"/>
                        </a:ext>
                      </a:extLst>
                    </a:blip>
                    <a:srcRect l="14432" t="9485"/>
                    <a:stretch/>
                  </pic:blipFill>
                  <pic:spPr bwMode="auto">
                    <a:xfrm>
                      <a:off x="0" y="0"/>
                      <a:ext cx="3070225" cy="17252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2710B">
        <w:rPr>
          <w:rFonts w:ascii="Arial" w:hAnsi="Arial" w:cs="Arial"/>
          <w:sz w:val="22"/>
          <w14:ligatures w14:val="none"/>
        </w:rPr>
        <w:t>For [</w:t>
      </w:r>
      <w:r w:rsidRPr="00D5122B">
        <w:rPr>
          <w:rFonts w:ascii="Arial" w:hAnsi="Arial" w:cs="Arial"/>
          <w:sz w:val="22"/>
          <w:highlight w:val="yellow"/>
          <w14:ligatures w14:val="none"/>
        </w:rPr>
        <w:t>Insert LGA area here</w:t>
      </w:r>
      <w:r w:rsidRPr="0052710B">
        <w:rPr>
          <w:rFonts w:ascii="Arial" w:hAnsi="Arial" w:cs="Arial"/>
          <w:sz w:val="22"/>
          <w14:ligatures w14:val="none"/>
        </w:rPr>
        <w:t xml:space="preserve">], the Growth Areas Liveability Scorecards </w:t>
      </w:r>
      <w:r>
        <w:rPr>
          <w:rFonts w:ascii="Arial" w:hAnsi="Arial" w:cs="Arial"/>
          <w:sz w:val="22"/>
          <w14:ligatures w14:val="none"/>
        </w:rPr>
        <w:t xml:space="preserve">demonstrate </w:t>
      </w:r>
      <w:r w:rsidRPr="009F62EE">
        <w:rPr>
          <w:rFonts w:ascii="Arial" w:hAnsi="Arial" w:cs="Arial"/>
          <w:sz w:val="22"/>
          <w14:ligatures w14:val="none"/>
        </w:rPr>
        <w:t xml:space="preserve">the urgent need to prioritise Federal funding, particularly for essential infrastructure like public transport. In Sydney’s growth areas, only 63% of residents have access to regular public transport, compared to 77% in non-growth areas. This gap highlights the critical need for investment, especially with the impending launch of the Western Sydney International Airport, which will place even </w:t>
      </w:r>
      <w:r w:rsidRPr="009F62EE">
        <w:rPr>
          <w:rFonts w:ascii="Arial" w:hAnsi="Arial" w:cs="Arial"/>
          <w:sz w:val="22"/>
          <w14:ligatures w14:val="none"/>
        </w:rPr>
        <w:lastRenderedPageBreak/>
        <w:t>greater demand on the region’s transport network</w:t>
      </w:r>
      <w:r>
        <w:rPr>
          <w:rFonts w:ascii="Arial" w:hAnsi="Arial" w:cs="Arial"/>
          <w:sz w:val="22"/>
          <w14:ligatures w14:val="none"/>
        </w:rPr>
        <w:t xml:space="preserve">. </w:t>
      </w:r>
      <w:r w:rsidR="00F32B16">
        <w:rPr>
          <w:rFonts w:ascii="Arial" w:hAnsi="Arial" w:cs="Arial"/>
        </w:rPr>
        <w:br w:type="page"/>
      </w:r>
    </w:p>
    <w:p w14:paraId="19FDC371" w14:textId="25294C83" w:rsidR="00CE55B9" w:rsidRDefault="00CE55B9" w:rsidP="00CE55B9">
      <w:pPr>
        <w:pStyle w:val="Heading2"/>
      </w:pPr>
      <w:bookmarkStart w:id="7" w:name="_Fact_Sheet:_International"/>
      <w:bookmarkEnd w:id="7"/>
      <w:r>
        <w:lastRenderedPageBreak/>
        <w:t>Fact Sheet: International Best Practices in Infrastructure Funding: Lessons for Australia’s Outer Metropolitan Growth Areas</w:t>
      </w:r>
    </w:p>
    <w:p w14:paraId="3A2754F5" w14:textId="3C69043F" w:rsidR="00CE55B9" w:rsidRDefault="00CE55B9" w:rsidP="00CE55B9">
      <w:pPr>
        <w:rPr>
          <w:rFonts w:ascii="Arial" w:hAnsi="Arial" w:cs="Arial"/>
        </w:rPr>
      </w:pPr>
      <w:r w:rsidRPr="007E3D38">
        <w:rPr>
          <w:rFonts w:ascii="Arial" w:hAnsi="Arial" w:cs="Arial"/>
          <w:noProof/>
          <w:sz w:val="15"/>
          <w:szCs w:val="15"/>
          <w14:ligatures w14:val="none"/>
        </w:rPr>
        <mc:AlternateContent>
          <mc:Choice Requires="wps">
            <w:drawing>
              <wp:anchor distT="0" distB="0" distL="114300" distR="114300" simplePos="0" relativeHeight="251658243" behindDoc="0" locked="0" layoutInCell="1" allowOverlap="1" wp14:anchorId="50E4B51B" wp14:editId="23D4C9BE">
                <wp:simplePos x="0" y="0"/>
                <wp:positionH relativeFrom="page">
                  <wp:align>left</wp:align>
                </wp:positionH>
                <wp:positionV relativeFrom="paragraph">
                  <wp:posOffset>75565</wp:posOffset>
                </wp:positionV>
                <wp:extent cx="7633970" cy="950595"/>
                <wp:effectExtent l="0" t="0" r="24130" b="20955"/>
                <wp:wrapTopAndBottom/>
                <wp:docPr id="935331126" name="Text Box 935331126"/>
                <wp:cNvGraphicFramePr/>
                <a:graphic xmlns:a="http://schemas.openxmlformats.org/drawingml/2006/main">
                  <a:graphicData uri="http://schemas.microsoft.com/office/word/2010/wordprocessingShape">
                    <wps:wsp>
                      <wps:cNvSpPr txBox="1"/>
                      <wps:spPr>
                        <a:xfrm>
                          <a:off x="0" y="0"/>
                          <a:ext cx="7633970" cy="950595"/>
                        </a:xfrm>
                        <a:prstGeom prst="rect">
                          <a:avLst/>
                        </a:prstGeom>
                        <a:solidFill>
                          <a:srgbClr val="002060"/>
                        </a:solidFill>
                        <a:ln w="6350">
                          <a:solidFill>
                            <a:prstClr val="black"/>
                          </a:solidFill>
                        </a:ln>
                      </wps:spPr>
                      <wps:txbx>
                        <w:txbxContent>
                          <w:p w14:paraId="15B4B6E1" w14:textId="77777777" w:rsidR="00CE55B9" w:rsidRDefault="00CE55B9" w:rsidP="00CE55B9">
                            <w:pPr>
                              <w:jc w:val="center"/>
                              <w:rPr>
                                <w:rFonts w:ascii="Arial" w:eastAsiaTheme="majorEastAsia" w:hAnsi="Arial" w:cs="Arial"/>
                                <w:b/>
                                <w:bCs/>
                                <w:spacing w:val="-10"/>
                                <w:kern w:val="28"/>
                                <w:sz w:val="40"/>
                                <w:szCs w:val="40"/>
                              </w:rPr>
                            </w:pPr>
                            <w:r w:rsidRPr="007E3D38">
                              <w:rPr>
                                <w:rFonts w:ascii="Arial" w:eastAsiaTheme="majorEastAsia" w:hAnsi="Arial" w:cs="Arial"/>
                                <w:b/>
                                <w:bCs/>
                                <w:spacing w:val="-10"/>
                                <w:kern w:val="28"/>
                                <w:sz w:val="40"/>
                                <w:szCs w:val="40"/>
                              </w:rPr>
                              <w:t xml:space="preserve">International Best Practices in Infrastructure Funding: </w:t>
                            </w:r>
                          </w:p>
                          <w:p w14:paraId="50D8949A" w14:textId="77777777" w:rsidR="00CE55B9" w:rsidRPr="007E3D38" w:rsidRDefault="00CE55B9" w:rsidP="00CE55B9">
                            <w:pPr>
                              <w:jc w:val="center"/>
                              <w:rPr>
                                <w:rFonts w:ascii="Arial" w:eastAsiaTheme="majorEastAsia" w:hAnsi="Arial" w:cs="Arial"/>
                                <w:b/>
                                <w:bCs/>
                                <w:spacing w:val="-10"/>
                                <w:kern w:val="28"/>
                                <w:sz w:val="40"/>
                                <w:szCs w:val="40"/>
                              </w:rPr>
                            </w:pPr>
                            <w:r w:rsidRPr="007E3D38">
                              <w:rPr>
                                <w:rFonts w:ascii="Arial" w:eastAsiaTheme="majorEastAsia" w:hAnsi="Arial" w:cs="Arial"/>
                                <w:b/>
                                <w:bCs/>
                                <w:spacing w:val="-10"/>
                                <w:kern w:val="28"/>
                                <w:sz w:val="40"/>
                                <w:szCs w:val="40"/>
                              </w:rPr>
                              <w:t>Lessons for Australia’s Outer Metropolitan Growth Areas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4B51B" id="Text Box 935331126" o:spid="_x0000_s1028" type="#_x0000_t202" style="position:absolute;margin-left:0;margin-top:5.95pt;width:601.1pt;height:74.85pt;z-index:25165824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" fillcolor="#002060" strokeweight=".5pt">
                <v:textbox>
                  <w:txbxContent>
                    <w:p w14:paraId="15B4B6E1" w14:textId="77777777" w:rsidR="00CE55B9" w:rsidRDefault="00CE55B9" w:rsidP="00CE55B9">
                      <w:pPr>
                        <w:jc w:val="center"/>
                        <w:rPr>
                          <w:rFonts w:ascii="Arial" w:eastAsiaTheme="majorEastAsia" w:hAnsi="Arial" w:cs="Arial"/>
                          <w:b/>
                          <w:bCs/>
                          <w:spacing w:val="-10"/>
                          <w:kern w:val="28"/>
                          <w:sz w:val="40"/>
                          <w:szCs w:val="40"/>
                        </w:rPr>
                      </w:pPr>
                      <w:r w:rsidRPr="007E3D38">
                        <w:rPr>
                          <w:rFonts w:ascii="Arial" w:eastAsiaTheme="majorEastAsia" w:hAnsi="Arial" w:cs="Arial"/>
                          <w:b/>
                          <w:bCs/>
                          <w:spacing w:val="-10"/>
                          <w:kern w:val="28"/>
                          <w:sz w:val="40"/>
                          <w:szCs w:val="40"/>
                        </w:rPr>
                        <w:t xml:space="preserve">International Best Practices in Infrastructure Funding: </w:t>
                      </w:r>
                    </w:p>
                    <w:p w14:paraId="50D8949A" w14:textId="77777777" w:rsidR="00CE55B9" w:rsidRPr="007E3D38" w:rsidRDefault="00CE55B9" w:rsidP="00CE55B9">
                      <w:pPr>
                        <w:jc w:val="center"/>
                        <w:rPr>
                          <w:rFonts w:ascii="Arial" w:eastAsiaTheme="majorEastAsia" w:hAnsi="Arial" w:cs="Arial"/>
                          <w:b/>
                          <w:bCs/>
                          <w:spacing w:val="-10"/>
                          <w:kern w:val="28"/>
                          <w:sz w:val="40"/>
                          <w:szCs w:val="40"/>
                        </w:rPr>
                      </w:pPr>
                      <w:r w:rsidRPr="007E3D38">
                        <w:rPr>
                          <w:rFonts w:ascii="Arial" w:eastAsiaTheme="majorEastAsia" w:hAnsi="Arial" w:cs="Arial"/>
                          <w:b/>
                          <w:bCs/>
                          <w:spacing w:val="-10"/>
                          <w:kern w:val="28"/>
                          <w:sz w:val="40"/>
                          <w:szCs w:val="40"/>
                        </w:rPr>
                        <w:t>Lessons for Australia’s Outer Metropolitan Growth Areas</w:t>
                      </w:r>
                    </w:p>
                  </w:txbxContent>
                </v:textbox>
                <w10:wrap type="topAndBottom" anchorx="page"/>
              </v:shape>
            </w:pict>
          </mc:Fallback>
        </mc:AlternateContent>
      </w:r>
    </w:p>
    <w:p w14:paraId="373F807F" w14:textId="2A6B063B" w:rsidR="00CE55B9" w:rsidRPr="00EA72CA" w:rsidRDefault="00CE55B9" w:rsidP="00CE55B9">
      <w:pPr>
        <w:rPr>
          <w:rFonts w:ascii="Arial" w:hAnsi="Arial" w:cs="Arial"/>
          <w:sz w:val="22"/>
          <w:szCs w:val="22"/>
        </w:rPr>
      </w:pPr>
      <w:r w:rsidRPr="00EA72CA">
        <w:rPr>
          <w:rFonts w:ascii="Arial" w:hAnsi="Arial" w:cs="Arial"/>
          <w:sz w:val="22"/>
          <w:szCs w:val="22"/>
        </w:rPr>
        <w:t xml:space="preserve">Learning from international best practices can help Australia’s growth areas overcome persistent infrastructure challenges and deliver better outcomes for rapidly </w:t>
      </w:r>
      <w:r w:rsidR="009D42BA">
        <w:rPr>
          <w:rFonts w:ascii="Arial" w:hAnsi="Arial" w:cs="Arial"/>
          <w:sz w:val="22"/>
          <w:szCs w:val="22"/>
        </w:rPr>
        <w:t>growing</w:t>
      </w:r>
      <w:r w:rsidRPr="00EA72CA">
        <w:rPr>
          <w:rFonts w:ascii="Arial" w:hAnsi="Arial" w:cs="Arial"/>
          <w:sz w:val="22"/>
          <w:szCs w:val="22"/>
        </w:rPr>
        <w:t xml:space="preserve"> communities. </w:t>
      </w:r>
    </w:p>
    <w:p w14:paraId="1A3155B1" w14:textId="77777777" w:rsidR="00CE55B9" w:rsidRPr="00EA72CA" w:rsidRDefault="00CE55B9" w:rsidP="00CE55B9">
      <w:pPr>
        <w:rPr>
          <w:rFonts w:ascii="Arial" w:hAnsi="Arial" w:cs="Arial"/>
          <w:sz w:val="22"/>
          <w:szCs w:val="22"/>
        </w:rPr>
      </w:pPr>
      <w:r w:rsidRPr="00EA72CA">
        <w:rPr>
          <w:rFonts w:ascii="Arial" w:hAnsi="Arial" w:cs="Arial"/>
          <w:sz w:val="22"/>
          <w:szCs w:val="22"/>
        </w:rPr>
        <w:t xml:space="preserve">Australia’s current infrastructure funding system is widely recognised as fragmented, inconsistent, and poorly coordinated, driven more by short-term political cycles than by a long-term strategy. This ad hoc approach leads to inefficiencies and service gaps. Furthermore, the over-reliance on competitive grant funding further exacerbates these issues by prioritising projects based on competition rather than equitable or strategic need. </w:t>
      </w:r>
    </w:p>
    <w:p w14:paraId="71B11AB3" w14:textId="77777777" w:rsidR="00CE55B9" w:rsidRDefault="00CE55B9" w:rsidP="00CE55B9">
      <w:pPr>
        <w:pStyle w:val="NormalWeb"/>
        <w:jc w:val="both"/>
        <w:rPr>
          <w:rFonts w:ascii="Arial" w:hAnsi="Arial" w:cs="Arial"/>
          <w:sz w:val="22"/>
          <w:szCs w:val="22"/>
        </w:rPr>
      </w:pPr>
      <w:r w:rsidRPr="00EA72CA">
        <w:rPr>
          <w:rFonts w:ascii="Arial" w:hAnsi="Arial" w:cs="Arial"/>
          <w:sz w:val="22"/>
          <w:szCs w:val="22"/>
        </w:rPr>
        <w:t>Australia’s growth areas will continue to face congested roads, limited access to healthcare and education, and reduced liveability until policies prioritise funding that addresses infrastructure deficits in these underserved regions.</w:t>
      </w:r>
    </w:p>
    <w:p w14:paraId="325A3618" w14:textId="77777777" w:rsidR="00CE55B9" w:rsidRPr="00EA72CA" w:rsidRDefault="00CE55B9" w:rsidP="00CE55B9">
      <w:pPr>
        <w:rPr>
          <w:rFonts w:ascii="Arial" w:hAnsi="Arial" w:cs="Arial"/>
          <w:sz w:val="22"/>
          <w:szCs w:val="22"/>
        </w:rPr>
      </w:pPr>
      <w:r>
        <w:rPr>
          <w:rFonts w:ascii="Arial" w:hAnsi="Arial" w:cs="Arial"/>
          <w:sz w:val="22"/>
          <w:szCs w:val="22"/>
        </w:rPr>
        <w:t>This</w:t>
      </w:r>
      <w:r w:rsidRPr="00EA72CA">
        <w:rPr>
          <w:rFonts w:ascii="Arial" w:hAnsi="Arial" w:cs="Arial"/>
          <w:sz w:val="22"/>
          <w:szCs w:val="22"/>
        </w:rPr>
        <w:t xml:space="preserve"> report from Western Sydney University’s Urban Transformations Research Centre highlights key strategies used overseas, offering valuable lessons for ensuring sustainable and effective infrastructure investment. </w:t>
      </w:r>
    </w:p>
    <w:p w14:paraId="49DA144E" w14:textId="77777777" w:rsidR="00CE55B9" w:rsidRPr="00EA72CA" w:rsidRDefault="00CE55B9" w:rsidP="00CE55B9">
      <w:pPr>
        <w:rPr>
          <w:rFonts w:ascii="Arial" w:hAnsi="Arial" w:cs="Arial"/>
          <w:sz w:val="22"/>
          <w:szCs w:val="22"/>
        </w:rPr>
      </w:pPr>
      <w:r w:rsidRPr="00EA72CA">
        <w:rPr>
          <w:rFonts w:ascii="Arial" w:hAnsi="Arial" w:cs="Arial"/>
          <w:sz w:val="22"/>
          <w:szCs w:val="22"/>
        </w:rPr>
        <w:t>Based on the research, the key learnings that can support funding frameworks for Australia’s growth areas are:</w:t>
      </w:r>
    </w:p>
    <w:p w14:paraId="4E49C927" w14:textId="77777777" w:rsidR="00CE55B9" w:rsidRPr="007E3D38" w:rsidRDefault="00CE55B9" w:rsidP="00CE55B9">
      <w:pPr>
        <w:numPr>
          <w:ilvl w:val="0"/>
          <w:numId w:val="5"/>
        </w:numPr>
        <w:rPr>
          <w:rFonts w:ascii="Arial" w:hAnsi="Arial" w:cs="Arial"/>
          <w:b/>
          <w:bCs/>
          <w:sz w:val="22"/>
          <w:szCs w:val="22"/>
        </w:rPr>
      </w:pPr>
      <w:r w:rsidRPr="00EA72CA">
        <w:rPr>
          <w:rFonts w:ascii="Arial" w:hAnsi="Arial" w:cs="Arial"/>
          <w:b/>
          <w:bCs/>
          <w:sz w:val="22"/>
          <w:szCs w:val="22"/>
        </w:rPr>
        <w:t xml:space="preserve">Longevity: </w:t>
      </w:r>
      <w:r w:rsidRPr="007E3D38">
        <w:rPr>
          <w:rFonts w:ascii="Arial" w:hAnsi="Arial" w:cs="Arial"/>
          <w:sz w:val="22"/>
          <w:szCs w:val="22"/>
        </w:rPr>
        <w:t>Establish multi-year funding commitments to ensure stability in infrastructure planning and maintenance.</w:t>
      </w:r>
    </w:p>
    <w:p w14:paraId="7FB6CEAE" w14:textId="77777777" w:rsidR="00CE55B9" w:rsidRPr="00EA72CA" w:rsidRDefault="00CE55B9" w:rsidP="00CE55B9">
      <w:pPr>
        <w:numPr>
          <w:ilvl w:val="0"/>
          <w:numId w:val="5"/>
        </w:numPr>
        <w:rPr>
          <w:rFonts w:ascii="Arial" w:hAnsi="Arial" w:cs="Arial"/>
          <w:sz w:val="22"/>
          <w:szCs w:val="22"/>
        </w:rPr>
      </w:pPr>
      <w:r w:rsidRPr="00EA72CA">
        <w:rPr>
          <w:rFonts w:ascii="Arial" w:hAnsi="Arial" w:cs="Arial"/>
          <w:b/>
          <w:bCs/>
          <w:sz w:val="22"/>
          <w:szCs w:val="22"/>
        </w:rPr>
        <w:t xml:space="preserve">Collaboration: </w:t>
      </w:r>
      <w:r w:rsidRPr="007E3D38">
        <w:rPr>
          <w:rFonts w:ascii="Arial" w:hAnsi="Arial" w:cs="Arial"/>
          <w:sz w:val="22"/>
          <w:szCs w:val="22"/>
        </w:rPr>
        <w:t>Strengthen collaboration with local stakeholders and community organisations.</w:t>
      </w:r>
    </w:p>
    <w:p w14:paraId="2323F089" w14:textId="77777777" w:rsidR="00CE55B9" w:rsidRPr="007E3D38" w:rsidRDefault="00CE55B9" w:rsidP="00CE55B9">
      <w:pPr>
        <w:numPr>
          <w:ilvl w:val="0"/>
          <w:numId w:val="5"/>
        </w:numPr>
        <w:rPr>
          <w:rFonts w:ascii="Arial" w:hAnsi="Arial" w:cs="Arial"/>
          <w:sz w:val="22"/>
          <w:szCs w:val="22"/>
        </w:rPr>
      </w:pPr>
      <w:r w:rsidRPr="00EA72CA">
        <w:rPr>
          <w:rFonts w:ascii="Arial" w:hAnsi="Arial" w:cs="Arial"/>
          <w:b/>
          <w:bCs/>
          <w:sz w:val="22"/>
          <w:szCs w:val="22"/>
        </w:rPr>
        <w:t xml:space="preserve">Community-Defined Needs: </w:t>
      </w:r>
      <w:r w:rsidRPr="007E3D38">
        <w:rPr>
          <w:rFonts w:ascii="Arial" w:hAnsi="Arial" w:cs="Arial"/>
          <w:sz w:val="22"/>
          <w:szCs w:val="22"/>
        </w:rPr>
        <w:t>Implement integrated funding frameworks that focus on long-term community needs.</w:t>
      </w:r>
    </w:p>
    <w:p w14:paraId="34CF6D0B" w14:textId="77777777" w:rsidR="00CE55B9" w:rsidRPr="007E3D38" w:rsidRDefault="00CE55B9" w:rsidP="00CE55B9">
      <w:pPr>
        <w:numPr>
          <w:ilvl w:val="0"/>
          <w:numId w:val="5"/>
        </w:numPr>
        <w:rPr>
          <w:rFonts w:ascii="Arial" w:hAnsi="Arial" w:cs="Arial"/>
          <w:b/>
          <w:bCs/>
          <w:sz w:val="22"/>
          <w:szCs w:val="22"/>
        </w:rPr>
      </w:pPr>
      <w:r w:rsidRPr="00EA72CA">
        <w:rPr>
          <w:rFonts w:ascii="Arial" w:hAnsi="Arial" w:cs="Arial"/>
          <w:b/>
          <w:bCs/>
          <w:sz w:val="22"/>
          <w:szCs w:val="22"/>
        </w:rPr>
        <w:t xml:space="preserve">Prioritisation: </w:t>
      </w:r>
      <w:r w:rsidRPr="007E3D38">
        <w:rPr>
          <w:rFonts w:ascii="Arial" w:hAnsi="Arial" w:cs="Arial"/>
          <w:sz w:val="22"/>
          <w:szCs w:val="22"/>
        </w:rPr>
        <w:t>Developing clear prioritisation criteria for impactful projects that specifically address the needs of outer metropolitan growth areas.</w:t>
      </w:r>
    </w:p>
    <w:p w14:paraId="14971E75" w14:textId="77777777" w:rsidR="00CE55B9" w:rsidRPr="00EA72CA" w:rsidRDefault="00CE55B9" w:rsidP="00CE55B9">
      <w:pPr>
        <w:numPr>
          <w:ilvl w:val="0"/>
          <w:numId w:val="5"/>
        </w:numPr>
        <w:rPr>
          <w:rFonts w:ascii="Arial" w:hAnsi="Arial" w:cs="Arial"/>
          <w:sz w:val="22"/>
          <w:szCs w:val="22"/>
        </w:rPr>
      </w:pPr>
      <w:r w:rsidRPr="00EA72CA">
        <w:rPr>
          <w:rFonts w:ascii="Arial" w:hAnsi="Arial" w:cs="Arial"/>
          <w:b/>
          <w:bCs/>
          <w:sz w:val="22"/>
          <w:szCs w:val="22"/>
        </w:rPr>
        <w:t>Evaluation</w:t>
      </w:r>
      <w:r w:rsidRPr="00EA72CA">
        <w:rPr>
          <w:rFonts w:ascii="Arial" w:hAnsi="Arial" w:cs="Arial"/>
          <w:sz w:val="22"/>
          <w:szCs w:val="22"/>
        </w:rPr>
        <w:t xml:space="preserve">: </w:t>
      </w:r>
      <w:r w:rsidRPr="007E3D38">
        <w:rPr>
          <w:rFonts w:ascii="Arial" w:hAnsi="Arial" w:cs="Arial"/>
          <w:sz w:val="22"/>
          <w:szCs w:val="22"/>
        </w:rPr>
        <w:t>Incorporating regular evaluation to guide continuous improvement.</w:t>
      </w:r>
    </w:p>
    <w:p w14:paraId="047831B8" w14:textId="77777777" w:rsidR="00CE55B9" w:rsidRPr="00EA72CA" w:rsidRDefault="00CE55B9" w:rsidP="00CE55B9">
      <w:pPr>
        <w:rPr>
          <w:rFonts w:ascii="Arial" w:hAnsi="Arial" w:cs="Arial"/>
          <w:sz w:val="22"/>
          <w:szCs w:val="22"/>
        </w:rPr>
      </w:pPr>
    </w:p>
    <w:p w14:paraId="1920483A" w14:textId="1BD9EC93" w:rsidR="00427A53" w:rsidRDefault="00CE55B9" w:rsidP="001C6CB7">
      <w:r w:rsidRPr="00EA72CA">
        <w:rPr>
          <w:rFonts w:ascii="Arial" w:hAnsi="Arial" w:cs="Arial"/>
          <w:sz w:val="22"/>
          <w:szCs w:val="22"/>
        </w:rPr>
        <w:t>Adopting these recommendations can help ensure that infrastructure investment more effectively addresses the specific challenges of outer metropolitan growth areas, fostering the development of resilient and sustainable urban environments.</w:t>
      </w:r>
    </w:p>
    <w:p w14:paraId="49EC1B40" w14:textId="77777777" w:rsidR="00722637" w:rsidRDefault="00722637" w:rsidP="001C6CB7"/>
    <w:p w14:paraId="4994F12F" w14:textId="77777777" w:rsidR="001C6CB7" w:rsidRDefault="001C6CB7" w:rsidP="001C6CB7"/>
    <w:sectPr w:rsidR="001C6CB7">
      <w:headerReference w:type="even" r:id="rId16"/>
      <w:head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BFFFA" w14:textId="77777777" w:rsidR="003F1193" w:rsidRDefault="003F1193" w:rsidP="00722637">
      <w:pPr>
        <w:spacing w:after="0" w:line="240" w:lineRule="auto"/>
      </w:pPr>
      <w:r>
        <w:separator/>
      </w:r>
    </w:p>
  </w:endnote>
  <w:endnote w:type="continuationSeparator" w:id="0">
    <w:p w14:paraId="465A3D65" w14:textId="77777777" w:rsidR="003F1193" w:rsidRDefault="003F1193" w:rsidP="00722637">
      <w:pPr>
        <w:spacing w:after="0" w:line="240" w:lineRule="auto"/>
      </w:pPr>
      <w:r>
        <w:continuationSeparator/>
      </w:r>
    </w:p>
  </w:endnote>
  <w:endnote w:type="continuationNotice" w:id="1">
    <w:p w14:paraId="7CCA0ABA" w14:textId="77777777" w:rsidR="003F1193" w:rsidRDefault="003F11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venir Book">
    <w:altName w:val="Calibri"/>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Poppins-Light">
    <w:altName w:val="Poppins"/>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11B3" w14:textId="77777777" w:rsidR="003F1193" w:rsidRDefault="003F1193" w:rsidP="00722637">
      <w:pPr>
        <w:spacing w:after="0" w:line="240" w:lineRule="auto"/>
      </w:pPr>
      <w:r>
        <w:separator/>
      </w:r>
    </w:p>
  </w:footnote>
  <w:footnote w:type="continuationSeparator" w:id="0">
    <w:p w14:paraId="428F3A2D" w14:textId="77777777" w:rsidR="003F1193" w:rsidRDefault="003F1193" w:rsidP="00722637">
      <w:pPr>
        <w:spacing w:after="0" w:line="240" w:lineRule="auto"/>
      </w:pPr>
      <w:r>
        <w:continuationSeparator/>
      </w:r>
    </w:p>
  </w:footnote>
  <w:footnote w:type="continuationNotice" w:id="1">
    <w:p w14:paraId="20FFF9FD" w14:textId="77777777" w:rsidR="003F1193" w:rsidRDefault="003F1193">
      <w:pPr>
        <w:spacing w:after="0" w:line="240" w:lineRule="auto"/>
      </w:pPr>
    </w:p>
  </w:footnote>
  <w:footnote w:id="2">
    <w:p w14:paraId="1B53DF4A" w14:textId="77777777" w:rsidR="00024AB3" w:rsidRPr="006B5599" w:rsidRDefault="00024AB3" w:rsidP="00024AB3">
      <w:pPr>
        <w:pStyle w:val="FootnoteText"/>
        <w:rPr>
          <w:lang w:val="en-AU"/>
        </w:rPr>
      </w:pPr>
      <w:r>
        <w:rPr>
          <w:rStyle w:val="FootnoteReference"/>
        </w:rPr>
        <w:footnoteRef/>
      </w:r>
      <w:r>
        <w:t xml:space="preserve"> ABS 2024</w:t>
      </w:r>
      <w:r w:rsidRPr="00655B91">
        <w:t xml:space="preserve"> Regional Population Growth</w:t>
      </w:r>
      <w:r>
        <w:t xml:space="preserve"> 2022-23</w:t>
      </w:r>
      <w:r w:rsidRPr="00655B91">
        <w:t>, Australia (3218.0)</w:t>
      </w:r>
      <w:r>
        <w:t xml:space="preserve"> in </w:t>
      </w:r>
      <w:hyperlink r:id="rId1" w:history="1">
        <w:r w:rsidRPr="00550E22">
          <w:rPr>
            <w:rStyle w:val="Hyperlink"/>
          </w:rPr>
          <w:t>Growth areas Community Profile</w:t>
        </w:r>
      </w:hyperlink>
      <w:r>
        <w:t xml:space="preserve">, </w:t>
      </w:r>
      <w:hyperlink r:id="rId2" w:history="1">
        <w:r w:rsidRPr="00655B91">
          <w:rPr>
            <w:rStyle w:val="Hyperlink"/>
          </w:rPr>
          <w:t>Compiled and presented by .id</w:t>
        </w:r>
      </w:hyperlink>
      <w:r w:rsidRPr="00655B91">
        <w:t xml:space="preserve"> (informed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37FB" w14:textId="29B52F4C" w:rsidR="008C3621" w:rsidRDefault="008C3621">
    <w:pPr>
      <w:pStyle w:val="Header"/>
    </w:pPr>
    <w:r>
      <w:rPr>
        <w:noProof/>
      </w:rPr>
      <mc:AlternateContent>
        <mc:Choice Requires="wps">
          <w:drawing>
            <wp:anchor distT="0" distB="0" distL="0" distR="0" simplePos="0" relativeHeight="251658241" behindDoc="0" locked="0" layoutInCell="1" allowOverlap="1" wp14:anchorId="26E44BCE" wp14:editId="79AA44CD">
              <wp:simplePos x="635" y="635"/>
              <wp:positionH relativeFrom="page">
                <wp:align>center</wp:align>
              </wp:positionH>
              <wp:positionV relativeFrom="page">
                <wp:align>top</wp:align>
              </wp:positionV>
              <wp:extent cx="643255" cy="441960"/>
              <wp:effectExtent l="0" t="0" r="4445" b="15240"/>
              <wp:wrapNone/>
              <wp:docPr id="12113523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5DCA3946" w14:textId="320418DC" w:rsidR="008C3621" w:rsidRPr="008C3621" w:rsidRDefault="008C3621" w:rsidP="008C3621">
                          <w:pPr>
                            <w:spacing w:after="0"/>
                            <w:rPr>
                              <w:rFonts w:ascii="Calibri" w:eastAsia="Calibri" w:hAnsi="Calibri" w:cs="Calibri"/>
                              <w:noProof/>
                              <w:color w:val="000000"/>
                              <w:sz w:val="28"/>
                              <w:szCs w:val="28"/>
                            </w:rPr>
                          </w:pPr>
                          <w:r w:rsidRPr="008C362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E44BCE" id="_x0000_t202" coordsize="21600,21600" o:spt="202" path="m,l,21600r21600,l21600,xe">
              <v:stroke joinstyle="miter"/>
              <v:path gradientshapeok="t" o:connecttype="rect"/>
            </v:shapetype>
            <v:shape id="Text Box 2" o:spid="_x0000_s1029" type="#_x0000_t202" alt="OFFICIAL" style="position:absolute;margin-left:0;margin-top:0;width:50.65pt;height:34.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" filled="f" stroked="f">
              <v:textbox style="mso-fit-shape-to-text:t" inset="0,15pt,0,0">
                <w:txbxContent>
                  <w:p w14:paraId="5DCA3946" w14:textId="320418DC" w:rsidR="008C3621" w:rsidRPr="008C3621" w:rsidRDefault="008C3621" w:rsidP="008C3621">
                    <w:pPr>
                      <w:spacing w:after="0"/>
                      <w:rPr>
                        <w:rFonts w:ascii="Calibri" w:eastAsia="Calibri" w:hAnsi="Calibri" w:cs="Calibri"/>
                        <w:noProof/>
                        <w:color w:val="000000"/>
                        <w:sz w:val="28"/>
                        <w:szCs w:val="28"/>
                      </w:rPr>
                    </w:pPr>
                    <w:r w:rsidRPr="008C3621">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73A5" w14:textId="79B66D64" w:rsidR="008C3621" w:rsidRDefault="006A62F3" w:rsidP="006A62F3">
    <w:pPr>
      <w:pStyle w:val="Header"/>
      <w:jc w:val="right"/>
    </w:pPr>
    <w:r>
      <w:rPr>
        <w:noProof/>
      </w:rPr>
      <w:drawing>
        <wp:anchor distT="0" distB="0" distL="114300" distR="114300" simplePos="0" relativeHeight="251660290" behindDoc="0" locked="0" layoutInCell="1" allowOverlap="1" wp14:anchorId="668F8771" wp14:editId="02251690">
          <wp:simplePos x="0" y="0"/>
          <wp:positionH relativeFrom="column">
            <wp:posOffset>4931410</wp:posOffset>
          </wp:positionH>
          <wp:positionV relativeFrom="paragraph">
            <wp:posOffset>-55335</wp:posOffset>
          </wp:positionV>
          <wp:extent cx="1280160" cy="518160"/>
          <wp:effectExtent l="0" t="0" r="0" b="0"/>
          <wp:wrapTopAndBottom/>
          <wp:docPr id="1345708538" name="Picture 7" descr="Home - National Growth Areas 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National Growth Areas Allia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008C3621">
      <w:rPr>
        <w:noProof/>
      </w:rPr>
      <mc:AlternateContent>
        <mc:Choice Requires="wps">
          <w:drawing>
            <wp:anchor distT="0" distB="0" distL="0" distR="0" simplePos="0" relativeHeight="251658242" behindDoc="0" locked="0" layoutInCell="1" allowOverlap="1" wp14:anchorId="2B69C9E7" wp14:editId="70611217">
              <wp:simplePos x="635" y="635"/>
              <wp:positionH relativeFrom="page">
                <wp:align>center</wp:align>
              </wp:positionH>
              <wp:positionV relativeFrom="page">
                <wp:align>top</wp:align>
              </wp:positionV>
              <wp:extent cx="643255" cy="441960"/>
              <wp:effectExtent l="0" t="0" r="4445" b="15240"/>
              <wp:wrapNone/>
              <wp:docPr id="9130140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76A72641" w14:textId="057375B7" w:rsidR="008C3621" w:rsidRPr="008C3621" w:rsidRDefault="008C3621" w:rsidP="008C3621">
                          <w:pPr>
                            <w:spacing w:after="0"/>
                            <w:rPr>
                              <w:rFonts w:ascii="Calibri" w:eastAsia="Calibri" w:hAnsi="Calibri" w:cs="Calibri"/>
                              <w:noProof/>
                              <w:color w:val="000000"/>
                              <w:sz w:val="28"/>
                              <w:szCs w:val="28"/>
                            </w:rPr>
                          </w:pPr>
                          <w:r w:rsidRPr="008C362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69C9E7" id="_x0000_t202" coordsize="21600,21600" o:spt="202" path="m,l,21600r21600,l21600,xe">
              <v:stroke joinstyle="miter"/>
              <v:path gradientshapeok="t" o:connecttype="rect"/>
            </v:shapetype>
            <v:shape id="Text Box 3" o:spid="_x0000_s1030" type="#_x0000_t202" alt="OFFICIAL" style="position:absolute;left:0;text-align:left;margin-left:0;margin-top:0;width:50.65pt;height:34.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XJDQ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" filled="f" stroked="f">
              <v:textbox style="mso-fit-shape-to-text:t" inset="0,15pt,0,0">
                <w:txbxContent>
                  <w:p w14:paraId="76A72641" w14:textId="057375B7" w:rsidR="008C3621" w:rsidRPr="008C3621" w:rsidRDefault="008C3621" w:rsidP="008C3621">
                    <w:pPr>
                      <w:spacing w:after="0"/>
                      <w:rPr>
                        <w:rFonts w:ascii="Calibri" w:eastAsia="Calibri" w:hAnsi="Calibri" w:cs="Calibri"/>
                        <w:noProof/>
                        <w:color w:val="000000"/>
                        <w:sz w:val="28"/>
                        <w:szCs w:val="28"/>
                      </w:rPr>
                    </w:pPr>
                    <w:r w:rsidRPr="008C3621">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AB89" w14:textId="1C4B546D" w:rsidR="008C3621" w:rsidRDefault="008C3621">
    <w:pPr>
      <w:pStyle w:val="Header"/>
    </w:pPr>
    <w:r>
      <w:rPr>
        <w:noProof/>
      </w:rPr>
      <mc:AlternateContent>
        <mc:Choice Requires="wps">
          <w:drawing>
            <wp:anchor distT="0" distB="0" distL="0" distR="0" simplePos="0" relativeHeight="251658240" behindDoc="0" locked="0" layoutInCell="1" allowOverlap="1" wp14:anchorId="10F29DC9" wp14:editId="0A0AB901">
              <wp:simplePos x="635" y="635"/>
              <wp:positionH relativeFrom="page">
                <wp:align>center</wp:align>
              </wp:positionH>
              <wp:positionV relativeFrom="page">
                <wp:align>top</wp:align>
              </wp:positionV>
              <wp:extent cx="643255" cy="441960"/>
              <wp:effectExtent l="0" t="0" r="4445" b="15240"/>
              <wp:wrapNone/>
              <wp:docPr id="181498219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3343B230" w14:textId="4717BB7F" w:rsidR="008C3621" w:rsidRPr="008C3621" w:rsidRDefault="008C3621" w:rsidP="008C3621">
                          <w:pPr>
                            <w:spacing w:after="0"/>
                            <w:rPr>
                              <w:rFonts w:ascii="Calibri" w:eastAsia="Calibri" w:hAnsi="Calibri" w:cs="Calibri"/>
                              <w:noProof/>
                              <w:color w:val="000000"/>
                              <w:sz w:val="28"/>
                              <w:szCs w:val="28"/>
                            </w:rPr>
                          </w:pPr>
                          <w:r w:rsidRPr="008C362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F29DC9" id="_x0000_t202" coordsize="21600,21600" o:spt="202" path="m,l,21600r21600,l21600,xe">
              <v:stroke joinstyle="miter"/>
              <v:path gradientshapeok="t" o:connecttype="rect"/>
            </v:shapetype>
            <v:shape id="_x0000_s1031" type="#_x0000_t202" alt="OFFICIAL" style="position:absolute;margin-left:0;margin-top:0;width:50.65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PDw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" filled="f" stroked="f">
              <v:textbox style="mso-fit-shape-to-text:t" inset="0,15pt,0,0">
                <w:txbxContent>
                  <w:p w14:paraId="3343B230" w14:textId="4717BB7F" w:rsidR="008C3621" w:rsidRPr="008C3621" w:rsidRDefault="008C3621" w:rsidP="008C3621">
                    <w:pPr>
                      <w:spacing w:after="0"/>
                      <w:rPr>
                        <w:rFonts w:ascii="Calibri" w:eastAsia="Calibri" w:hAnsi="Calibri" w:cs="Calibri"/>
                        <w:noProof/>
                        <w:color w:val="000000"/>
                        <w:sz w:val="28"/>
                        <w:szCs w:val="28"/>
                      </w:rPr>
                    </w:pPr>
                    <w:r w:rsidRPr="008C3621">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7BFB"/>
    <w:multiLevelType w:val="hybridMultilevel"/>
    <w:tmpl w:val="AB4E82FC"/>
    <w:lvl w:ilvl="0" w:tplc="C08E874A">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903F6"/>
    <w:multiLevelType w:val="hybridMultilevel"/>
    <w:tmpl w:val="AE0692CA"/>
    <w:lvl w:ilvl="0" w:tplc="CB88D3A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396143"/>
    <w:multiLevelType w:val="multilevel"/>
    <w:tmpl w:val="DA8A811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1935C5F"/>
    <w:multiLevelType w:val="hybridMultilevel"/>
    <w:tmpl w:val="B4046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64EE8"/>
    <w:multiLevelType w:val="hybridMultilevel"/>
    <w:tmpl w:val="D60C14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B32D85"/>
    <w:multiLevelType w:val="multilevel"/>
    <w:tmpl w:val="08305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A4F82"/>
    <w:multiLevelType w:val="hybridMultilevel"/>
    <w:tmpl w:val="C2C0B7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C656A3"/>
    <w:multiLevelType w:val="hybridMultilevel"/>
    <w:tmpl w:val="942A8CFA"/>
    <w:lvl w:ilvl="0" w:tplc="742A03A8">
      <w:numFmt w:val="bullet"/>
      <w:lvlText w:val=""/>
      <w:lvlJc w:val="left"/>
      <w:pPr>
        <w:ind w:left="720" w:hanging="360"/>
      </w:pPr>
      <w:rPr>
        <w:rFonts w:ascii="Symbol" w:eastAsiaTheme="minorHAnsi" w:hAnsi="Symbol" w:cs="Poppins-Regular"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E67102"/>
    <w:multiLevelType w:val="multilevel"/>
    <w:tmpl w:val="49581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CF2D1F"/>
    <w:multiLevelType w:val="hybridMultilevel"/>
    <w:tmpl w:val="92B0D2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3C77FB"/>
    <w:multiLevelType w:val="hybridMultilevel"/>
    <w:tmpl w:val="4DD8D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E477433"/>
    <w:multiLevelType w:val="multilevel"/>
    <w:tmpl w:val="4F36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0397972">
    <w:abstractNumId w:val="8"/>
  </w:num>
  <w:num w:numId="2" w16cid:durableId="1678534030">
    <w:abstractNumId w:val="6"/>
  </w:num>
  <w:num w:numId="3" w16cid:durableId="1040669343">
    <w:abstractNumId w:val="0"/>
  </w:num>
  <w:num w:numId="4" w16cid:durableId="721944817">
    <w:abstractNumId w:val="7"/>
  </w:num>
  <w:num w:numId="5" w16cid:durableId="240336471">
    <w:abstractNumId w:val="5"/>
  </w:num>
  <w:num w:numId="6" w16cid:durableId="1065182560">
    <w:abstractNumId w:val="1"/>
  </w:num>
  <w:num w:numId="7" w16cid:durableId="433526113">
    <w:abstractNumId w:val="10"/>
  </w:num>
  <w:num w:numId="8" w16cid:durableId="795298684">
    <w:abstractNumId w:val="3"/>
  </w:num>
  <w:num w:numId="9" w16cid:durableId="1248005572">
    <w:abstractNumId w:val="2"/>
  </w:num>
  <w:num w:numId="10" w16cid:durableId="1091394022">
    <w:abstractNumId w:val="11"/>
  </w:num>
  <w:num w:numId="11" w16cid:durableId="1438407779">
    <w:abstractNumId w:val="4"/>
  </w:num>
  <w:num w:numId="12" w16cid:durableId="8842168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B7"/>
    <w:rsid w:val="00003B21"/>
    <w:rsid w:val="0000423E"/>
    <w:rsid w:val="00005564"/>
    <w:rsid w:val="000071C3"/>
    <w:rsid w:val="000111A6"/>
    <w:rsid w:val="00024AB3"/>
    <w:rsid w:val="000274F6"/>
    <w:rsid w:val="00033CD6"/>
    <w:rsid w:val="00041E47"/>
    <w:rsid w:val="00052B80"/>
    <w:rsid w:val="000614F8"/>
    <w:rsid w:val="000711CF"/>
    <w:rsid w:val="000854B6"/>
    <w:rsid w:val="00093402"/>
    <w:rsid w:val="00097282"/>
    <w:rsid w:val="000A2A1C"/>
    <w:rsid w:val="000A690D"/>
    <w:rsid w:val="000B06EB"/>
    <w:rsid w:val="000B360B"/>
    <w:rsid w:val="000B4E18"/>
    <w:rsid w:val="000C5F17"/>
    <w:rsid w:val="000D2A01"/>
    <w:rsid w:val="000D3A40"/>
    <w:rsid w:val="000E3922"/>
    <w:rsid w:val="000F4519"/>
    <w:rsid w:val="00103E14"/>
    <w:rsid w:val="00110211"/>
    <w:rsid w:val="00111294"/>
    <w:rsid w:val="00122456"/>
    <w:rsid w:val="00127B1B"/>
    <w:rsid w:val="001376FA"/>
    <w:rsid w:val="001440F4"/>
    <w:rsid w:val="00145893"/>
    <w:rsid w:val="001470C0"/>
    <w:rsid w:val="00156E55"/>
    <w:rsid w:val="00157F12"/>
    <w:rsid w:val="00160C79"/>
    <w:rsid w:val="00163749"/>
    <w:rsid w:val="001666FD"/>
    <w:rsid w:val="00173B48"/>
    <w:rsid w:val="0017404C"/>
    <w:rsid w:val="00196E3D"/>
    <w:rsid w:val="001C6CB7"/>
    <w:rsid w:val="001D6FF4"/>
    <w:rsid w:val="001D76F1"/>
    <w:rsid w:val="001E114B"/>
    <w:rsid w:val="001E25AA"/>
    <w:rsid w:val="001F3E82"/>
    <w:rsid w:val="00204CB2"/>
    <w:rsid w:val="002061D1"/>
    <w:rsid w:val="00207165"/>
    <w:rsid w:val="002108A1"/>
    <w:rsid w:val="0021357C"/>
    <w:rsid w:val="00225628"/>
    <w:rsid w:val="00240F31"/>
    <w:rsid w:val="00245808"/>
    <w:rsid w:val="002673B3"/>
    <w:rsid w:val="002725B1"/>
    <w:rsid w:val="00281C69"/>
    <w:rsid w:val="00283810"/>
    <w:rsid w:val="00286518"/>
    <w:rsid w:val="002B44CD"/>
    <w:rsid w:val="002C68DF"/>
    <w:rsid w:val="002C6A49"/>
    <w:rsid w:val="002D1837"/>
    <w:rsid w:val="00300F83"/>
    <w:rsid w:val="00305F00"/>
    <w:rsid w:val="003237CF"/>
    <w:rsid w:val="0032567F"/>
    <w:rsid w:val="00326785"/>
    <w:rsid w:val="00330602"/>
    <w:rsid w:val="00333231"/>
    <w:rsid w:val="00345916"/>
    <w:rsid w:val="0034651F"/>
    <w:rsid w:val="00357921"/>
    <w:rsid w:val="0037683B"/>
    <w:rsid w:val="00390D67"/>
    <w:rsid w:val="003A48ED"/>
    <w:rsid w:val="003A499A"/>
    <w:rsid w:val="003C1829"/>
    <w:rsid w:val="003C3B61"/>
    <w:rsid w:val="003C6A5E"/>
    <w:rsid w:val="003D6EFD"/>
    <w:rsid w:val="003E4AFE"/>
    <w:rsid w:val="003F1193"/>
    <w:rsid w:val="003F447D"/>
    <w:rsid w:val="0041207F"/>
    <w:rsid w:val="00424916"/>
    <w:rsid w:val="00427818"/>
    <w:rsid w:val="00427A53"/>
    <w:rsid w:val="004351C2"/>
    <w:rsid w:val="00440285"/>
    <w:rsid w:val="00447D5F"/>
    <w:rsid w:val="00451896"/>
    <w:rsid w:val="00453041"/>
    <w:rsid w:val="004621EE"/>
    <w:rsid w:val="004743E9"/>
    <w:rsid w:val="004A1932"/>
    <w:rsid w:val="004A7AFA"/>
    <w:rsid w:val="004B4ED3"/>
    <w:rsid w:val="004C0EA8"/>
    <w:rsid w:val="004C3D54"/>
    <w:rsid w:val="004E7D36"/>
    <w:rsid w:val="004F5DEB"/>
    <w:rsid w:val="00512A4D"/>
    <w:rsid w:val="005211AA"/>
    <w:rsid w:val="00531DA5"/>
    <w:rsid w:val="00542A45"/>
    <w:rsid w:val="00544099"/>
    <w:rsid w:val="005611A2"/>
    <w:rsid w:val="0056229E"/>
    <w:rsid w:val="00577A23"/>
    <w:rsid w:val="00580040"/>
    <w:rsid w:val="00591CBE"/>
    <w:rsid w:val="005A66C9"/>
    <w:rsid w:val="005B1F5F"/>
    <w:rsid w:val="005B2A13"/>
    <w:rsid w:val="005C039F"/>
    <w:rsid w:val="005D0E77"/>
    <w:rsid w:val="005E1AA6"/>
    <w:rsid w:val="005F3492"/>
    <w:rsid w:val="005F5073"/>
    <w:rsid w:val="00642279"/>
    <w:rsid w:val="006456D5"/>
    <w:rsid w:val="006623CC"/>
    <w:rsid w:val="006937A4"/>
    <w:rsid w:val="00693CF0"/>
    <w:rsid w:val="006A62F3"/>
    <w:rsid w:val="006B0465"/>
    <w:rsid w:val="006B5599"/>
    <w:rsid w:val="006D5E81"/>
    <w:rsid w:val="006E1D63"/>
    <w:rsid w:val="006E7119"/>
    <w:rsid w:val="006F2FFC"/>
    <w:rsid w:val="006F3AEE"/>
    <w:rsid w:val="0071015E"/>
    <w:rsid w:val="007175C9"/>
    <w:rsid w:val="00717752"/>
    <w:rsid w:val="00722637"/>
    <w:rsid w:val="00732739"/>
    <w:rsid w:val="00743E08"/>
    <w:rsid w:val="007559A8"/>
    <w:rsid w:val="007560F8"/>
    <w:rsid w:val="0077451D"/>
    <w:rsid w:val="00787DCB"/>
    <w:rsid w:val="00787F55"/>
    <w:rsid w:val="0079156C"/>
    <w:rsid w:val="007B5306"/>
    <w:rsid w:val="007D3D5C"/>
    <w:rsid w:val="007D439E"/>
    <w:rsid w:val="007F71DA"/>
    <w:rsid w:val="00800DE2"/>
    <w:rsid w:val="008022C5"/>
    <w:rsid w:val="008109A7"/>
    <w:rsid w:val="00812E1A"/>
    <w:rsid w:val="00820A15"/>
    <w:rsid w:val="00822BB3"/>
    <w:rsid w:val="008300FE"/>
    <w:rsid w:val="00836EAE"/>
    <w:rsid w:val="008505BA"/>
    <w:rsid w:val="008564FB"/>
    <w:rsid w:val="00864FB0"/>
    <w:rsid w:val="00874737"/>
    <w:rsid w:val="008758E1"/>
    <w:rsid w:val="00882CB7"/>
    <w:rsid w:val="00895A0D"/>
    <w:rsid w:val="008C3248"/>
    <w:rsid w:val="008C3621"/>
    <w:rsid w:val="008C37AD"/>
    <w:rsid w:val="008C575A"/>
    <w:rsid w:val="008D7523"/>
    <w:rsid w:val="008D78B9"/>
    <w:rsid w:val="008F5C4D"/>
    <w:rsid w:val="00904C82"/>
    <w:rsid w:val="00920556"/>
    <w:rsid w:val="0092206D"/>
    <w:rsid w:val="00923AAE"/>
    <w:rsid w:val="0092502F"/>
    <w:rsid w:val="009340AF"/>
    <w:rsid w:val="00946F0A"/>
    <w:rsid w:val="009833D5"/>
    <w:rsid w:val="00990F3D"/>
    <w:rsid w:val="00991905"/>
    <w:rsid w:val="009A331B"/>
    <w:rsid w:val="009D42BA"/>
    <w:rsid w:val="009D6551"/>
    <w:rsid w:val="009F28DE"/>
    <w:rsid w:val="009F4A44"/>
    <w:rsid w:val="00A06752"/>
    <w:rsid w:val="00A2273D"/>
    <w:rsid w:val="00A33D71"/>
    <w:rsid w:val="00A33EFE"/>
    <w:rsid w:val="00A35205"/>
    <w:rsid w:val="00A41437"/>
    <w:rsid w:val="00A43BE6"/>
    <w:rsid w:val="00A50D3E"/>
    <w:rsid w:val="00A54257"/>
    <w:rsid w:val="00A6556B"/>
    <w:rsid w:val="00A70ADD"/>
    <w:rsid w:val="00A72910"/>
    <w:rsid w:val="00A93A5F"/>
    <w:rsid w:val="00AA6D50"/>
    <w:rsid w:val="00AA7638"/>
    <w:rsid w:val="00AB213A"/>
    <w:rsid w:val="00AC13D8"/>
    <w:rsid w:val="00AD0E4B"/>
    <w:rsid w:val="00AE3DF7"/>
    <w:rsid w:val="00AE5CD1"/>
    <w:rsid w:val="00AE7DDF"/>
    <w:rsid w:val="00AF279F"/>
    <w:rsid w:val="00AF7F06"/>
    <w:rsid w:val="00B11ACF"/>
    <w:rsid w:val="00B13550"/>
    <w:rsid w:val="00B1595D"/>
    <w:rsid w:val="00B21675"/>
    <w:rsid w:val="00B22D55"/>
    <w:rsid w:val="00B314D6"/>
    <w:rsid w:val="00B36E5A"/>
    <w:rsid w:val="00B37F23"/>
    <w:rsid w:val="00B41940"/>
    <w:rsid w:val="00B45B6F"/>
    <w:rsid w:val="00B46603"/>
    <w:rsid w:val="00B51B97"/>
    <w:rsid w:val="00B666C8"/>
    <w:rsid w:val="00B6731F"/>
    <w:rsid w:val="00B67BE3"/>
    <w:rsid w:val="00B73B3F"/>
    <w:rsid w:val="00B84C17"/>
    <w:rsid w:val="00B92C91"/>
    <w:rsid w:val="00B9577A"/>
    <w:rsid w:val="00B97FAA"/>
    <w:rsid w:val="00BA4568"/>
    <w:rsid w:val="00BA7C74"/>
    <w:rsid w:val="00BB4CE1"/>
    <w:rsid w:val="00BD582B"/>
    <w:rsid w:val="00BF1E87"/>
    <w:rsid w:val="00C00DA8"/>
    <w:rsid w:val="00C128DB"/>
    <w:rsid w:val="00C147ED"/>
    <w:rsid w:val="00C23E99"/>
    <w:rsid w:val="00C47D8A"/>
    <w:rsid w:val="00C618A7"/>
    <w:rsid w:val="00C72280"/>
    <w:rsid w:val="00C74DAA"/>
    <w:rsid w:val="00C94A34"/>
    <w:rsid w:val="00C97771"/>
    <w:rsid w:val="00CA0B89"/>
    <w:rsid w:val="00CA3827"/>
    <w:rsid w:val="00CA627D"/>
    <w:rsid w:val="00CB3408"/>
    <w:rsid w:val="00CE10DF"/>
    <w:rsid w:val="00CE55B9"/>
    <w:rsid w:val="00CF6C5B"/>
    <w:rsid w:val="00D04A7D"/>
    <w:rsid w:val="00D13135"/>
    <w:rsid w:val="00D140E1"/>
    <w:rsid w:val="00D25B8F"/>
    <w:rsid w:val="00D3023A"/>
    <w:rsid w:val="00D46AB6"/>
    <w:rsid w:val="00D65E80"/>
    <w:rsid w:val="00D66127"/>
    <w:rsid w:val="00D74749"/>
    <w:rsid w:val="00D74A8E"/>
    <w:rsid w:val="00D76C5B"/>
    <w:rsid w:val="00D84123"/>
    <w:rsid w:val="00DA67D8"/>
    <w:rsid w:val="00DC067F"/>
    <w:rsid w:val="00DC1960"/>
    <w:rsid w:val="00E01772"/>
    <w:rsid w:val="00E2125C"/>
    <w:rsid w:val="00E23977"/>
    <w:rsid w:val="00E4120C"/>
    <w:rsid w:val="00E42D89"/>
    <w:rsid w:val="00E45DA8"/>
    <w:rsid w:val="00E6182E"/>
    <w:rsid w:val="00E623EB"/>
    <w:rsid w:val="00E62D35"/>
    <w:rsid w:val="00E90447"/>
    <w:rsid w:val="00E92A4E"/>
    <w:rsid w:val="00E95388"/>
    <w:rsid w:val="00EA3DFF"/>
    <w:rsid w:val="00EB6A25"/>
    <w:rsid w:val="00ED26D1"/>
    <w:rsid w:val="00EE223E"/>
    <w:rsid w:val="00EF1FE3"/>
    <w:rsid w:val="00EF328E"/>
    <w:rsid w:val="00EF54EC"/>
    <w:rsid w:val="00F07ED6"/>
    <w:rsid w:val="00F15DF4"/>
    <w:rsid w:val="00F17BF3"/>
    <w:rsid w:val="00F20EE3"/>
    <w:rsid w:val="00F21C76"/>
    <w:rsid w:val="00F221A9"/>
    <w:rsid w:val="00F31843"/>
    <w:rsid w:val="00F32B16"/>
    <w:rsid w:val="00F52A29"/>
    <w:rsid w:val="00F57311"/>
    <w:rsid w:val="00F74EF8"/>
    <w:rsid w:val="00F82127"/>
    <w:rsid w:val="00FB0CDD"/>
    <w:rsid w:val="00FC67E8"/>
    <w:rsid w:val="00FE2437"/>
    <w:rsid w:val="00FF19D8"/>
    <w:rsid w:val="02467BBC"/>
    <w:rsid w:val="02FDC574"/>
    <w:rsid w:val="04128C08"/>
    <w:rsid w:val="07E3544E"/>
    <w:rsid w:val="0816BE13"/>
    <w:rsid w:val="096F2EDB"/>
    <w:rsid w:val="097CBD26"/>
    <w:rsid w:val="0ADA2AC4"/>
    <w:rsid w:val="0C72A8B7"/>
    <w:rsid w:val="0CB37308"/>
    <w:rsid w:val="0DDC7A72"/>
    <w:rsid w:val="0F6E8FF9"/>
    <w:rsid w:val="11534E23"/>
    <w:rsid w:val="133A371A"/>
    <w:rsid w:val="1354C0AC"/>
    <w:rsid w:val="14C08B7D"/>
    <w:rsid w:val="15B8EC5B"/>
    <w:rsid w:val="160CF948"/>
    <w:rsid w:val="1B88349A"/>
    <w:rsid w:val="1B9BB790"/>
    <w:rsid w:val="22D9F192"/>
    <w:rsid w:val="266DA025"/>
    <w:rsid w:val="30621983"/>
    <w:rsid w:val="30DC4692"/>
    <w:rsid w:val="332F5453"/>
    <w:rsid w:val="33F3599D"/>
    <w:rsid w:val="37D2C051"/>
    <w:rsid w:val="3CF49333"/>
    <w:rsid w:val="3D79984B"/>
    <w:rsid w:val="3E0050C7"/>
    <w:rsid w:val="3EB9D27C"/>
    <w:rsid w:val="3F9D7CDE"/>
    <w:rsid w:val="45167F49"/>
    <w:rsid w:val="477DDB0D"/>
    <w:rsid w:val="4B3B5DE7"/>
    <w:rsid w:val="4BB4CAE2"/>
    <w:rsid w:val="4FA19ED6"/>
    <w:rsid w:val="5262478F"/>
    <w:rsid w:val="5293FB05"/>
    <w:rsid w:val="554717F0"/>
    <w:rsid w:val="5622198F"/>
    <w:rsid w:val="56F21D1B"/>
    <w:rsid w:val="5744D6B5"/>
    <w:rsid w:val="5BE2A855"/>
    <w:rsid w:val="5C76609B"/>
    <w:rsid w:val="5EADEA3B"/>
    <w:rsid w:val="5EE95841"/>
    <w:rsid w:val="60807BEF"/>
    <w:rsid w:val="62E614DC"/>
    <w:rsid w:val="65D8B6EE"/>
    <w:rsid w:val="67F5E41B"/>
    <w:rsid w:val="696052AC"/>
    <w:rsid w:val="6B46FAE0"/>
    <w:rsid w:val="6D3108B3"/>
    <w:rsid w:val="6DC5D691"/>
    <w:rsid w:val="706FAD28"/>
    <w:rsid w:val="732A217E"/>
    <w:rsid w:val="76A6AB0B"/>
    <w:rsid w:val="77DA8032"/>
    <w:rsid w:val="781025E8"/>
    <w:rsid w:val="785B6AD0"/>
    <w:rsid w:val="7A4B2969"/>
    <w:rsid w:val="7D31AD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411EAFB"/>
  <w15:chartTrackingRefBased/>
  <w15:docId w15:val="{671DEEDE-B405-419F-9AA1-9E6F6509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CB7"/>
    <w:pPr>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1C6CB7"/>
    <w:pPr>
      <w:outlineLvl w:val="1"/>
    </w:pPr>
    <w:rPr>
      <w:rFonts w:ascii="Arial" w:hAnsi="Arial" w:cs="Arial"/>
      <w:b/>
      <w:bCs/>
    </w:rPr>
  </w:style>
  <w:style w:type="paragraph" w:styleId="Heading3">
    <w:name w:val="heading 3"/>
    <w:basedOn w:val="Normal"/>
    <w:next w:val="Normal"/>
    <w:link w:val="Heading3Char"/>
    <w:uiPriority w:val="9"/>
    <w:unhideWhenUsed/>
    <w:qFormat/>
    <w:rsid w:val="001C6CB7"/>
    <w:pPr>
      <w:outlineLvl w:val="2"/>
    </w:pPr>
    <w:rPr>
      <w:rFonts w:ascii="Arial" w:hAnsi="Arial" w:cs="Arial"/>
    </w:rPr>
  </w:style>
  <w:style w:type="paragraph" w:styleId="Heading4">
    <w:name w:val="heading 4"/>
    <w:basedOn w:val="Normal"/>
    <w:next w:val="Normal"/>
    <w:link w:val="Heading4Char"/>
    <w:uiPriority w:val="9"/>
    <w:semiHidden/>
    <w:unhideWhenUsed/>
    <w:qFormat/>
    <w:rsid w:val="001C6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CB7"/>
    <w:rPr>
      <w:rFonts w:ascii="Arial" w:hAnsi="Arial" w:cs="Arial"/>
      <w:b/>
      <w:bCs/>
      <w:sz w:val="28"/>
      <w:szCs w:val="28"/>
    </w:rPr>
  </w:style>
  <w:style w:type="character" w:customStyle="1" w:styleId="Heading2Char">
    <w:name w:val="Heading 2 Char"/>
    <w:basedOn w:val="DefaultParagraphFont"/>
    <w:link w:val="Heading2"/>
    <w:uiPriority w:val="9"/>
    <w:rsid w:val="001C6CB7"/>
    <w:rPr>
      <w:rFonts w:ascii="Arial" w:hAnsi="Arial" w:cs="Arial"/>
      <w:b/>
      <w:bCs/>
    </w:rPr>
  </w:style>
  <w:style w:type="character" w:customStyle="1" w:styleId="Heading3Char">
    <w:name w:val="Heading 3 Char"/>
    <w:basedOn w:val="DefaultParagraphFont"/>
    <w:link w:val="Heading3"/>
    <w:uiPriority w:val="9"/>
    <w:rsid w:val="001C6CB7"/>
    <w:rPr>
      <w:rFonts w:ascii="Arial" w:hAnsi="Arial" w:cs="Arial"/>
    </w:rPr>
  </w:style>
  <w:style w:type="character" w:customStyle="1" w:styleId="Heading4Char">
    <w:name w:val="Heading 4 Char"/>
    <w:basedOn w:val="DefaultParagraphFont"/>
    <w:link w:val="Heading4"/>
    <w:uiPriority w:val="9"/>
    <w:semiHidden/>
    <w:rsid w:val="001C6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CB7"/>
    <w:rPr>
      <w:rFonts w:eastAsiaTheme="majorEastAsia" w:cstheme="majorBidi"/>
      <w:color w:val="272727" w:themeColor="text1" w:themeTint="D8"/>
    </w:rPr>
  </w:style>
  <w:style w:type="paragraph" w:styleId="Title">
    <w:name w:val="Title"/>
    <w:basedOn w:val="Normal"/>
    <w:next w:val="Normal"/>
    <w:link w:val="TitleChar"/>
    <w:uiPriority w:val="10"/>
    <w:qFormat/>
    <w:rsid w:val="001C6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CB7"/>
    <w:pPr>
      <w:spacing w:before="160"/>
      <w:jc w:val="center"/>
    </w:pPr>
    <w:rPr>
      <w:i/>
      <w:iCs/>
      <w:color w:val="404040" w:themeColor="text1" w:themeTint="BF"/>
    </w:rPr>
  </w:style>
  <w:style w:type="character" w:customStyle="1" w:styleId="QuoteChar">
    <w:name w:val="Quote Char"/>
    <w:basedOn w:val="DefaultParagraphFont"/>
    <w:link w:val="Quote"/>
    <w:uiPriority w:val="29"/>
    <w:rsid w:val="001C6CB7"/>
    <w:rPr>
      <w:i/>
      <w:iCs/>
      <w:color w:val="404040" w:themeColor="text1" w:themeTint="BF"/>
    </w:rPr>
  </w:style>
  <w:style w:type="paragraph" w:styleId="ListParagraph">
    <w:name w:val="List Paragraph"/>
    <w:basedOn w:val="Normal"/>
    <w:uiPriority w:val="34"/>
    <w:qFormat/>
    <w:rsid w:val="001C6CB7"/>
    <w:pPr>
      <w:ind w:left="720"/>
      <w:contextualSpacing/>
    </w:pPr>
  </w:style>
  <w:style w:type="character" w:styleId="IntenseEmphasis">
    <w:name w:val="Intense Emphasis"/>
    <w:basedOn w:val="DefaultParagraphFont"/>
    <w:uiPriority w:val="21"/>
    <w:qFormat/>
    <w:rsid w:val="001C6CB7"/>
    <w:rPr>
      <w:i/>
      <w:iCs/>
      <w:color w:val="0F4761" w:themeColor="accent1" w:themeShade="BF"/>
    </w:rPr>
  </w:style>
  <w:style w:type="paragraph" w:styleId="IntenseQuote">
    <w:name w:val="Intense Quote"/>
    <w:basedOn w:val="Normal"/>
    <w:next w:val="Normal"/>
    <w:link w:val="IntenseQuoteChar"/>
    <w:uiPriority w:val="30"/>
    <w:qFormat/>
    <w:rsid w:val="001C6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CB7"/>
    <w:rPr>
      <w:i/>
      <w:iCs/>
      <w:color w:val="0F4761" w:themeColor="accent1" w:themeShade="BF"/>
    </w:rPr>
  </w:style>
  <w:style w:type="character" w:styleId="IntenseReference">
    <w:name w:val="Intense Reference"/>
    <w:basedOn w:val="DefaultParagraphFont"/>
    <w:uiPriority w:val="32"/>
    <w:qFormat/>
    <w:rsid w:val="001C6CB7"/>
    <w:rPr>
      <w:b/>
      <w:bCs/>
      <w:smallCaps/>
      <w:color w:val="0F4761" w:themeColor="accent1" w:themeShade="BF"/>
      <w:spacing w:val="5"/>
    </w:rPr>
  </w:style>
  <w:style w:type="paragraph" w:styleId="FootnoteText">
    <w:name w:val="footnote text"/>
    <w:basedOn w:val="Normal"/>
    <w:link w:val="FootnoteTextChar"/>
    <w:uiPriority w:val="99"/>
    <w:rsid w:val="00722637"/>
    <w:pPr>
      <w:spacing w:after="120" w:line="240" w:lineRule="auto"/>
    </w:pPr>
    <w:rPr>
      <w:rFonts w:eastAsiaTheme="minorEastAsia"/>
      <w:kern w:val="0"/>
      <w:sz w:val="16"/>
      <w:szCs w:val="20"/>
      <w:lang w:val="en-GB"/>
      <w14:ligatures w14:val="none"/>
    </w:rPr>
  </w:style>
  <w:style w:type="character" w:customStyle="1" w:styleId="FootnoteTextChar">
    <w:name w:val="Footnote Text Char"/>
    <w:basedOn w:val="DefaultParagraphFont"/>
    <w:link w:val="FootnoteText"/>
    <w:uiPriority w:val="99"/>
    <w:rsid w:val="00722637"/>
    <w:rPr>
      <w:rFonts w:eastAsiaTheme="minorEastAsia"/>
      <w:kern w:val="0"/>
      <w:sz w:val="16"/>
      <w:szCs w:val="20"/>
      <w:lang w:val="en-GB"/>
      <w14:ligatures w14:val="none"/>
    </w:rPr>
  </w:style>
  <w:style w:type="character" w:styleId="FootnoteReference">
    <w:name w:val="footnote reference"/>
    <w:basedOn w:val="DefaultParagraphFont"/>
    <w:uiPriority w:val="99"/>
    <w:rsid w:val="00722637"/>
    <w:rPr>
      <w:vertAlign w:val="superscript"/>
    </w:rPr>
  </w:style>
  <w:style w:type="character" w:styleId="Hyperlink">
    <w:name w:val="Hyperlink"/>
    <w:basedOn w:val="DefaultParagraphFont"/>
    <w:uiPriority w:val="99"/>
    <w:rsid w:val="00722637"/>
    <w:rPr>
      <w:color w:val="467886" w:themeColor="hyperlink"/>
      <w:u w:val="single"/>
    </w:rPr>
  </w:style>
  <w:style w:type="character" w:styleId="UnresolvedMention">
    <w:name w:val="Unresolved Mention"/>
    <w:basedOn w:val="DefaultParagraphFont"/>
    <w:uiPriority w:val="99"/>
    <w:semiHidden/>
    <w:unhideWhenUsed/>
    <w:rsid w:val="00722637"/>
    <w:rPr>
      <w:color w:val="605E5C"/>
      <w:shd w:val="clear" w:color="auto" w:fill="E1DFDD"/>
    </w:rPr>
  </w:style>
  <w:style w:type="paragraph" w:styleId="NormalWeb">
    <w:name w:val="Normal (Web)"/>
    <w:basedOn w:val="Normal"/>
    <w:uiPriority w:val="99"/>
    <w:semiHidden/>
    <w:unhideWhenUsed/>
    <w:rsid w:val="00427A53"/>
    <w:rPr>
      <w:rFonts w:ascii="Times New Roman" w:hAnsi="Times New Roman" w:cs="Times New Roman"/>
    </w:rPr>
  </w:style>
  <w:style w:type="paragraph" w:styleId="Header">
    <w:name w:val="header"/>
    <w:basedOn w:val="Normal"/>
    <w:link w:val="HeaderChar"/>
    <w:uiPriority w:val="99"/>
    <w:unhideWhenUsed/>
    <w:rsid w:val="008C36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621"/>
  </w:style>
  <w:style w:type="paragraph" w:styleId="Footer">
    <w:name w:val="footer"/>
    <w:basedOn w:val="Normal"/>
    <w:link w:val="FooterChar"/>
    <w:uiPriority w:val="99"/>
    <w:unhideWhenUsed/>
    <w:rsid w:val="008C32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248"/>
  </w:style>
  <w:style w:type="paragraph" w:styleId="Caption">
    <w:name w:val="caption"/>
    <w:basedOn w:val="Normal"/>
    <w:next w:val="Normal"/>
    <w:uiPriority w:val="35"/>
    <w:unhideWhenUsed/>
    <w:qFormat/>
    <w:rsid w:val="00B41940"/>
    <w:pPr>
      <w:spacing w:after="200" w:line="240" w:lineRule="auto"/>
    </w:pPr>
    <w:rPr>
      <w:rFonts w:ascii="Aptos" w:hAnsi="Aptos" w:cs="Calibri"/>
      <w:i/>
      <w:iCs/>
      <w:color w:val="0E2841" w:themeColor="text2"/>
      <w:kern w:val="0"/>
      <w:sz w:val="18"/>
      <w:szCs w:val="18"/>
    </w:rPr>
  </w:style>
  <w:style w:type="table" w:styleId="TableGrid">
    <w:name w:val="Table Grid"/>
    <w:basedOn w:val="TableNormal"/>
    <w:uiPriority w:val="39"/>
    <w:rsid w:val="007D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4E18"/>
    <w:rPr>
      <w:sz w:val="16"/>
      <w:szCs w:val="16"/>
    </w:rPr>
  </w:style>
  <w:style w:type="paragraph" w:styleId="CommentText">
    <w:name w:val="annotation text"/>
    <w:basedOn w:val="Normal"/>
    <w:link w:val="CommentTextChar"/>
    <w:uiPriority w:val="99"/>
    <w:unhideWhenUsed/>
    <w:rsid w:val="000B4E18"/>
    <w:pPr>
      <w:spacing w:line="240" w:lineRule="auto"/>
    </w:pPr>
    <w:rPr>
      <w:sz w:val="20"/>
      <w:szCs w:val="20"/>
    </w:rPr>
  </w:style>
  <w:style w:type="character" w:customStyle="1" w:styleId="CommentTextChar">
    <w:name w:val="Comment Text Char"/>
    <w:basedOn w:val="DefaultParagraphFont"/>
    <w:link w:val="CommentText"/>
    <w:uiPriority w:val="99"/>
    <w:rsid w:val="000B4E18"/>
    <w:rPr>
      <w:sz w:val="20"/>
      <w:szCs w:val="20"/>
    </w:rPr>
  </w:style>
  <w:style w:type="paragraph" w:styleId="CommentSubject">
    <w:name w:val="annotation subject"/>
    <w:basedOn w:val="CommentText"/>
    <w:next w:val="CommentText"/>
    <w:link w:val="CommentSubjectChar"/>
    <w:uiPriority w:val="99"/>
    <w:semiHidden/>
    <w:unhideWhenUsed/>
    <w:rsid w:val="000B4E18"/>
    <w:rPr>
      <w:b/>
      <w:bCs/>
    </w:rPr>
  </w:style>
  <w:style w:type="character" w:customStyle="1" w:styleId="CommentSubjectChar">
    <w:name w:val="Comment Subject Char"/>
    <w:basedOn w:val="CommentTextChar"/>
    <w:link w:val="CommentSubject"/>
    <w:uiPriority w:val="99"/>
    <w:semiHidden/>
    <w:rsid w:val="000B4E18"/>
    <w:rPr>
      <w:b/>
      <w:bCs/>
      <w:sz w:val="20"/>
      <w:szCs w:val="20"/>
    </w:rPr>
  </w:style>
  <w:style w:type="paragraph" w:styleId="Revision">
    <w:name w:val="Revision"/>
    <w:hidden/>
    <w:uiPriority w:val="99"/>
    <w:semiHidden/>
    <w:rsid w:val="002D1837"/>
    <w:pPr>
      <w:spacing w:after="0" w:line="240" w:lineRule="auto"/>
    </w:pPr>
  </w:style>
  <w:style w:type="character" w:styleId="FollowedHyperlink">
    <w:name w:val="FollowedHyperlink"/>
    <w:basedOn w:val="DefaultParagraphFont"/>
    <w:uiPriority w:val="99"/>
    <w:semiHidden/>
    <w:unhideWhenUsed/>
    <w:rsid w:val="0017404C"/>
    <w:rPr>
      <w:color w:val="96607D" w:themeColor="followedHyperlink"/>
      <w:u w:val="single"/>
    </w:rPr>
  </w:style>
  <w:style w:type="paragraph" w:customStyle="1" w:styleId="paragraph">
    <w:name w:val="paragraph"/>
    <w:basedOn w:val="Normal"/>
    <w:rsid w:val="00D46AB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D46AB6"/>
  </w:style>
  <w:style w:type="character" w:customStyle="1" w:styleId="eop">
    <w:name w:val="eop"/>
    <w:basedOn w:val="DefaultParagraphFont"/>
    <w:rsid w:val="00D46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9728">
      <w:bodyDiv w:val="1"/>
      <w:marLeft w:val="0"/>
      <w:marRight w:val="0"/>
      <w:marTop w:val="0"/>
      <w:marBottom w:val="0"/>
      <w:divBdr>
        <w:top w:val="none" w:sz="0" w:space="0" w:color="auto"/>
        <w:left w:val="none" w:sz="0" w:space="0" w:color="auto"/>
        <w:bottom w:val="none" w:sz="0" w:space="0" w:color="auto"/>
        <w:right w:val="none" w:sz="0" w:space="0" w:color="auto"/>
      </w:divBdr>
    </w:div>
    <w:div w:id="218787152">
      <w:bodyDiv w:val="1"/>
      <w:marLeft w:val="0"/>
      <w:marRight w:val="0"/>
      <w:marTop w:val="0"/>
      <w:marBottom w:val="0"/>
      <w:divBdr>
        <w:top w:val="none" w:sz="0" w:space="0" w:color="auto"/>
        <w:left w:val="none" w:sz="0" w:space="0" w:color="auto"/>
        <w:bottom w:val="none" w:sz="0" w:space="0" w:color="auto"/>
        <w:right w:val="none" w:sz="0" w:space="0" w:color="auto"/>
      </w:divBdr>
    </w:div>
    <w:div w:id="260112782">
      <w:bodyDiv w:val="1"/>
      <w:marLeft w:val="0"/>
      <w:marRight w:val="0"/>
      <w:marTop w:val="0"/>
      <w:marBottom w:val="0"/>
      <w:divBdr>
        <w:top w:val="none" w:sz="0" w:space="0" w:color="auto"/>
        <w:left w:val="none" w:sz="0" w:space="0" w:color="auto"/>
        <w:bottom w:val="none" w:sz="0" w:space="0" w:color="auto"/>
        <w:right w:val="none" w:sz="0" w:space="0" w:color="auto"/>
      </w:divBdr>
    </w:div>
    <w:div w:id="263005012">
      <w:bodyDiv w:val="1"/>
      <w:marLeft w:val="0"/>
      <w:marRight w:val="0"/>
      <w:marTop w:val="0"/>
      <w:marBottom w:val="0"/>
      <w:divBdr>
        <w:top w:val="none" w:sz="0" w:space="0" w:color="auto"/>
        <w:left w:val="none" w:sz="0" w:space="0" w:color="auto"/>
        <w:bottom w:val="none" w:sz="0" w:space="0" w:color="auto"/>
        <w:right w:val="none" w:sz="0" w:space="0" w:color="auto"/>
      </w:divBdr>
    </w:div>
    <w:div w:id="280110506">
      <w:bodyDiv w:val="1"/>
      <w:marLeft w:val="0"/>
      <w:marRight w:val="0"/>
      <w:marTop w:val="0"/>
      <w:marBottom w:val="0"/>
      <w:divBdr>
        <w:top w:val="none" w:sz="0" w:space="0" w:color="auto"/>
        <w:left w:val="none" w:sz="0" w:space="0" w:color="auto"/>
        <w:bottom w:val="none" w:sz="0" w:space="0" w:color="auto"/>
        <w:right w:val="none" w:sz="0" w:space="0" w:color="auto"/>
      </w:divBdr>
    </w:div>
    <w:div w:id="285089410">
      <w:bodyDiv w:val="1"/>
      <w:marLeft w:val="0"/>
      <w:marRight w:val="0"/>
      <w:marTop w:val="0"/>
      <w:marBottom w:val="0"/>
      <w:divBdr>
        <w:top w:val="none" w:sz="0" w:space="0" w:color="auto"/>
        <w:left w:val="none" w:sz="0" w:space="0" w:color="auto"/>
        <w:bottom w:val="none" w:sz="0" w:space="0" w:color="auto"/>
        <w:right w:val="none" w:sz="0" w:space="0" w:color="auto"/>
      </w:divBdr>
    </w:div>
    <w:div w:id="429277305">
      <w:bodyDiv w:val="1"/>
      <w:marLeft w:val="0"/>
      <w:marRight w:val="0"/>
      <w:marTop w:val="0"/>
      <w:marBottom w:val="0"/>
      <w:divBdr>
        <w:top w:val="none" w:sz="0" w:space="0" w:color="auto"/>
        <w:left w:val="none" w:sz="0" w:space="0" w:color="auto"/>
        <w:bottom w:val="none" w:sz="0" w:space="0" w:color="auto"/>
        <w:right w:val="none" w:sz="0" w:space="0" w:color="auto"/>
      </w:divBdr>
    </w:div>
    <w:div w:id="469517554">
      <w:bodyDiv w:val="1"/>
      <w:marLeft w:val="0"/>
      <w:marRight w:val="0"/>
      <w:marTop w:val="0"/>
      <w:marBottom w:val="0"/>
      <w:divBdr>
        <w:top w:val="none" w:sz="0" w:space="0" w:color="auto"/>
        <w:left w:val="none" w:sz="0" w:space="0" w:color="auto"/>
        <w:bottom w:val="none" w:sz="0" w:space="0" w:color="auto"/>
        <w:right w:val="none" w:sz="0" w:space="0" w:color="auto"/>
      </w:divBdr>
    </w:div>
    <w:div w:id="551891662">
      <w:bodyDiv w:val="1"/>
      <w:marLeft w:val="0"/>
      <w:marRight w:val="0"/>
      <w:marTop w:val="0"/>
      <w:marBottom w:val="0"/>
      <w:divBdr>
        <w:top w:val="none" w:sz="0" w:space="0" w:color="auto"/>
        <w:left w:val="none" w:sz="0" w:space="0" w:color="auto"/>
        <w:bottom w:val="none" w:sz="0" w:space="0" w:color="auto"/>
        <w:right w:val="none" w:sz="0" w:space="0" w:color="auto"/>
      </w:divBdr>
    </w:div>
    <w:div w:id="598098967">
      <w:bodyDiv w:val="1"/>
      <w:marLeft w:val="0"/>
      <w:marRight w:val="0"/>
      <w:marTop w:val="0"/>
      <w:marBottom w:val="0"/>
      <w:divBdr>
        <w:top w:val="none" w:sz="0" w:space="0" w:color="auto"/>
        <w:left w:val="none" w:sz="0" w:space="0" w:color="auto"/>
        <w:bottom w:val="none" w:sz="0" w:space="0" w:color="auto"/>
        <w:right w:val="none" w:sz="0" w:space="0" w:color="auto"/>
      </w:divBdr>
    </w:div>
    <w:div w:id="832598585">
      <w:bodyDiv w:val="1"/>
      <w:marLeft w:val="0"/>
      <w:marRight w:val="0"/>
      <w:marTop w:val="0"/>
      <w:marBottom w:val="0"/>
      <w:divBdr>
        <w:top w:val="none" w:sz="0" w:space="0" w:color="auto"/>
        <w:left w:val="none" w:sz="0" w:space="0" w:color="auto"/>
        <w:bottom w:val="none" w:sz="0" w:space="0" w:color="auto"/>
        <w:right w:val="none" w:sz="0" w:space="0" w:color="auto"/>
      </w:divBdr>
    </w:div>
    <w:div w:id="955866821">
      <w:bodyDiv w:val="1"/>
      <w:marLeft w:val="0"/>
      <w:marRight w:val="0"/>
      <w:marTop w:val="0"/>
      <w:marBottom w:val="0"/>
      <w:divBdr>
        <w:top w:val="none" w:sz="0" w:space="0" w:color="auto"/>
        <w:left w:val="none" w:sz="0" w:space="0" w:color="auto"/>
        <w:bottom w:val="none" w:sz="0" w:space="0" w:color="auto"/>
        <w:right w:val="none" w:sz="0" w:space="0" w:color="auto"/>
      </w:divBdr>
    </w:div>
    <w:div w:id="978270283">
      <w:bodyDiv w:val="1"/>
      <w:marLeft w:val="0"/>
      <w:marRight w:val="0"/>
      <w:marTop w:val="0"/>
      <w:marBottom w:val="0"/>
      <w:divBdr>
        <w:top w:val="none" w:sz="0" w:space="0" w:color="auto"/>
        <w:left w:val="none" w:sz="0" w:space="0" w:color="auto"/>
        <w:bottom w:val="none" w:sz="0" w:space="0" w:color="auto"/>
        <w:right w:val="none" w:sz="0" w:space="0" w:color="auto"/>
      </w:divBdr>
    </w:div>
    <w:div w:id="1080523326">
      <w:bodyDiv w:val="1"/>
      <w:marLeft w:val="0"/>
      <w:marRight w:val="0"/>
      <w:marTop w:val="0"/>
      <w:marBottom w:val="0"/>
      <w:divBdr>
        <w:top w:val="none" w:sz="0" w:space="0" w:color="auto"/>
        <w:left w:val="none" w:sz="0" w:space="0" w:color="auto"/>
        <w:bottom w:val="none" w:sz="0" w:space="0" w:color="auto"/>
        <w:right w:val="none" w:sz="0" w:space="0" w:color="auto"/>
      </w:divBdr>
    </w:div>
    <w:div w:id="1184514027">
      <w:bodyDiv w:val="1"/>
      <w:marLeft w:val="0"/>
      <w:marRight w:val="0"/>
      <w:marTop w:val="0"/>
      <w:marBottom w:val="0"/>
      <w:divBdr>
        <w:top w:val="none" w:sz="0" w:space="0" w:color="auto"/>
        <w:left w:val="none" w:sz="0" w:space="0" w:color="auto"/>
        <w:bottom w:val="none" w:sz="0" w:space="0" w:color="auto"/>
        <w:right w:val="none" w:sz="0" w:space="0" w:color="auto"/>
      </w:divBdr>
    </w:div>
    <w:div w:id="1231304328">
      <w:bodyDiv w:val="1"/>
      <w:marLeft w:val="0"/>
      <w:marRight w:val="0"/>
      <w:marTop w:val="0"/>
      <w:marBottom w:val="0"/>
      <w:divBdr>
        <w:top w:val="none" w:sz="0" w:space="0" w:color="auto"/>
        <w:left w:val="none" w:sz="0" w:space="0" w:color="auto"/>
        <w:bottom w:val="none" w:sz="0" w:space="0" w:color="auto"/>
        <w:right w:val="none" w:sz="0" w:space="0" w:color="auto"/>
      </w:divBdr>
    </w:div>
    <w:div w:id="1273593597">
      <w:bodyDiv w:val="1"/>
      <w:marLeft w:val="0"/>
      <w:marRight w:val="0"/>
      <w:marTop w:val="0"/>
      <w:marBottom w:val="0"/>
      <w:divBdr>
        <w:top w:val="none" w:sz="0" w:space="0" w:color="auto"/>
        <w:left w:val="none" w:sz="0" w:space="0" w:color="auto"/>
        <w:bottom w:val="none" w:sz="0" w:space="0" w:color="auto"/>
        <w:right w:val="none" w:sz="0" w:space="0" w:color="auto"/>
      </w:divBdr>
    </w:div>
    <w:div w:id="1356810601">
      <w:bodyDiv w:val="1"/>
      <w:marLeft w:val="0"/>
      <w:marRight w:val="0"/>
      <w:marTop w:val="0"/>
      <w:marBottom w:val="0"/>
      <w:divBdr>
        <w:top w:val="none" w:sz="0" w:space="0" w:color="auto"/>
        <w:left w:val="none" w:sz="0" w:space="0" w:color="auto"/>
        <w:bottom w:val="none" w:sz="0" w:space="0" w:color="auto"/>
        <w:right w:val="none" w:sz="0" w:space="0" w:color="auto"/>
      </w:divBdr>
    </w:div>
    <w:div w:id="1444572244">
      <w:bodyDiv w:val="1"/>
      <w:marLeft w:val="0"/>
      <w:marRight w:val="0"/>
      <w:marTop w:val="0"/>
      <w:marBottom w:val="0"/>
      <w:divBdr>
        <w:top w:val="none" w:sz="0" w:space="0" w:color="auto"/>
        <w:left w:val="none" w:sz="0" w:space="0" w:color="auto"/>
        <w:bottom w:val="none" w:sz="0" w:space="0" w:color="auto"/>
        <w:right w:val="none" w:sz="0" w:space="0" w:color="auto"/>
      </w:divBdr>
    </w:div>
    <w:div w:id="1614091303">
      <w:bodyDiv w:val="1"/>
      <w:marLeft w:val="0"/>
      <w:marRight w:val="0"/>
      <w:marTop w:val="0"/>
      <w:marBottom w:val="0"/>
      <w:divBdr>
        <w:top w:val="none" w:sz="0" w:space="0" w:color="auto"/>
        <w:left w:val="none" w:sz="0" w:space="0" w:color="auto"/>
        <w:bottom w:val="none" w:sz="0" w:space="0" w:color="auto"/>
        <w:right w:val="none" w:sz="0" w:space="0" w:color="auto"/>
      </w:divBdr>
    </w:div>
    <w:div w:id="1697120778">
      <w:bodyDiv w:val="1"/>
      <w:marLeft w:val="0"/>
      <w:marRight w:val="0"/>
      <w:marTop w:val="0"/>
      <w:marBottom w:val="0"/>
      <w:divBdr>
        <w:top w:val="none" w:sz="0" w:space="0" w:color="auto"/>
        <w:left w:val="none" w:sz="0" w:space="0" w:color="auto"/>
        <w:bottom w:val="none" w:sz="0" w:space="0" w:color="auto"/>
        <w:right w:val="none" w:sz="0" w:space="0" w:color="auto"/>
      </w:divBdr>
    </w:div>
    <w:div w:id="1754429597">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995796864">
      <w:bodyDiv w:val="1"/>
      <w:marLeft w:val="0"/>
      <w:marRight w:val="0"/>
      <w:marTop w:val="0"/>
      <w:marBottom w:val="0"/>
      <w:divBdr>
        <w:top w:val="none" w:sz="0" w:space="0" w:color="auto"/>
        <w:left w:val="none" w:sz="0" w:space="0" w:color="auto"/>
        <w:bottom w:val="none" w:sz="0" w:space="0" w:color="auto"/>
        <w:right w:val="none" w:sz="0" w:space="0" w:color="auto"/>
      </w:divBdr>
    </w:div>
    <w:div w:id="2057197495">
      <w:bodyDiv w:val="1"/>
      <w:marLeft w:val="0"/>
      <w:marRight w:val="0"/>
      <w:marTop w:val="0"/>
      <w:marBottom w:val="0"/>
      <w:divBdr>
        <w:top w:val="none" w:sz="0" w:space="0" w:color="auto"/>
        <w:left w:val="none" w:sz="0" w:space="0" w:color="auto"/>
        <w:bottom w:val="none" w:sz="0" w:space="0" w:color="auto"/>
        <w:right w:val="none" w:sz="0" w:space="0" w:color="auto"/>
      </w:divBdr>
    </w:div>
    <w:div w:id="21441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c.net.au/news/elections/federal/2022/results/party-totals"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gaa.org.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gaa.org.au/advocacy"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gaa.org.au/advocac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profile.id.com.au/ngaa/population-estimate?BMID=50" TargetMode="External"/><Relationship Id="rId1" Type="http://schemas.openxmlformats.org/officeDocument/2006/relationships/hyperlink" Target="https://profile.id.com.au/ngaa/population-estimate?BMID=5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1874A2AA509942AD7E479E933442F1" ma:contentTypeVersion="13" ma:contentTypeDescription="Create a new document." ma:contentTypeScope="" ma:versionID="424248a1878cc42f5919d22607dd139f">
  <xsd:schema xmlns:xsd="http://www.w3.org/2001/XMLSchema" xmlns:xs="http://www.w3.org/2001/XMLSchema" xmlns:p="http://schemas.microsoft.com/office/2006/metadata/properties" xmlns:ns2="e55bbbc2-ec06-4f1d-b31b-f398aae15a24" xmlns:ns3="f9b6520b-cb82-4a16-858c-778393f01ebc" targetNamespace="http://schemas.microsoft.com/office/2006/metadata/properties" ma:root="true" ma:fieldsID="b53e72c232edf720e80fa9e673c8f053" ns2:_="" ns3:_="">
    <xsd:import namespace="e55bbbc2-ec06-4f1d-b31b-f398aae15a24"/>
    <xsd:import namespace="f9b6520b-cb82-4a16-858c-778393f01e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bbbc2-ec06-4f1d-b31b-f398aae15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5df617b-1a86-4961-9996-0dc357cea6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b6520b-cb82-4a16-858c-778393f01e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d8cf2d-d29e-459d-a028-3f50dc9429d8}" ma:internalName="TaxCatchAll" ma:showField="CatchAllData" ma:web="f9b6520b-cb82-4a16-858c-778393f01e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9b6520b-cb82-4a16-858c-778393f01ebc" xsi:nil="true"/>
    <lcf76f155ced4ddcb4097134ff3c332f xmlns="e55bbbc2-ec06-4f1d-b31b-f398aae15a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06EF1A-2C81-4A0D-9B3E-90144D76163C}">
  <ds:schemaRefs>
    <ds:schemaRef ds:uri="http://schemas.microsoft.com/sharepoint/v3/contenttype/forms"/>
  </ds:schemaRefs>
</ds:datastoreItem>
</file>

<file path=customXml/itemProps2.xml><?xml version="1.0" encoding="utf-8"?>
<ds:datastoreItem xmlns:ds="http://schemas.openxmlformats.org/officeDocument/2006/customXml" ds:itemID="{4AD57586-8997-4960-9C45-D1811255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bbbc2-ec06-4f1d-b31b-f398aae15a24"/>
    <ds:schemaRef ds:uri="f9b6520b-cb82-4a16-858c-778393f01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DE18C9-7BDB-4361-A656-2145723DE9D6}">
  <ds:schemaRefs>
    <ds:schemaRef ds:uri="http://schemas.openxmlformats.org/officeDocument/2006/bibliography"/>
  </ds:schemaRefs>
</ds:datastoreItem>
</file>

<file path=customXml/itemProps4.xml><?xml version="1.0" encoding="utf-8"?>
<ds:datastoreItem xmlns:ds="http://schemas.openxmlformats.org/officeDocument/2006/customXml" ds:itemID="{5338DCFA-A1BC-453F-A003-2B653CE567C2}">
  <ds:schemaRefs>
    <ds:schemaRef ds:uri="http://schemas.microsoft.com/office/2006/metadata/properties"/>
    <ds:schemaRef ds:uri="http://schemas.microsoft.com/office/infopath/2007/PartnerControls"/>
    <ds:schemaRef ds:uri="f9b6520b-cb82-4a16-858c-778393f01ebc"/>
    <ds:schemaRef ds:uri="e55bbbc2-ec06-4f1d-b31b-f398aae15a24"/>
  </ds:schemaRefs>
</ds:datastoreItem>
</file>

<file path=docMetadata/LabelInfo.xml><?xml version="1.0" encoding="utf-8"?>
<clbl:labelList xmlns:clbl="http://schemas.microsoft.com/office/2020/mipLabelMetadata">
  <clbl:label id="{5f2925ee-1b47-4623-a5a9-9f2e37aacaca}" enabled="1" method="Privileged" siteId="{44a02942-4e5b-420a-8bc4-f60b91281f2e}"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17</Pages>
  <Words>3449</Words>
  <Characters>19665</Characters>
  <Application>Microsoft Office Word</Application>
  <DocSecurity>0</DocSecurity>
  <Lines>163</Lines>
  <Paragraphs>46</Paragraphs>
  <ScaleCrop>false</ScaleCrop>
  <Company/>
  <LinksUpToDate>false</LinksUpToDate>
  <CharactersWithSpaces>23068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Jack</dc:creator>
  <cp:keywords/>
  <dc:description/>
  <cp:lastModifiedBy>Michelle Jack</cp:lastModifiedBy>
  <cp:revision>57</cp:revision>
  <dcterms:created xsi:type="dcterms:W3CDTF">2025-01-30T16:39:00Z</dcterms:created>
  <dcterms:modified xsi:type="dcterms:W3CDTF">2025-03-04T05:08:00Z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6c2e6e2f,4833c53d,366b7cf6</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ontentTypeId">
    <vt:lpwstr>0x010100841874A2AA509942AD7E479E933442F1</vt:lpwstr>
  </property>
  <property fmtid="{D5CDD505-2E9C-101B-9397-08002B2CF9AE}" pid="6" name="MediaServiceImageTags">
    <vt:lpwstr/>
  </property>
</Properties>
</file>