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49C57" w14:textId="2F9D4CBA" w:rsidR="00AD1B56" w:rsidRDefault="006028C7" w:rsidP="00711B31">
      <w:pPr>
        <w:pStyle w:val="Heading1"/>
        <w:jc w:val="center"/>
        <w:rPr>
          <w:rFonts w:ascii="Arial" w:hAnsi="Arial" w:cs="Arial"/>
          <w:color w:val="auto"/>
        </w:rPr>
      </w:pPr>
      <w:r w:rsidRPr="00711B31">
        <w:rPr>
          <w:rFonts w:ascii="Arial" w:hAnsi="Arial" w:cs="Arial"/>
          <w:color w:val="auto"/>
        </w:rPr>
        <w:t xml:space="preserve">NGAA Policy </w:t>
      </w:r>
      <w:r w:rsidR="00711B31" w:rsidRPr="00711B31">
        <w:rPr>
          <w:rFonts w:ascii="Arial" w:hAnsi="Arial" w:cs="Arial"/>
          <w:color w:val="auto"/>
        </w:rPr>
        <w:t>Position</w:t>
      </w:r>
      <w:r w:rsidRPr="00711B31">
        <w:rPr>
          <w:rFonts w:ascii="Arial" w:hAnsi="Arial" w:cs="Arial"/>
          <w:color w:val="auto"/>
        </w:rPr>
        <w:t xml:space="preserve"> Table</w:t>
      </w:r>
    </w:p>
    <w:p w14:paraId="2DC1C946" w14:textId="0E74BE06" w:rsidR="006028C7" w:rsidRPr="006028C7" w:rsidRDefault="006028C7" w:rsidP="006028C7">
      <w:pPr>
        <w:rPr>
          <w:rFonts w:ascii="Arial" w:hAnsi="Arial" w:cs="Arial"/>
          <w:i/>
          <w:iCs/>
        </w:rPr>
      </w:pPr>
      <w:r w:rsidRPr="006028C7">
        <w:rPr>
          <w:rFonts w:ascii="Arial" w:hAnsi="Arial" w:cs="Arial"/>
          <w:i/>
          <w:iCs/>
        </w:rPr>
        <w:t>Updated: 28 March 2025</w:t>
      </w:r>
    </w:p>
    <w:tbl>
      <w:tblPr>
        <w:tblStyle w:val="TableGrid"/>
        <w:tblW w:w="5000" w:type="pct"/>
        <w:tblLook w:val="04A0" w:firstRow="1" w:lastRow="0" w:firstColumn="1" w:lastColumn="0" w:noHBand="0" w:noVBand="1"/>
      </w:tblPr>
      <w:tblGrid>
        <w:gridCol w:w="1837"/>
        <w:gridCol w:w="5176"/>
        <w:gridCol w:w="1617"/>
      </w:tblGrid>
      <w:tr w:rsidR="00711B31" w:rsidRPr="008226EE" w14:paraId="45BD01BF" w14:textId="77777777" w:rsidTr="00711B31">
        <w:tc>
          <w:tcPr>
            <w:tcW w:w="1064" w:type="pct"/>
          </w:tcPr>
          <w:p w14:paraId="173E6A48" w14:textId="77777777" w:rsidR="00711B31" w:rsidRPr="00711B31" w:rsidRDefault="00711B31" w:rsidP="00711B31">
            <w:pPr>
              <w:jc w:val="center"/>
              <w:rPr>
                <w:rFonts w:ascii="Arial" w:hAnsi="Arial" w:cs="Arial"/>
                <w:b/>
                <w:bCs/>
              </w:rPr>
            </w:pPr>
            <w:r w:rsidRPr="00711B31">
              <w:rPr>
                <w:rFonts w:ascii="Arial" w:hAnsi="Arial" w:cs="Arial"/>
                <w:b/>
                <w:bCs/>
              </w:rPr>
              <w:t>Policy Area</w:t>
            </w:r>
          </w:p>
        </w:tc>
        <w:tc>
          <w:tcPr>
            <w:tcW w:w="2999" w:type="pct"/>
          </w:tcPr>
          <w:p w14:paraId="5D7B2D9C" w14:textId="77777777" w:rsidR="00711B31" w:rsidRPr="00711B31" w:rsidRDefault="00711B31" w:rsidP="00711B31">
            <w:pPr>
              <w:jc w:val="center"/>
              <w:rPr>
                <w:rFonts w:ascii="Arial" w:hAnsi="Arial" w:cs="Arial"/>
                <w:b/>
                <w:bCs/>
              </w:rPr>
            </w:pPr>
            <w:r w:rsidRPr="00711B31">
              <w:rPr>
                <w:rFonts w:ascii="Arial" w:hAnsi="Arial" w:cs="Arial"/>
                <w:b/>
                <w:bCs/>
              </w:rPr>
              <w:t>NGAA Position / Response</w:t>
            </w:r>
          </w:p>
        </w:tc>
        <w:tc>
          <w:tcPr>
            <w:tcW w:w="937" w:type="pct"/>
          </w:tcPr>
          <w:p w14:paraId="5991B441" w14:textId="7D90FD56" w:rsidR="00711B31" w:rsidRPr="00711B31" w:rsidRDefault="00711B31" w:rsidP="00711B31">
            <w:pPr>
              <w:jc w:val="center"/>
              <w:rPr>
                <w:rFonts w:ascii="Arial" w:hAnsi="Arial" w:cs="Arial"/>
                <w:b/>
                <w:bCs/>
              </w:rPr>
            </w:pPr>
            <w:r w:rsidRPr="00711B31">
              <w:rPr>
                <w:rFonts w:ascii="Arial" w:hAnsi="Arial" w:cs="Arial"/>
                <w:b/>
                <w:bCs/>
              </w:rPr>
              <w:t>Data source</w:t>
            </w:r>
          </w:p>
        </w:tc>
      </w:tr>
      <w:tr w:rsidR="00711B31" w:rsidRPr="008226EE" w14:paraId="60CE77A7" w14:textId="77777777" w:rsidTr="00711B31">
        <w:tc>
          <w:tcPr>
            <w:tcW w:w="1064" w:type="pct"/>
          </w:tcPr>
          <w:p w14:paraId="0D6E1257" w14:textId="6E3817CA" w:rsidR="00711B31" w:rsidRPr="008226EE" w:rsidRDefault="00711B31" w:rsidP="008226EE">
            <w:pPr>
              <w:rPr>
                <w:rFonts w:ascii="Arial" w:hAnsi="Arial" w:cs="Arial"/>
              </w:rPr>
            </w:pPr>
            <w:r w:rsidRPr="008226EE">
              <w:rPr>
                <w:rFonts w:ascii="Arial" w:hAnsi="Arial" w:cs="Arial"/>
              </w:rPr>
              <w:t>Housing</w:t>
            </w:r>
          </w:p>
        </w:tc>
        <w:tc>
          <w:tcPr>
            <w:tcW w:w="2999" w:type="pct"/>
          </w:tcPr>
          <w:p w14:paraId="2E5DCCA3" w14:textId="5A6E37AE" w:rsidR="00711B31" w:rsidRPr="008226EE" w:rsidRDefault="00711B31" w:rsidP="008226EE">
            <w:pPr>
              <w:rPr>
                <w:rFonts w:ascii="Arial" w:hAnsi="Arial" w:cs="Arial"/>
              </w:rPr>
            </w:pPr>
            <w:r>
              <w:rPr>
                <w:rFonts w:ascii="Arial" w:hAnsi="Arial" w:cs="Arial"/>
              </w:rPr>
              <w:t>H</w:t>
            </w:r>
            <w:r w:rsidRPr="008226EE">
              <w:rPr>
                <w:rFonts w:ascii="Arial" w:hAnsi="Arial" w:cs="Arial"/>
              </w:rPr>
              <w:t>ousing supply alone won’t solve the challenges facing our communities. In Australia’s outer metropolitan growth areas, rapid population growth continues to outpace infrastructure delivery, placing pressure on essential services and undermining quality of life.</w:t>
            </w:r>
          </w:p>
          <w:p w14:paraId="5F805F75" w14:textId="77777777" w:rsidR="00711B31" w:rsidRPr="008226EE" w:rsidRDefault="00711B31" w:rsidP="008226EE">
            <w:pPr>
              <w:rPr>
                <w:rFonts w:ascii="Arial" w:hAnsi="Arial" w:cs="Arial"/>
              </w:rPr>
            </w:pPr>
          </w:p>
          <w:p w14:paraId="5ADAE7F7" w14:textId="2262F526" w:rsidR="00711B31" w:rsidRPr="008226EE" w:rsidRDefault="00711B31" w:rsidP="008226EE">
            <w:pPr>
              <w:rPr>
                <w:rFonts w:ascii="Arial" w:hAnsi="Arial" w:cs="Arial"/>
              </w:rPr>
            </w:pPr>
            <w:r w:rsidRPr="008226EE">
              <w:rPr>
                <w:rFonts w:ascii="Arial" w:hAnsi="Arial" w:cs="Arial"/>
              </w:rPr>
              <w:t>To ensure</w:t>
            </w:r>
            <w:r w:rsidR="00C61BF9">
              <w:rPr>
                <w:rFonts w:ascii="Arial" w:hAnsi="Arial" w:cs="Arial"/>
              </w:rPr>
              <w:t xml:space="preserve"> today</w:t>
            </w:r>
            <w:r w:rsidR="00122C91">
              <w:rPr>
                <w:rFonts w:ascii="Arial" w:hAnsi="Arial" w:cs="Arial"/>
              </w:rPr>
              <w:t>’s</w:t>
            </w:r>
            <w:r w:rsidRPr="008226EE">
              <w:rPr>
                <w:rFonts w:ascii="Arial" w:hAnsi="Arial" w:cs="Arial"/>
              </w:rPr>
              <w:t xml:space="preserve"> housing developments become thriving, connected communities</w:t>
            </w:r>
            <w:r w:rsidR="00350683">
              <w:rPr>
                <w:rFonts w:ascii="Arial" w:hAnsi="Arial" w:cs="Arial"/>
              </w:rPr>
              <w:t>,</w:t>
            </w:r>
            <w:r>
              <w:rPr>
                <w:rFonts w:ascii="Arial" w:hAnsi="Arial" w:cs="Arial"/>
              </w:rPr>
              <w:t xml:space="preserve"> </w:t>
            </w:r>
            <w:r w:rsidRPr="008226EE">
              <w:rPr>
                <w:rFonts w:ascii="Arial" w:hAnsi="Arial" w:cs="Arial"/>
              </w:rPr>
              <w:t xml:space="preserve">we call on </w:t>
            </w:r>
            <w:r w:rsidR="00826F85">
              <w:rPr>
                <w:rFonts w:ascii="Arial" w:hAnsi="Arial" w:cs="Arial"/>
                <w:b/>
                <w:bCs/>
              </w:rPr>
              <w:t xml:space="preserve">the next Federal government </w:t>
            </w:r>
            <w:r w:rsidRPr="008226EE">
              <w:rPr>
                <w:rFonts w:ascii="Arial" w:hAnsi="Arial" w:cs="Arial"/>
              </w:rPr>
              <w:t>to:</w:t>
            </w:r>
          </w:p>
          <w:p w14:paraId="511C11A5" w14:textId="77777777" w:rsidR="00711B31" w:rsidRDefault="00711B31" w:rsidP="008226EE">
            <w:pPr>
              <w:pStyle w:val="ListParagraph"/>
              <w:numPr>
                <w:ilvl w:val="0"/>
                <w:numId w:val="10"/>
              </w:numPr>
              <w:rPr>
                <w:rFonts w:ascii="Arial" w:hAnsi="Arial" w:cs="Arial"/>
              </w:rPr>
            </w:pPr>
            <w:proofErr w:type="spellStart"/>
            <w:r w:rsidRPr="00711B31">
              <w:rPr>
                <w:rFonts w:ascii="Arial" w:hAnsi="Arial" w:cs="Arial"/>
                <w:b/>
                <w:bCs/>
              </w:rPr>
              <w:t>Recognise</w:t>
            </w:r>
            <w:proofErr w:type="spellEnd"/>
            <w:r w:rsidRPr="008226EE">
              <w:rPr>
                <w:rFonts w:ascii="Arial" w:hAnsi="Arial" w:cs="Arial"/>
              </w:rPr>
              <w:t xml:space="preserve"> outer metropolitan growth areas as regions requiring dedicated attention and long-term </w:t>
            </w:r>
            <w:proofErr w:type="gramStart"/>
            <w:r w:rsidRPr="008226EE">
              <w:rPr>
                <w:rFonts w:ascii="Arial" w:hAnsi="Arial" w:cs="Arial"/>
              </w:rPr>
              <w:t>planning;</w:t>
            </w:r>
            <w:proofErr w:type="gramEnd"/>
            <w:r w:rsidRPr="008226EE">
              <w:rPr>
                <w:rFonts w:ascii="Arial" w:hAnsi="Arial" w:cs="Arial"/>
              </w:rPr>
              <w:t xml:space="preserve"> </w:t>
            </w:r>
          </w:p>
          <w:p w14:paraId="4A81D634" w14:textId="77777777" w:rsidR="00711B31" w:rsidRDefault="00711B31" w:rsidP="008226EE">
            <w:pPr>
              <w:pStyle w:val="ListParagraph"/>
              <w:numPr>
                <w:ilvl w:val="0"/>
                <w:numId w:val="10"/>
              </w:numPr>
              <w:rPr>
                <w:rFonts w:ascii="Arial" w:hAnsi="Arial" w:cs="Arial"/>
              </w:rPr>
            </w:pPr>
            <w:proofErr w:type="spellStart"/>
            <w:r w:rsidRPr="00711B31">
              <w:rPr>
                <w:rFonts w:ascii="Arial" w:hAnsi="Arial" w:cs="Arial"/>
                <w:b/>
                <w:bCs/>
              </w:rPr>
              <w:t>Prioritise</w:t>
            </w:r>
            <w:proofErr w:type="spellEnd"/>
            <w:r w:rsidRPr="00711B31">
              <w:rPr>
                <w:rFonts w:ascii="Arial" w:hAnsi="Arial" w:cs="Arial"/>
                <w:b/>
                <w:bCs/>
              </w:rPr>
              <w:t xml:space="preserve"> </w:t>
            </w:r>
            <w:r w:rsidRPr="008226EE">
              <w:rPr>
                <w:rFonts w:ascii="Arial" w:hAnsi="Arial" w:cs="Arial"/>
              </w:rPr>
              <w:t xml:space="preserve">funding to address the infrastructure deficits that already exist in these areas; and </w:t>
            </w:r>
          </w:p>
          <w:p w14:paraId="00193340" w14:textId="187E90B3" w:rsidR="00711B31" w:rsidRPr="008226EE" w:rsidRDefault="00711B31" w:rsidP="008226EE">
            <w:pPr>
              <w:pStyle w:val="ListParagraph"/>
              <w:numPr>
                <w:ilvl w:val="0"/>
                <w:numId w:val="10"/>
              </w:numPr>
              <w:rPr>
                <w:rFonts w:ascii="Arial" w:hAnsi="Arial" w:cs="Arial"/>
              </w:rPr>
            </w:pPr>
            <w:r w:rsidRPr="00711B31">
              <w:rPr>
                <w:rFonts w:ascii="Arial" w:hAnsi="Arial" w:cs="Arial"/>
                <w:b/>
                <w:bCs/>
              </w:rPr>
              <w:t xml:space="preserve">Resource growth areas equitably through a national infrastructure investment framework </w:t>
            </w:r>
            <w:r w:rsidRPr="008226EE">
              <w:rPr>
                <w:rFonts w:ascii="Arial" w:hAnsi="Arial" w:cs="Arial"/>
              </w:rPr>
              <w:t>that supports both new housing and the communities that live there.</w:t>
            </w:r>
          </w:p>
          <w:p w14:paraId="61CFC9EE" w14:textId="77777777" w:rsidR="00711B31" w:rsidRPr="008226EE" w:rsidRDefault="00711B31" w:rsidP="008226EE">
            <w:pPr>
              <w:rPr>
                <w:rFonts w:ascii="Arial" w:hAnsi="Arial" w:cs="Arial"/>
              </w:rPr>
            </w:pPr>
          </w:p>
          <w:p w14:paraId="4F9B0217" w14:textId="77777777" w:rsidR="00711B31" w:rsidRDefault="00711B31" w:rsidP="008226EE">
            <w:pPr>
              <w:rPr>
                <w:rFonts w:ascii="Arial" w:hAnsi="Arial" w:cs="Arial"/>
              </w:rPr>
            </w:pPr>
            <w:r w:rsidRPr="008226EE">
              <w:rPr>
                <w:rFonts w:ascii="Arial" w:hAnsi="Arial" w:cs="Arial"/>
              </w:rPr>
              <w:t xml:space="preserve">Delivering homes without the roads, public transport, schools, health services and parks that make places </w:t>
            </w:r>
            <w:proofErr w:type="spellStart"/>
            <w:r w:rsidRPr="008226EE">
              <w:rPr>
                <w:rFonts w:ascii="Arial" w:hAnsi="Arial" w:cs="Arial"/>
              </w:rPr>
              <w:t>liveable</w:t>
            </w:r>
            <w:proofErr w:type="spellEnd"/>
            <w:r w:rsidRPr="008226EE">
              <w:rPr>
                <w:rFonts w:ascii="Arial" w:hAnsi="Arial" w:cs="Arial"/>
              </w:rPr>
              <w:t xml:space="preserve"> is short-sighted. Our communities deserve more than roo</w:t>
            </w:r>
            <w:r>
              <w:rPr>
                <w:rFonts w:ascii="Arial" w:hAnsi="Arial" w:cs="Arial"/>
              </w:rPr>
              <w:t>f</w:t>
            </w:r>
            <w:r w:rsidRPr="008226EE">
              <w:rPr>
                <w:rFonts w:ascii="Arial" w:hAnsi="Arial" w:cs="Arial"/>
              </w:rPr>
              <w:t>s over their heads</w:t>
            </w:r>
            <w:r>
              <w:rPr>
                <w:rFonts w:ascii="Arial" w:hAnsi="Arial" w:cs="Arial"/>
              </w:rPr>
              <w:t xml:space="preserve"> - </w:t>
            </w:r>
            <w:r w:rsidRPr="008226EE">
              <w:rPr>
                <w:rFonts w:ascii="Arial" w:hAnsi="Arial" w:cs="Arial"/>
              </w:rPr>
              <w:t>they deserve complete, connected communities.</w:t>
            </w:r>
          </w:p>
          <w:p w14:paraId="03FC8D7C" w14:textId="477EF3D6" w:rsidR="00711B31" w:rsidRDefault="00711B31" w:rsidP="008226EE">
            <w:pPr>
              <w:rPr>
                <w:rFonts w:ascii="Arial" w:hAnsi="Arial" w:cs="Arial"/>
              </w:rPr>
            </w:pPr>
          </w:p>
        </w:tc>
        <w:tc>
          <w:tcPr>
            <w:tcW w:w="937" w:type="pct"/>
          </w:tcPr>
          <w:p w14:paraId="0ACC75C3" w14:textId="4D731526" w:rsidR="00711B31" w:rsidRPr="008226EE" w:rsidRDefault="00711B31" w:rsidP="008226EE">
            <w:pPr>
              <w:rPr>
                <w:rFonts w:ascii="Arial" w:hAnsi="Arial" w:cs="Arial"/>
              </w:rPr>
            </w:pPr>
            <w:r>
              <w:rPr>
                <w:rFonts w:ascii="Arial" w:hAnsi="Arial" w:cs="Arial"/>
              </w:rPr>
              <w:t xml:space="preserve">Report: </w:t>
            </w:r>
            <w:hyperlink r:id="rId11" w:history="1">
              <w:r w:rsidRPr="00711B31">
                <w:rPr>
                  <w:rStyle w:val="Hyperlink"/>
                  <w:rFonts w:ascii="Arial" w:hAnsi="Arial" w:cs="Arial"/>
                </w:rPr>
                <w:t>Investment Solutions for Today’s Infrastructure Needs and Tomorrow’s Housing in Outer-Metropolitan Growth Areas</w:t>
              </w:r>
            </w:hyperlink>
          </w:p>
        </w:tc>
      </w:tr>
      <w:tr w:rsidR="00711B31" w:rsidRPr="008226EE" w14:paraId="51BEBBAF" w14:textId="77777777" w:rsidTr="00711B31">
        <w:tc>
          <w:tcPr>
            <w:tcW w:w="1064" w:type="pct"/>
          </w:tcPr>
          <w:p w14:paraId="11ADC9C8" w14:textId="08BE2254" w:rsidR="00711B31" w:rsidRPr="008226EE" w:rsidRDefault="00711B31" w:rsidP="00711B31">
            <w:pPr>
              <w:rPr>
                <w:rFonts w:ascii="Arial" w:hAnsi="Arial" w:cs="Arial"/>
              </w:rPr>
            </w:pPr>
            <w:r w:rsidRPr="008226EE">
              <w:rPr>
                <w:rFonts w:ascii="Arial" w:hAnsi="Arial" w:cs="Arial"/>
              </w:rPr>
              <w:t>Cost of Living</w:t>
            </w:r>
          </w:p>
        </w:tc>
        <w:tc>
          <w:tcPr>
            <w:tcW w:w="2999" w:type="pct"/>
          </w:tcPr>
          <w:p w14:paraId="01379948" w14:textId="77777777" w:rsidR="00711B31" w:rsidRDefault="00711B31" w:rsidP="00711B31">
            <w:pPr>
              <w:rPr>
                <w:rFonts w:ascii="Arial" w:hAnsi="Arial" w:cs="Arial"/>
                <w:lang w:val="en-AU"/>
              </w:rPr>
            </w:pPr>
            <w:r>
              <w:rPr>
                <w:rFonts w:ascii="Arial" w:hAnsi="Arial" w:cs="Arial"/>
                <w:lang w:val="en-AU"/>
              </w:rPr>
              <w:t>W</w:t>
            </w:r>
            <w:r w:rsidRPr="008226EE">
              <w:rPr>
                <w:rFonts w:ascii="Arial" w:hAnsi="Arial" w:cs="Arial"/>
                <w:lang w:val="en-AU"/>
              </w:rPr>
              <w:t>e welcome cost-of-living relief measures such as</w:t>
            </w:r>
            <w:r>
              <w:rPr>
                <w:rFonts w:ascii="Arial" w:hAnsi="Arial" w:cs="Arial"/>
                <w:lang w:val="en-AU"/>
              </w:rPr>
              <w:t xml:space="preserve"> income tax cuts,</w:t>
            </w:r>
            <w:r w:rsidRPr="008226EE">
              <w:rPr>
                <w:rFonts w:ascii="Arial" w:hAnsi="Arial" w:cs="Arial"/>
                <w:lang w:val="en-AU"/>
              </w:rPr>
              <w:t xml:space="preserve"> energy bill subsidies or temporary fuel excise cuts. These announcements offer some short-term support to households doing it tough</w:t>
            </w:r>
            <w:r>
              <w:rPr>
                <w:rFonts w:ascii="Arial" w:hAnsi="Arial" w:cs="Arial"/>
                <w:lang w:val="en-AU"/>
              </w:rPr>
              <w:t xml:space="preserve"> - </w:t>
            </w:r>
            <w:r w:rsidRPr="008226EE">
              <w:rPr>
                <w:rFonts w:ascii="Arial" w:hAnsi="Arial" w:cs="Arial"/>
                <w:lang w:val="en-AU"/>
              </w:rPr>
              <w:t>but they don’t address the underlying structural challenges facing our communities.</w:t>
            </w:r>
          </w:p>
          <w:p w14:paraId="4D000B70" w14:textId="77777777" w:rsidR="00711B31" w:rsidRPr="008226EE" w:rsidRDefault="00711B31" w:rsidP="00711B31">
            <w:pPr>
              <w:rPr>
                <w:rFonts w:ascii="Arial" w:hAnsi="Arial" w:cs="Arial"/>
                <w:lang w:val="en-AU"/>
              </w:rPr>
            </w:pPr>
          </w:p>
          <w:p w14:paraId="15C3AEF1" w14:textId="77777777" w:rsidR="00711B31" w:rsidRDefault="00711B31" w:rsidP="00711B31">
            <w:pPr>
              <w:rPr>
                <w:rFonts w:ascii="Arial" w:hAnsi="Arial" w:cs="Arial"/>
                <w:lang w:val="en-AU"/>
              </w:rPr>
            </w:pPr>
            <w:r w:rsidRPr="008226EE">
              <w:rPr>
                <w:rFonts w:ascii="Arial" w:hAnsi="Arial" w:cs="Arial"/>
                <w:lang w:val="en-AU"/>
              </w:rPr>
              <w:t>In outer metropolitan growth areas, families are disproportionately impacted by rising living costs. Long commutes due to limited public transport, lack of local jobs, and the growing gap in access to essential services all compound the pressure on household budgets.</w:t>
            </w:r>
          </w:p>
          <w:p w14:paraId="0F1B1E08" w14:textId="77777777" w:rsidR="00711B31" w:rsidRPr="008226EE" w:rsidRDefault="00711B31" w:rsidP="00711B31">
            <w:pPr>
              <w:rPr>
                <w:rFonts w:ascii="Arial" w:hAnsi="Arial" w:cs="Arial"/>
                <w:lang w:val="en-AU"/>
              </w:rPr>
            </w:pPr>
          </w:p>
          <w:p w14:paraId="1E5BE184" w14:textId="77777777" w:rsidR="00711B31" w:rsidRDefault="00711B31" w:rsidP="00711B31">
            <w:pPr>
              <w:rPr>
                <w:rFonts w:ascii="Arial" w:hAnsi="Arial" w:cs="Arial"/>
                <w:lang w:val="en-AU"/>
              </w:rPr>
            </w:pPr>
            <w:r w:rsidRPr="008226EE">
              <w:rPr>
                <w:rFonts w:ascii="Arial" w:hAnsi="Arial" w:cs="Arial"/>
                <w:lang w:val="en-AU"/>
              </w:rPr>
              <w:t xml:space="preserve">What our communities need is not just temporary relief, but long-term investment. </w:t>
            </w:r>
          </w:p>
          <w:p w14:paraId="45E738CE" w14:textId="77777777" w:rsidR="00711B31" w:rsidRDefault="00711B31" w:rsidP="00711B31">
            <w:pPr>
              <w:rPr>
                <w:rFonts w:ascii="Arial" w:hAnsi="Arial" w:cs="Arial"/>
                <w:lang w:val="en-AU"/>
              </w:rPr>
            </w:pPr>
          </w:p>
          <w:p w14:paraId="527B04FC" w14:textId="77777777" w:rsidR="00711B31" w:rsidRPr="008226EE" w:rsidRDefault="00711B31" w:rsidP="00711B31">
            <w:pPr>
              <w:rPr>
                <w:rFonts w:ascii="Arial" w:hAnsi="Arial" w:cs="Arial"/>
                <w:lang w:val="en-AU"/>
              </w:rPr>
            </w:pPr>
            <w:r w:rsidRPr="008226EE">
              <w:rPr>
                <w:rFonts w:ascii="Arial" w:hAnsi="Arial" w:cs="Arial"/>
                <w:lang w:val="en-AU"/>
              </w:rPr>
              <w:lastRenderedPageBreak/>
              <w:t>That means:</w:t>
            </w:r>
          </w:p>
          <w:p w14:paraId="547B22B2" w14:textId="77777777" w:rsidR="00711B31" w:rsidRPr="008226EE" w:rsidRDefault="00711B31" w:rsidP="00711B31">
            <w:pPr>
              <w:numPr>
                <w:ilvl w:val="0"/>
                <w:numId w:val="11"/>
              </w:numPr>
              <w:tabs>
                <w:tab w:val="clear" w:pos="360"/>
                <w:tab w:val="num" w:pos="720"/>
              </w:tabs>
              <w:rPr>
                <w:rFonts w:ascii="Arial" w:hAnsi="Arial" w:cs="Arial"/>
                <w:lang w:val="en-AU"/>
              </w:rPr>
            </w:pPr>
            <w:r w:rsidRPr="008226EE">
              <w:rPr>
                <w:rFonts w:ascii="Arial" w:hAnsi="Arial" w:cs="Arial"/>
                <w:lang w:val="en-AU"/>
              </w:rPr>
              <w:t>Affordable and reliable transport options</w:t>
            </w:r>
          </w:p>
          <w:p w14:paraId="12EED6C4" w14:textId="77777777" w:rsidR="00711B31" w:rsidRPr="008226EE" w:rsidRDefault="00711B31" w:rsidP="00711B31">
            <w:pPr>
              <w:numPr>
                <w:ilvl w:val="0"/>
                <w:numId w:val="11"/>
              </w:numPr>
              <w:tabs>
                <w:tab w:val="clear" w:pos="360"/>
                <w:tab w:val="num" w:pos="720"/>
              </w:tabs>
              <w:rPr>
                <w:rFonts w:ascii="Arial" w:hAnsi="Arial" w:cs="Arial"/>
                <w:lang w:val="en-AU"/>
              </w:rPr>
            </w:pPr>
            <w:r w:rsidRPr="008226EE">
              <w:rPr>
                <w:rFonts w:ascii="Arial" w:hAnsi="Arial" w:cs="Arial"/>
                <w:lang w:val="en-AU"/>
              </w:rPr>
              <w:t>Local employment and education opportunities</w:t>
            </w:r>
          </w:p>
          <w:p w14:paraId="6FB1D758" w14:textId="77777777" w:rsidR="00711B31" w:rsidRDefault="00711B31" w:rsidP="00711B31">
            <w:pPr>
              <w:numPr>
                <w:ilvl w:val="0"/>
                <w:numId w:val="11"/>
              </w:numPr>
              <w:tabs>
                <w:tab w:val="clear" w:pos="360"/>
                <w:tab w:val="num" w:pos="720"/>
              </w:tabs>
              <w:rPr>
                <w:rFonts w:ascii="Arial" w:hAnsi="Arial" w:cs="Arial"/>
                <w:lang w:val="en-AU"/>
              </w:rPr>
            </w:pPr>
            <w:r w:rsidRPr="008226EE">
              <w:rPr>
                <w:rFonts w:ascii="Arial" w:hAnsi="Arial" w:cs="Arial"/>
                <w:lang w:val="en-AU"/>
              </w:rPr>
              <w:t>Infrastructure and services delivered alongside housing</w:t>
            </w:r>
          </w:p>
          <w:p w14:paraId="149F4960" w14:textId="77777777" w:rsidR="00711B31" w:rsidRPr="008226EE" w:rsidRDefault="00711B31" w:rsidP="00711B31">
            <w:pPr>
              <w:rPr>
                <w:rFonts w:ascii="Arial" w:hAnsi="Arial" w:cs="Arial"/>
                <w:lang w:val="en-AU"/>
              </w:rPr>
            </w:pPr>
          </w:p>
          <w:p w14:paraId="3DCEABD6" w14:textId="77777777" w:rsidR="00711B31" w:rsidRPr="008226EE" w:rsidRDefault="00711B31" w:rsidP="00711B31">
            <w:pPr>
              <w:rPr>
                <w:rFonts w:ascii="Arial" w:hAnsi="Arial" w:cs="Arial"/>
                <w:lang w:val="en-AU"/>
              </w:rPr>
            </w:pPr>
            <w:r w:rsidRPr="008226EE">
              <w:rPr>
                <w:rFonts w:ascii="Arial" w:hAnsi="Arial" w:cs="Arial"/>
                <w:lang w:val="en-AU"/>
              </w:rPr>
              <w:t>Without addressing these systemic issues, cost-of-living pressures will continue to rise. Relief today must be matched with a plan for tomorrow.</w:t>
            </w:r>
          </w:p>
          <w:p w14:paraId="5322BF71" w14:textId="77777777" w:rsidR="00711B31" w:rsidRDefault="00711B31" w:rsidP="00711B31">
            <w:pPr>
              <w:rPr>
                <w:rFonts w:ascii="Arial" w:hAnsi="Arial" w:cs="Arial"/>
              </w:rPr>
            </w:pPr>
          </w:p>
        </w:tc>
        <w:tc>
          <w:tcPr>
            <w:tcW w:w="937" w:type="pct"/>
          </w:tcPr>
          <w:p w14:paraId="77173E52" w14:textId="3CA300EA" w:rsidR="00711B31" w:rsidRDefault="00711B31" w:rsidP="00711B31">
            <w:pPr>
              <w:rPr>
                <w:rFonts w:ascii="Arial" w:hAnsi="Arial" w:cs="Arial"/>
              </w:rPr>
            </w:pPr>
            <w:r>
              <w:rPr>
                <w:rFonts w:ascii="Arial" w:hAnsi="Arial" w:cs="Arial"/>
              </w:rPr>
              <w:lastRenderedPageBreak/>
              <w:t xml:space="preserve">Report: </w:t>
            </w:r>
            <w:hyperlink r:id="rId12" w:history="1">
              <w:r w:rsidRPr="00711B31">
                <w:rPr>
                  <w:rStyle w:val="Hyperlink"/>
                  <w:rFonts w:ascii="Arial" w:hAnsi="Arial" w:cs="Arial"/>
                </w:rPr>
                <w:t>Investment Solutions for Today’s Infrastructure Needs and Tomorrow’s Housing in Outer-Metropolitan Growth Areas</w:t>
              </w:r>
            </w:hyperlink>
          </w:p>
        </w:tc>
      </w:tr>
      <w:tr w:rsidR="00711B31" w:rsidRPr="008226EE" w14:paraId="54BD9733" w14:textId="77777777" w:rsidTr="00711B31">
        <w:tc>
          <w:tcPr>
            <w:tcW w:w="1064" w:type="pct"/>
          </w:tcPr>
          <w:p w14:paraId="78C55EBD" w14:textId="3378170D" w:rsidR="00711B31" w:rsidRPr="008226EE" w:rsidRDefault="00711B31" w:rsidP="00711B31">
            <w:pPr>
              <w:rPr>
                <w:rFonts w:ascii="Arial" w:hAnsi="Arial" w:cs="Arial"/>
              </w:rPr>
            </w:pPr>
            <w:r w:rsidRPr="008226EE">
              <w:rPr>
                <w:rFonts w:ascii="Arial" w:hAnsi="Arial" w:cs="Arial"/>
              </w:rPr>
              <w:t>Transport</w:t>
            </w:r>
          </w:p>
        </w:tc>
        <w:tc>
          <w:tcPr>
            <w:tcW w:w="2999" w:type="pct"/>
          </w:tcPr>
          <w:p w14:paraId="21190D0A" w14:textId="77777777" w:rsidR="00711B31" w:rsidRPr="00427AE0" w:rsidRDefault="00711B31" w:rsidP="00711B31">
            <w:pPr>
              <w:rPr>
                <w:rFonts w:ascii="Arial" w:hAnsi="Arial" w:cs="Arial"/>
              </w:rPr>
            </w:pPr>
            <w:r>
              <w:rPr>
                <w:rFonts w:ascii="Arial" w:hAnsi="Arial" w:cs="Arial"/>
              </w:rPr>
              <w:t>A</w:t>
            </w:r>
            <w:r w:rsidRPr="00427AE0">
              <w:rPr>
                <w:rFonts w:ascii="Arial" w:hAnsi="Arial" w:cs="Arial"/>
              </w:rPr>
              <w:t xml:space="preserve">ccess to reliable public transport is essential for </w:t>
            </w:r>
            <w:proofErr w:type="spellStart"/>
            <w:r w:rsidRPr="00427AE0">
              <w:rPr>
                <w:rFonts w:ascii="Arial" w:hAnsi="Arial" w:cs="Arial"/>
              </w:rPr>
              <w:t>liveable</w:t>
            </w:r>
            <w:proofErr w:type="spellEnd"/>
            <w:r w:rsidRPr="00427AE0">
              <w:rPr>
                <w:rFonts w:ascii="Arial" w:hAnsi="Arial" w:cs="Arial"/>
              </w:rPr>
              <w:t>, connected communities. Yet Australia’s outer metropolitan growth areas</w:t>
            </w:r>
            <w:r>
              <w:rPr>
                <w:rFonts w:ascii="Arial" w:hAnsi="Arial" w:cs="Arial"/>
              </w:rPr>
              <w:t xml:space="preserve"> have </w:t>
            </w:r>
            <w:r w:rsidRPr="00427AE0">
              <w:rPr>
                <w:rFonts w:ascii="Arial" w:hAnsi="Arial" w:cs="Arial"/>
              </w:rPr>
              <w:t xml:space="preserve">37% </w:t>
            </w:r>
            <w:r>
              <w:rPr>
                <w:rFonts w:ascii="Arial" w:hAnsi="Arial" w:cs="Arial"/>
              </w:rPr>
              <w:t xml:space="preserve">less access </w:t>
            </w:r>
            <w:r w:rsidRPr="00427AE0">
              <w:rPr>
                <w:rFonts w:ascii="Arial" w:hAnsi="Arial" w:cs="Arial"/>
              </w:rPr>
              <w:t>to public transport</w:t>
            </w:r>
            <w:r>
              <w:rPr>
                <w:rFonts w:ascii="Arial" w:hAnsi="Arial" w:cs="Arial"/>
              </w:rPr>
              <w:t xml:space="preserve"> compared to non-growth areas of capital cities.</w:t>
            </w:r>
          </w:p>
          <w:p w14:paraId="5915FEC4" w14:textId="77777777" w:rsidR="00711B31" w:rsidRPr="00427AE0" w:rsidRDefault="00711B31" w:rsidP="00711B31">
            <w:pPr>
              <w:rPr>
                <w:rFonts w:ascii="Arial" w:hAnsi="Arial" w:cs="Arial"/>
              </w:rPr>
            </w:pPr>
          </w:p>
          <w:p w14:paraId="3BDB7FA4" w14:textId="77777777" w:rsidR="00711B31" w:rsidRPr="00427AE0" w:rsidRDefault="00711B31" w:rsidP="00711B31">
            <w:pPr>
              <w:rPr>
                <w:rFonts w:ascii="Arial" w:hAnsi="Arial" w:cs="Arial"/>
              </w:rPr>
            </w:pPr>
            <w:r w:rsidRPr="00427AE0">
              <w:rPr>
                <w:rFonts w:ascii="Arial" w:hAnsi="Arial" w:cs="Arial"/>
              </w:rPr>
              <w:t>This lack of access limits opportunities for employment, education, and social connection, while increasing car dependency and household costs.</w:t>
            </w:r>
          </w:p>
          <w:p w14:paraId="6EBC99A1" w14:textId="77777777" w:rsidR="00711B31" w:rsidRPr="00427AE0" w:rsidRDefault="00711B31" w:rsidP="00711B31">
            <w:pPr>
              <w:rPr>
                <w:rFonts w:ascii="Arial" w:hAnsi="Arial" w:cs="Arial"/>
              </w:rPr>
            </w:pPr>
          </w:p>
          <w:p w14:paraId="545EBAA3" w14:textId="77777777" w:rsidR="00711B31" w:rsidRPr="00427AE0" w:rsidRDefault="00711B31" w:rsidP="00711B31">
            <w:pPr>
              <w:rPr>
                <w:rFonts w:ascii="Arial" w:hAnsi="Arial" w:cs="Arial"/>
              </w:rPr>
            </w:pPr>
            <w:r w:rsidRPr="00427AE0">
              <w:rPr>
                <w:rFonts w:ascii="Arial" w:hAnsi="Arial" w:cs="Arial"/>
              </w:rPr>
              <w:t>To build a fairer, more efficient transport system, we need:</w:t>
            </w:r>
          </w:p>
          <w:p w14:paraId="512AD083" w14:textId="77777777" w:rsidR="00711B31" w:rsidRPr="00427AE0" w:rsidRDefault="00711B31" w:rsidP="00711B31">
            <w:pPr>
              <w:rPr>
                <w:rFonts w:ascii="Arial" w:hAnsi="Arial" w:cs="Arial"/>
              </w:rPr>
            </w:pPr>
          </w:p>
          <w:p w14:paraId="728E0E80" w14:textId="77777777" w:rsidR="00711B31" w:rsidRDefault="00711B31" w:rsidP="00711B31">
            <w:pPr>
              <w:pStyle w:val="ListParagraph"/>
              <w:numPr>
                <w:ilvl w:val="0"/>
                <w:numId w:val="11"/>
              </w:numPr>
              <w:rPr>
                <w:rFonts w:ascii="Arial" w:hAnsi="Arial" w:cs="Arial"/>
              </w:rPr>
            </w:pPr>
            <w:r w:rsidRPr="00711B31">
              <w:rPr>
                <w:rFonts w:ascii="Arial" w:hAnsi="Arial" w:cs="Arial"/>
              </w:rPr>
              <w:t>Targeted investment in public transport infrastructure for growth areas</w:t>
            </w:r>
          </w:p>
          <w:p w14:paraId="4ECF2754" w14:textId="77777777" w:rsidR="00711B31" w:rsidRDefault="00711B31" w:rsidP="00711B31">
            <w:pPr>
              <w:pStyle w:val="ListParagraph"/>
              <w:numPr>
                <w:ilvl w:val="0"/>
                <w:numId w:val="11"/>
              </w:numPr>
              <w:rPr>
                <w:rFonts w:ascii="Arial" w:hAnsi="Arial" w:cs="Arial"/>
              </w:rPr>
            </w:pPr>
            <w:r w:rsidRPr="00711B31">
              <w:rPr>
                <w:rFonts w:ascii="Arial" w:hAnsi="Arial" w:cs="Arial"/>
              </w:rPr>
              <w:t>Fast-tracking of rail and rapid bus links to connect new and existing suburbs</w:t>
            </w:r>
          </w:p>
          <w:p w14:paraId="7C24B1D4" w14:textId="77777777" w:rsidR="00711B31" w:rsidRPr="00711B31" w:rsidRDefault="00711B31" w:rsidP="00711B31">
            <w:pPr>
              <w:pStyle w:val="ListParagraph"/>
              <w:numPr>
                <w:ilvl w:val="0"/>
                <w:numId w:val="11"/>
              </w:numPr>
              <w:rPr>
                <w:rFonts w:ascii="Arial" w:hAnsi="Arial" w:cs="Arial"/>
              </w:rPr>
            </w:pPr>
            <w:r w:rsidRPr="00711B31">
              <w:rPr>
                <w:rFonts w:ascii="Arial" w:hAnsi="Arial" w:cs="Arial"/>
              </w:rPr>
              <w:t>Long-term planning that integrates housing and transport from the outset</w:t>
            </w:r>
          </w:p>
          <w:p w14:paraId="26C71CEF" w14:textId="77777777" w:rsidR="00711B31" w:rsidRPr="00427AE0" w:rsidRDefault="00711B31" w:rsidP="00711B31">
            <w:pPr>
              <w:rPr>
                <w:rFonts w:ascii="Arial" w:hAnsi="Arial" w:cs="Arial"/>
              </w:rPr>
            </w:pPr>
          </w:p>
          <w:p w14:paraId="3FADCDAC" w14:textId="77777777" w:rsidR="00711B31" w:rsidRDefault="00711B31" w:rsidP="00711B31">
            <w:pPr>
              <w:rPr>
                <w:rFonts w:ascii="Arial" w:hAnsi="Arial" w:cs="Arial"/>
              </w:rPr>
            </w:pPr>
            <w:r w:rsidRPr="00427AE0">
              <w:rPr>
                <w:rFonts w:ascii="Arial" w:hAnsi="Arial" w:cs="Arial"/>
              </w:rPr>
              <w:t>Without action, the mobility gap will widen</w:t>
            </w:r>
            <w:r>
              <w:rPr>
                <w:rFonts w:ascii="Arial" w:hAnsi="Arial" w:cs="Arial"/>
              </w:rPr>
              <w:t xml:space="preserve"> - </w:t>
            </w:r>
            <w:r w:rsidRPr="00427AE0">
              <w:rPr>
                <w:rFonts w:ascii="Arial" w:hAnsi="Arial" w:cs="Arial"/>
              </w:rPr>
              <w:t>and so will inequality.</w:t>
            </w:r>
          </w:p>
          <w:p w14:paraId="46D0762A" w14:textId="77777777" w:rsidR="00711B31" w:rsidRDefault="00711B31" w:rsidP="00711B31">
            <w:pPr>
              <w:rPr>
                <w:rFonts w:ascii="Arial" w:hAnsi="Arial" w:cs="Arial"/>
                <w:lang w:val="en-AU"/>
              </w:rPr>
            </w:pPr>
          </w:p>
        </w:tc>
        <w:tc>
          <w:tcPr>
            <w:tcW w:w="937" w:type="pct"/>
          </w:tcPr>
          <w:p w14:paraId="6CDE5489" w14:textId="77777777" w:rsidR="00711B31" w:rsidRDefault="00711B31" w:rsidP="00711B31">
            <w:pPr>
              <w:rPr>
                <w:rFonts w:ascii="Arial" w:hAnsi="Arial" w:cs="Arial"/>
              </w:rPr>
            </w:pPr>
            <w:hyperlink r:id="rId13" w:history="1">
              <w:r w:rsidRPr="00711B31">
                <w:rPr>
                  <w:rStyle w:val="Hyperlink"/>
                  <w:rFonts w:ascii="Arial" w:hAnsi="Arial" w:cs="Arial"/>
                </w:rPr>
                <w:t xml:space="preserve">Growth Areas </w:t>
              </w:r>
              <w:proofErr w:type="spellStart"/>
              <w:r w:rsidRPr="00711B31">
                <w:rPr>
                  <w:rStyle w:val="Hyperlink"/>
                  <w:rFonts w:ascii="Arial" w:hAnsi="Arial" w:cs="Arial"/>
                </w:rPr>
                <w:t>Liveability</w:t>
              </w:r>
              <w:proofErr w:type="spellEnd"/>
              <w:r w:rsidRPr="00711B31">
                <w:rPr>
                  <w:rStyle w:val="Hyperlink"/>
                  <w:rFonts w:ascii="Arial" w:hAnsi="Arial" w:cs="Arial"/>
                </w:rPr>
                <w:t xml:space="preserve"> Scorecards</w:t>
              </w:r>
            </w:hyperlink>
          </w:p>
          <w:p w14:paraId="3A8B2661" w14:textId="77777777" w:rsidR="006A4098" w:rsidRDefault="006A4098" w:rsidP="00711B31">
            <w:pPr>
              <w:rPr>
                <w:rFonts w:ascii="Arial" w:hAnsi="Arial" w:cs="Arial"/>
              </w:rPr>
            </w:pPr>
          </w:p>
          <w:p w14:paraId="46520CB0" w14:textId="074C1CA0" w:rsidR="006A4098" w:rsidRDefault="006A4098" w:rsidP="00711B31">
            <w:pPr>
              <w:rPr>
                <w:rFonts w:ascii="Arial" w:hAnsi="Arial" w:cs="Arial"/>
              </w:rPr>
            </w:pPr>
            <w:r>
              <w:rPr>
                <w:rFonts w:ascii="Arial" w:hAnsi="Arial" w:cs="Arial"/>
              </w:rPr>
              <w:t>NGAA Member Key Priorities</w:t>
            </w:r>
          </w:p>
        </w:tc>
      </w:tr>
      <w:tr w:rsidR="00711B31" w:rsidRPr="008226EE" w14:paraId="730C7D99" w14:textId="77777777" w:rsidTr="00711B31">
        <w:tc>
          <w:tcPr>
            <w:tcW w:w="1064" w:type="pct"/>
          </w:tcPr>
          <w:p w14:paraId="1C8D2B9E" w14:textId="0DF9D092" w:rsidR="00711B31" w:rsidRPr="008226EE" w:rsidRDefault="00711B31" w:rsidP="00711B31">
            <w:pPr>
              <w:rPr>
                <w:rFonts w:ascii="Arial" w:hAnsi="Arial" w:cs="Arial"/>
              </w:rPr>
            </w:pPr>
            <w:r>
              <w:rPr>
                <w:rFonts w:ascii="Arial" w:hAnsi="Arial" w:cs="Arial"/>
              </w:rPr>
              <w:t xml:space="preserve">Community </w:t>
            </w:r>
            <w:r w:rsidR="006A4098">
              <w:rPr>
                <w:rFonts w:ascii="Arial" w:hAnsi="Arial" w:cs="Arial"/>
              </w:rPr>
              <w:t>Infrastructure</w:t>
            </w:r>
          </w:p>
        </w:tc>
        <w:tc>
          <w:tcPr>
            <w:tcW w:w="2999" w:type="pct"/>
          </w:tcPr>
          <w:p w14:paraId="15F16E95" w14:textId="2F70F83B" w:rsidR="006A4098" w:rsidRPr="006A4098" w:rsidRDefault="006A4098" w:rsidP="006A4098">
            <w:pPr>
              <w:rPr>
                <w:rFonts w:ascii="Arial" w:hAnsi="Arial" w:cs="Arial"/>
              </w:rPr>
            </w:pPr>
            <w:r>
              <w:rPr>
                <w:rFonts w:ascii="Arial" w:hAnsi="Arial" w:cs="Arial"/>
              </w:rPr>
              <w:t>W</w:t>
            </w:r>
            <w:r w:rsidRPr="006A4098">
              <w:rPr>
                <w:rFonts w:ascii="Arial" w:hAnsi="Arial" w:cs="Arial"/>
              </w:rPr>
              <w:t>e see firsthand how the lack of vital community infrastructure affects the wellbeing of our rapidly growing populations.</w:t>
            </w:r>
          </w:p>
          <w:p w14:paraId="6A2C0A6A" w14:textId="77777777" w:rsidR="006A4098" w:rsidRPr="006A4098" w:rsidRDefault="006A4098" w:rsidP="006A4098">
            <w:pPr>
              <w:rPr>
                <w:rFonts w:ascii="Arial" w:hAnsi="Arial" w:cs="Arial"/>
              </w:rPr>
            </w:pPr>
          </w:p>
          <w:p w14:paraId="36987EDE" w14:textId="337B43DA" w:rsidR="006A4098" w:rsidRPr="006A4098" w:rsidRDefault="006A4098" w:rsidP="006A4098">
            <w:pPr>
              <w:rPr>
                <w:rFonts w:ascii="Arial" w:hAnsi="Arial" w:cs="Arial"/>
              </w:rPr>
            </w:pPr>
            <w:r w:rsidRPr="006A4098">
              <w:rPr>
                <w:rFonts w:ascii="Arial" w:hAnsi="Arial" w:cs="Arial"/>
              </w:rPr>
              <w:t>Residents in outer metropolitan growth areas have significantly lower access to key facilities</w:t>
            </w:r>
            <w:r>
              <w:rPr>
                <w:rFonts w:ascii="Arial" w:hAnsi="Arial" w:cs="Arial"/>
              </w:rPr>
              <w:t xml:space="preserve"> - </w:t>
            </w:r>
            <w:r w:rsidRPr="006A4098">
              <w:rPr>
                <w:rFonts w:ascii="Arial" w:hAnsi="Arial" w:cs="Arial"/>
              </w:rPr>
              <w:t xml:space="preserve">68% less access to sports and leisure facilities and 44% less access to arts and cultural spaces compared to </w:t>
            </w:r>
            <w:r>
              <w:rPr>
                <w:rFonts w:ascii="Arial" w:hAnsi="Arial" w:cs="Arial"/>
              </w:rPr>
              <w:t>non-growth areas of capital cities.</w:t>
            </w:r>
          </w:p>
          <w:p w14:paraId="1347D5E1" w14:textId="77777777" w:rsidR="006A4098" w:rsidRPr="006A4098" w:rsidRDefault="006A4098" w:rsidP="006A4098">
            <w:pPr>
              <w:rPr>
                <w:rFonts w:ascii="Arial" w:hAnsi="Arial" w:cs="Arial"/>
              </w:rPr>
            </w:pPr>
          </w:p>
          <w:p w14:paraId="45E4DA4D" w14:textId="7A092746" w:rsidR="006A4098" w:rsidRPr="006A4098" w:rsidRDefault="006A4098" w:rsidP="006A4098">
            <w:pPr>
              <w:rPr>
                <w:rFonts w:ascii="Arial" w:hAnsi="Arial" w:cs="Arial"/>
              </w:rPr>
            </w:pPr>
            <w:r w:rsidRPr="006A4098">
              <w:rPr>
                <w:rFonts w:ascii="Arial" w:hAnsi="Arial" w:cs="Arial"/>
              </w:rPr>
              <w:t>These gaps aren’t just about missing amenities</w:t>
            </w:r>
            <w:r>
              <w:rPr>
                <w:rFonts w:ascii="Arial" w:hAnsi="Arial" w:cs="Arial"/>
              </w:rPr>
              <w:t xml:space="preserve"> - </w:t>
            </w:r>
            <w:r w:rsidRPr="006A4098">
              <w:rPr>
                <w:rFonts w:ascii="Arial" w:hAnsi="Arial" w:cs="Arial"/>
              </w:rPr>
              <w:t>they impact physical health, mental wellbeing, social connection, and community pride.</w:t>
            </w:r>
          </w:p>
          <w:p w14:paraId="77979356" w14:textId="77777777" w:rsidR="006A4098" w:rsidRPr="006A4098" w:rsidRDefault="006A4098" w:rsidP="006A4098">
            <w:pPr>
              <w:rPr>
                <w:rFonts w:ascii="Arial" w:hAnsi="Arial" w:cs="Arial"/>
              </w:rPr>
            </w:pPr>
          </w:p>
          <w:p w14:paraId="0CFC4281" w14:textId="77777777" w:rsidR="006A4098" w:rsidRPr="006A4098" w:rsidRDefault="006A4098" w:rsidP="006A4098">
            <w:pPr>
              <w:rPr>
                <w:rFonts w:ascii="Arial" w:hAnsi="Arial" w:cs="Arial"/>
              </w:rPr>
            </w:pPr>
            <w:r w:rsidRPr="006A4098">
              <w:rPr>
                <w:rFonts w:ascii="Arial" w:hAnsi="Arial" w:cs="Arial"/>
              </w:rPr>
              <w:t>To build thriving, resilient communities, we need:</w:t>
            </w:r>
          </w:p>
          <w:p w14:paraId="55C4290A" w14:textId="77777777" w:rsidR="006A4098" w:rsidRDefault="006A4098">
            <w:pPr>
              <w:pStyle w:val="ListParagraph"/>
              <w:numPr>
                <w:ilvl w:val="0"/>
                <w:numId w:val="11"/>
              </w:numPr>
              <w:rPr>
                <w:rFonts w:ascii="Arial" w:hAnsi="Arial" w:cs="Arial"/>
              </w:rPr>
            </w:pPr>
            <w:r w:rsidRPr="006A4098">
              <w:rPr>
                <w:rFonts w:ascii="Arial" w:hAnsi="Arial" w:cs="Arial"/>
              </w:rPr>
              <w:t xml:space="preserve">Investment in local sports grounds, leisure </w:t>
            </w:r>
            <w:proofErr w:type="spellStart"/>
            <w:r w:rsidRPr="006A4098">
              <w:rPr>
                <w:rFonts w:ascii="Arial" w:hAnsi="Arial" w:cs="Arial"/>
              </w:rPr>
              <w:t>centres</w:t>
            </w:r>
            <w:proofErr w:type="spellEnd"/>
            <w:r w:rsidRPr="006A4098">
              <w:rPr>
                <w:rFonts w:ascii="Arial" w:hAnsi="Arial" w:cs="Arial"/>
              </w:rPr>
              <w:t xml:space="preserve">, libraries, and cultural venues </w:t>
            </w:r>
          </w:p>
          <w:p w14:paraId="0A462FCB" w14:textId="77777777" w:rsidR="006A4098" w:rsidRDefault="006A4098">
            <w:pPr>
              <w:pStyle w:val="ListParagraph"/>
              <w:numPr>
                <w:ilvl w:val="0"/>
                <w:numId w:val="11"/>
              </w:numPr>
              <w:rPr>
                <w:rFonts w:ascii="Arial" w:hAnsi="Arial" w:cs="Arial"/>
              </w:rPr>
            </w:pPr>
            <w:r w:rsidRPr="006A4098">
              <w:rPr>
                <w:rFonts w:ascii="Arial" w:hAnsi="Arial" w:cs="Arial"/>
              </w:rPr>
              <w:lastRenderedPageBreak/>
              <w:t xml:space="preserve">Fairer distribution of funding and grants that considers population growth </w:t>
            </w:r>
          </w:p>
          <w:p w14:paraId="44015FA7" w14:textId="3EDB9DEC" w:rsidR="006A4098" w:rsidRPr="006A4098" w:rsidRDefault="006A4098">
            <w:pPr>
              <w:pStyle w:val="ListParagraph"/>
              <w:numPr>
                <w:ilvl w:val="0"/>
                <w:numId w:val="11"/>
              </w:numPr>
              <w:rPr>
                <w:rFonts w:ascii="Arial" w:hAnsi="Arial" w:cs="Arial"/>
              </w:rPr>
            </w:pPr>
            <w:r w:rsidRPr="006A4098">
              <w:rPr>
                <w:rFonts w:ascii="Arial" w:hAnsi="Arial" w:cs="Arial"/>
              </w:rPr>
              <w:t xml:space="preserve">Planning frameworks that </w:t>
            </w:r>
            <w:proofErr w:type="spellStart"/>
            <w:r w:rsidRPr="006A4098">
              <w:rPr>
                <w:rFonts w:ascii="Arial" w:hAnsi="Arial" w:cs="Arial"/>
              </w:rPr>
              <w:t>prioritise</w:t>
            </w:r>
            <w:proofErr w:type="spellEnd"/>
            <w:r w:rsidRPr="006A4098">
              <w:rPr>
                <w:rFonts w:ascii="Arial" w:hAnsi="Arial" w:cs="Arial"/>
              </w:rPr>
              <w:t xml:space="preserve"> community infrastructure alongside housing</w:t>
            </w:r>
          </w:p>
          <w:p w14:paraId="03BF70D9" w14:textId="77777777" w:rsidR="006A4098" w:rsidRPr="006A4098" w:rsidRDefault="006A4098" w:rsidP="006A4098">
            <w:pPr>
              <w:rPr>
                <w:rFonts w:ascii="Arial" w:hAnsi="Arial" w:cs="Arial"/>
              </w:rPr>
            </w:pPr>
          </w:p>
          <w:p w14:paraId="6ECF0C4F" w14:textId="1ECDB90F" w:rsidR="00711B31" w:rsidRDefault="006A4098" w:rsidP="006A4098">
            <w:pPr>
              <w:rPr>
                <w:rFonts w:ascii="Arial" w:hAnsi="Arial" w:cs="Arial"/>
              </w:rPr>
            </w:pPr>
            <w:r w:rsidRPr="006A4098">
              <w:rPr>
                <w:rFonts w:ascii="Arial" w:hAnsi="Arial" w:cs="Arial"/>
              </w:rPr>
              <w:t>Growth areas deserve more than homes</w:t>
            </w:r>
            <w:r>
              <w:rPr>
                <w:rFonts w:ascii="Arial" w:hAnsi="Arial" w:cs="Arial"/>
              </w:rPr>
              <w:t xml:space="preserve"> - </w:t>
            </w:r>
            <w:r w:rsidRPr="006A4098">
              <w:rPr>
                <w:rFonts w:ascii="Arial" w:hAnsi="Arial" w:cs="Arial"/>
              </w:rPr>
              <w:t>they deserve places to belong.</w:t>
            </w:r>
          </w:p>
        </w:tc>
        <w:tc>
          <w:tcPr>
            <w:tcW w:w="937" w:type="pct"/>
          </w:tcPr>
          <w:p w14:paraId="1987562A" w14:textId="77777777" w:rsidR="00711B31" w:rsidRDefault="006A4098" w:rsidP="00711B31">
            <w:pPr>
              <w:rPr>
                <w:rFonts w:ascii="Arial" w:hAnsi="Arial" w:cs="Arial"/>
              </w:rPr>
            </w:pPr>
            <w:hyperlink r:id="rId14" w:history="1">
              <w:r w:rsidRPr="00711B31">
                <w:rPr>
                  <w:rStyle w:val="Hyperlink"/>
                  <w:rFonts w:ascii="Arial" w:hAnsi="Arial" w:cs="Arial"/>
                </w:rPr>
                <w:t xml:space="preserve">Growth Areas </w:t>
              </w:r>
              <w:proofErr w:type="spellStart"/>
              <w:r w:rsidRPr="00711B31">
                <w:rPr>
                  <w:rStyle w:val="Hyperlink"/>
                  <w:rFonts w:ascii="Arial" w:hAnsi="Arial" w:cs="Arial"/>
                </w:rPr>
                <w:t>Liveability</w:t>
              </w:r>
              <w:proofErr w:type="spellEnd"/>
              <w:r w:rsidRPr="00711B31">
                <w:rPr>
                  <w:rStyle w:val="Hyperlink"/>
                  <w:rFonts w:ascii="Arial" w:hAnsi="Arial" w:cs="Arial"/>
                </w:rPr>
                <w:t xml:space="preserve"> Scorecards</w:t>
              </w:r>
            </w:hyperlink>
          </w:p>
          <w:p w14:paraId="62196EC1" w14:textId="77777777" w:rsidR="006A4098" w:rsidRDefault="006A4098" w:rsidP="00711B31">
            <w:pPr>
              <w:rPr>
                <w:rFonts w:ascii="Arial" w:hAnsi="Arial" w:cs="Arial"/>
              </w:rPr>
            </w:pPr>
          </w:p>
          <w:p w14:paraId="18183095" w14:textId="2F9295A6" w:rsidR="006A4098" w:rsidRDefault="006A4098" w:rsidP="00711B31">
            <w:pPr>
              <w:rPr>
                <w:rFonts w:ascii="Arial" w:hAnsi="Arial" w:cs="Arial"/>
              </w:rPr>
            </w:pPr>
            <w:r>
              <w:rPr>
                <w:rFonts w:ascii="Arial" w:hAnsi="Arial" w:cs="Arial"/>
              </w:rPr>
              <w:t>NGAA Member Key Priorities</w:t>
            </w:r>
          </w:p>
        </w:tc>
      </w:tr>
      <w:tr w:rsidR="00711B31" w:rsidRPr="008226EE" w14:paraId="42A64D6D" w14:textId="77777777" w:rsidTr="00711B31">
        <w:tc>
          <w:tcPr>
            <w:tcW w:w="1064" w:type="pct"/>
          </w:tcPr>
          <w:p w14:paraId="7EF8D7F2" w14:textId="77777777" w:rsidR="00711B31" w:rsidRPr="008226EE" w:rsidRDefault="00711B31" w:rsidP="00711B31">
            <w:pPr>
              <w:rPr>
                <w:rFonts w:ascii="Arial" w:hAnsi="Arial" w:cs="Arial"/>
              </w:rPr>
            </w:pPr>
            <w:r w:rsidRPr="008226EE">
              <w:rPr>
                <w:rFonts w:ascii="Arial" w:hAnsi="Arial" w:cs="Arial"/>
              </w:rPr>
              <w:t>Immigration</w:t>
            </w:r>
          </w:p>
        </w:tc>
        <w:tc>
          <w:tcPr>
            <w:tcW w:w="2999" w:type="pct"/>
          </w:tcPr>
          <w:p w14:paraId="01E84452" w14:textId="7E7FD581" w:rsidR="00711B31" w:rsidRPr="008226EE" w:rsidRDefault="00711B31" w:rsidP="00711B31">
            <w:pPr>
              <w:rPr>
                <w:rFonts w:ascii="Arial" w:hAnsi="Arial" w:cs="Arial"/>
              </w:rPr>
            </w:pPr>
            <w:r>
              <w:rPr>
                <w:rFonts w:ascii="Arial" w:hAnsi="Arial" w:cs="Arial"/>
              </w:rPr>
              <w:t>W</w:t>
            </w:r>
            <w:r w:rsidRPr="008226EE">
              <w:rPr>
                <w:rFonts w:ascii="Arial" w:hAnsi="Arial" w:cs="Arial"/>
              </w:rPr>
              <w:t xml:space="preserve">e welcome people from all backgrounds and celebrate the cultural diversity that enriches our communities. While immigration plays a role in our population growth, data shows that </w:t>
            </w:r>
            <w:r w:rsidRPr="00711B31">
              <w:rPr>
                <w:rFonts w:ascii="Arial" w:hAnsi="Arial" w:cs="Arial"/>
                <w:b/>
                <w:bCs/>
              </w:rPr>
              <w:t>internal migration is the primary driver</w:t>
            </w:r>
            <w:r w:rsidRPr="008226EE">
              <w:rPr>
                <w:rFonts w:ascii="Arial" w:hAnsi="Arial" w:cs="Arial"/>
              </w:rPr>
              <w:t xml:space="preserve"> in our fast-growing outer metropolitan areas.</w:t>
            </w:r>
          </w:p>
          <w:p w14:paraId="46919DC9" w14:textId="77777777" w:rsidR="00711B31" w:rsidRPr="008226EE" w:rsidRDefault="00711B31" w:rsidP="00711B31">
            <w:pPr>
              <w:rPr>
                <w:rFonts w:ascii="Arial" w:hAnsi="Arial" w:cs="Arial"/>
              </w:rPr>
            </w:pPr>
          </w:p>
          <w:p w14:paraId="411C5BD2" w14:textId="6F7B2F44" w:rsidR="00711B31" w:rsidRDefault="00711B31" w:rsidP="00711B31">
            <w:pPr>
              <w:rPr>
                <w:rFonts w:ascii="Arial" w:hAnsi="Arial" w:cs="Arial"/>
              </w:rPr>
            </w:pPr>
            <w:r w:rsidRPr="008226EE">
              <w:rPr>
                <w:rFonts w:ascii="Arial" w:hAnsi="Arial" w:cs="Arial"/>
              </w:rPr>
              <w:t>Our focus is not on migration policy itself, but on ensuring that all residents</w:t>
            </w:r>
            <w:r>
              <w:rPr>
                <w:rFonts w:ascii="Arial" w:hAnsi="Arial" w:cs="Arial"/>
              </w:rPr>
              <w:t xml:space="preserve"> -</w:t>
            </w:r>
            <w:r w:rsidRPr="008226EE">
              <w:rPr>
                <w:rFonts w:ascii="Arial" w:hAnsi="Arial" w:cs="Arial"/>
              </w:rPr>
              <w:t xml:space="preserve"> regardless of where they come from </w:t>
            </w:r>
            <w:r>
              <w:rPr>
                <w:rFonts w:ascii="Arial" w:hAnsi="Arial" w:cs="Arial"/>
              </w:rPr>
              <w:t xml:space="preserve">- </w:t>
            </w:r>
            <w:r w:rsidRPr="008226EE">
              <w:rPr>
                <w:rFonts w:ascii="Arial" w:hAnsi="Arial" w:cs="Arial"/>
              </w:rPr>
              <w:t>have access to the infrastructure, services and community facilities they need. Investment must keep pace with growth so we can support thriving, inclusive communities that reflect the diversity of modern Australia.</w:t>
            </w:r>
          </w:p>
          <w:p w14:paraId="1CF715FA" w14:textId="77777777" w:rsidR="00711B31" w:rsidRPr="008226EE" w:rsidRDefault="00711B31" w:rsidP="00711B31">
            <w:pPr>
              <w:rPr>
                <w:rFonts w:ascii="Arial" w:hAnsi="Arial" w:cs="Arial"/>
              </w:rPr>
            </w:pPr>
          </w:p>
        </w:tc>
        <w:tc>
          <w:tcPr>
            <w:tcW w:w="937" w:type="pct"/>
          </w:tcPr>
          <w:p w14:paraId="4E12CF44" w14:textId="69068957" w:rsidR="00711B31" w:rsidRPr="008226EE" w:rsidRDefault="00711B31" w:rsidP="00711B31">
            <w:pPr>
              <w:rPr>
                <w:rFonts w:ascii="Arial" w:hAnsi="Arial" w:cs="Arial"/>
              </w:rPr>
            </w:pPr>
            <w:hyperlink r:id="rId15" w:history="1">
              <w:r w:rsidRPr="00711B31">
                <w:rPr>
                  <w:rStyle w:val="Hyperlink"/>
                  <w:rFonts w:ascii="Arial" w:hAnsi="Arial" w:cs="Arial"/>
                </w:rPr>
                <w:t>ABS Regional population 2023-24: Population change</w:t>
              </w:r>
            </w:hyperlink>
          </w:p>
        </w:tc>
      </w:tr>
      <w:tr w:rsidR="00F81B06" w:rsidRPr="008226EE" w14:paraId="0B771292" w14:textId="77777777" w:rsidTr="00711B31">
        <w:tc>
          <w:tcPr>
            <w:tcW w:w="1064" w:type="pct"/>
          </w:tcPr>
          <w:p w14:paraId="5550569B" w14:textId="347A97D7" w:rsidR="00F81B06" w:rsidRPr="008226EE" w:rsidRDefault="00F81B06" w:rsidP="00711B31">
            <w:pPr>
              <w:rPr>
                <w:rFonts w:ascii="Arial" w:hAnsi="Arial" w:cs="Arial"/>
              </w:rPr>
            </w:pPr>
            <w:r>
              <w:rPr>
                <w:rFonts w:ascii="Arial" w:hAnsi="Arial" w:cs="Arial"/>
              </w:rPr>
              <w:t>National Settlement Forecast</w:t>
            </w:r>
          </w:p>
        </w:tc>
        <w:tc>
          <w:tcPr>
            <w:tcW w:w="2999" w:type="pct"/>
          </w:tcPr>
          <w:p w14:paraId="4F0C3BA3" w14:textId="09273040" w:rsidR="00F81B06" w:rsidRDefault="00F81B06" w:rsidP="00F81B06">
            <w:pPr>
              <w:rPr>
                <w:rFonts w:ascii="Arial" w:hAnsi="Arial" w:cs="Arial"/>
                <w:lang w:val="en-AU"/>
              </w:rPr>
            </w:pPr>
            <w:r>
              <w:rPr>
                <w:rFonts w:ascii="Arial" w:hAnsi="Arial" w:cs="Arial"/>
                <w:lang w:val="en-AU"/>
              </w:rPr>
              <w:t>W</w:t>
            </w:r>
            <w:r w:rsidRPr="00F81B06">
              <w:rPr>
                <w:rFonts w:ascii="Arial" w:hAnsi="Arial" w:cs="Arial"/>
                <w:lang w:val="en-AU"/>
              </w:rPr>
              <w:t>e welcome migrants and recognise the vital social, cultural and economic contributions they make to our communities. Many of Australia's outer metropolitan growth areas are proudly among the most diverse in the nation.</w:t>
            </w:r>
          </w:p>
          <w:p w14:paraId="2F7802FC" w14:textId="77777777" w:rsidR="00F81B06" w:rsidRPr="00F81B06" w:rsidRDefault="00F81B06" w:rsidP="00F81B06">
            <w:pPr>
              <w:rPr>
                <w:rFonts w:ascii="Arial" w:hAnsi="Arial" w:cs="Arial"/>
                <w:lang w:val="en-AU"/>
              </w:rPr>
            </w:pPr>
          </w:p>
          <w:p w14:paraId="2358B588" w14:textId="14C5B9EB" w:rsidR="00F81B06" w:rsidRDefault="00F81B06" w:rsidP="00F81B06">
            <w:pPr>
              <w:rPr>
                <w:rFonts w:ascii="Arial" w:hAnsi="Arial" w:cs="Arial"/>
                <w:lang w:val="en-AU"/>
              </w:rPr>
            </w:pPr>
            <w:r w:rsidRPr="00F81B06">
              <w:rPr>
                <w:rFonts w:ascii="Arial" w:hAnsi="Arial" w:cs="Arial"/>
                <w:lang w:val="en-AU"/>
              </w:rPr>
              <w:t xml:space="preserve">We call on the </w:t>
            </w:r>
            <w:r w:rsidRPr="00F81B06">
              <w:rPr>
                <w:rFonts w:ascii="Arial" w:hAnsi="Arial" w:cs="Arial"/>
                <w:b/>
                <w:bCs/>
                <w:lang w:val="en-AU"/>
              </w:rPr>
              <w:t xml:space="preserve">next </w:t>
            </w:r>
            <w:r w:rsidR="00826F85">
              <w:rPr>
                <w:rFonts w:ascii="Arial" w:hAnsi="Arial" w:cs="Arial"/>
                <w:b/>
                <w:bCs/>
                <w:lang w:val="en-AU"/>
              </w:rPr>
              <w:t>Federal</w:t>
            </w:r>
            <w:r w:rsidRPr="00F81B06">
              <w:rPr>
                <w:rFonts w:ascii="Arial" w:hAnsi="Arial" w:cs="Arial"/>
                <w:b/>
                <w:bCs/>
                <w:lang w:val="en-AU"/>
              </w:rPr>
              <w:t xml:space="preserve"> Government</w:t>
            </w:r>
            <w:r w:rsidRPr="00F81B06">
              <w:rPr>
                <w:rFonts w:ascii="Arial" w:hAnsi="Arial" w:cs="Arial"/>
                <w:lang w:val="en-AU"/>
              </w:rPr>
              <w:t xml:space="preserve"> to implement </w:t>
            </w:r>
            <w:r w:rsidRPr="00F81B06">
              <w:rPr>
                <w:rFonts w:ascii="Arial" w:hAnsi="Arial" w:cs="Arial"/>
                <w:b/>
                <w:bCs/>
                <w:lang w:val="en-AU"/>
              </w:rPr>
              <w:t>national settlement forecasting</w:t>
            </w:r>
            <w:r w:rsidRPr="00F81B06">
              <w:rPr>
                <w:rFonts w:ascii="Arial" w:hAnsi="Arial" w:cs="Arial"/>
                <w:lang w:val="en-AU"/>
              </w:rPr>
              <w:t xml:space="preserve"> to ensure that migration policy is aligned with infrastructure, housing, and service delivery across our cities and regions.</w:t>
            </w:r>
          </w:p>
          <w:p w14:paraId="5B32D1A3" w14:textId="77777777" w:rsidR="00F81B06" w:rsidRPr="00F81B06" w:rsidRDefault="00F81B06" w:rsidP="00F81B06">
            <w:pPr>
              <w:rPr>
                <w:rFonts w:ascii="Arial" w:hAnsi="Arial" w:cs="Arial"/>
                <w:lang w:val="en-AU"/>
              </w:rPr>
            </w:pPr>
          </w:p>
          <w:p w14:paraId="1D38E9AA" w14:textId="77777777" w:rsidR="00F81B06" w:rsidRDefault="00F81B06" w:rsidP="00F81B06">
            <w:pPr>
              <w:rPr>
                <w:rFonts w:ascii="Arial" w:hAnsi="Arial" w:cs="Arial"/>
                <w:lang w:val="en-AU"/>
              </w:rPr>
            </w:pPr>
            <w:r w:rsidRPr="00F81B06">
              <w:rPr>
                <w:rFonts w:ascii="Arial" w:hAnsi="Arial" w:cs="Arial"/>
                <w:lang w:val="en-AU"/>
              </w:rPr>
              <w:t>A forecasting model that considers both pre- and post-COVID population movements will allow for smarter, more equitable settlement planning. It will also enable growth areas to better prepare for and support the communities that are growing the fastest.</w:t>
            </w:r>
          </w:p>
          <w:p w14:paraId="10EBF104" w14:textId="77777777" w:rsidR="00F81B06" w:rsidRPr="00F81B06" w:rsidRDefault="00F81B06" w:rsidP="00F81B06">
            <w:pPr>
              <w:rPr>
                <w:rFonts w:ascii="Arial" w:hAnsi="Arial" w:cs="Arial"/>
                <w:lang w:val="en-AU"/>
              </w:rPr>
            </w:pPr>
          </w:p>
          <w:p w14:paraId="2B68EEA2" w14:textId="77777777" w:rsidR="00F81B06" w:rsidRPr="00F81B06" w:rsidRDefault="00F81B06" w:rsidP="00F81B06">
            <w:pPr>
              <w:rPr>
                <w:rFonts w:ascii="Arial" w:hAnsi="Arial" w:cs="Arial"/>
                <w:lang w:val="en-AU"/>
              </w:rPr>
            </w:pPr>
            <w:r w:rsidRPr="00F81B06">
              <w:rPr>
                <w:rFonts w:ascii="Arial" w:hAnsi="Arial" w:cs="Arial"/>
                <w:lang w:val="en-AU"/>
              </w:rPr>
              <w:t xml:space="preserve">Migration must be backed by a </w:t>
            </w:r>
            <w:r w:rsidRPr="00F81B06">
              <w:rPr>
                <w:rFonts w:ascii="Arial" w:hAnsi="Arial" w:cs="Arial"/>
                <w:b/>
                <w:bCs/>
                <w:lang w:val="en-AU"/>
              </w:rPr>
              <w:t>long-term national vision</w:t>
            </w:r>
            <w:r w:rsidRPr="00F81B06">
              <w:rPr>
                <w:rFonts w:ascii="Arial" w:hAnsi="Arial" w:cs="Arial"/>
                <w:lang w:val="en-AU"/>
              </w:rPr>
              <w:t xml:space="preserve"> that delivers sustainable, inclusive development and empowers pathways to prosperity.</w:t>
            </w:r>
          </w:p>
          <w:p w14:paraId="061750E1" w14:textId="77777777" w:rsidR="00F81B06" w:rsidRDefault="00F81B06" w:rsidP="00711B31">
            <w:pPr>
              <w:rPr>
                <w:rFonts w:ascii="Arial" w:hAnsi="Arial" w:cs="Arial"/>
              </w:rPr>
            </w:pPr>
          </w:p>
        </w:tc>
        <w:tc>
          <w:tcPr>
            <w:tcW w:w="937" w:type="pct"/>
          </w:tcPr>
          <w:p w14:paraId="47866FAD" w14:textId="6CF609FC" w:rsidR="00F81B06" w:rsidRDefault="00F81B06" w:rsidP="00711B31">
            <w:pPr>
              <w:rPr>
                <w:rFonts w:ascii="Arial" w:hAnsi="Arial" w:cs="Arial"/>
              </w:rPr>
            </w:pPr>
            <w:r>
              <w:rPr>
                <w:rFonts w:ascii="Arial" w:hAnsi="Arial" w:cs="Arial"/>
              </w:rPr>
              <w:t>NGAA Policy Platform</w:t>
            </w:r>
          </w:p>
        </w:tc>
      </w:tr>
      <w:tr w:rsidR="00711B31" w:rsidRPr="008226EE" w14:paraId="3C563711" w14:textId="77777777" w:rsidTr="00711B31">
        <w:tc>
          <w:tcPr>
            <w:tcW w:w="1064" w:type="pct"/>
          </w:tcPr>
          <w:p w14:paraId="00F533C1" w14:textId="77777777" w:rsidR="00711B31" w:rsidRPr="008226EE" w:rsidRDefault="00711B31" w:rsidP="00711B31">
            <w:pPr>
              <w:rPr>
                <w:rFonts w:ascii="Arial" w:hAnsi="Arial" w:cs="Arial"/>
              </w:rPr>
            </w:pPr>
            <w:bookmarkStart w:id="0" w:name="_Hlk194051422"/>
            <w:r w:rsidRPr="008226EE">
              <w:rPr>
                <w:rFonts w:ascii="Arial" w:hAnsi="Arial" w:cs="Arial"/>
              </w:rPr>
              <w:t>Childcare</w:t>
            </w:r>
            <w:bookmarkEnd w:id="0"/>
          </w:p>
        </w:tc>
        <w:tc>
          <w:tcPr>
            <w:tcW w:w="2999" w:type="pct"/>
          </w:tcPr>
          <w:p w14:paraId="4AF26395" w14:textId="6B603C1F" w:rsidR="00711B31" w:rsidRPr="008226EE" w:rsidRDefault="00711B31" w:rsidP="00711B31">
            <w:pPr>
              <w:rPr>
                <w:rFonts w:ascii="Arial" w:hAnsi="Arial" w:cs="Arial"/>
              </w:rPr>
            </w:pPr>
            <w:r>
              <w:rPr>
                <w:rFonts w:ascii="Arial" w:hAnsi="Arial" w:cs="Arial"/>
              </w:rPr>
              <w:t>W</w:t>
            </w:r>
            <w:r w:rsidRPr="008226EE">
              <w:rPr>
                <w:rFonts w:ascii="Arial" w:hAnsi="Arial" w:cs="Arial"/>
              </w:rPr>
              <w:t>e represent some of the youngest and fastest</w:t>
            </w:r>
            <w:r>
              <w:rPr>
                <w:rFonts w:ascii="Arial" w:hAnsi="Arial" w:cs="Arial"/>
              </w:rPr>
              <w:t xml:space="preserve"> </w:t>
            </w:r>
            <w:r w:rsidRPr="008226EE">
              <w:rPr>
                <w:rFonts w:ascii="Arial" w:hAnsi="Arial" w:cs="Arial"/>
              </w:rPr>
              <w:t>-growing communities in the country</w:t>
            </w:r>
            <w:r>
              <w:rPr>
                <w:rFonts w:ascii="Arial" w:hAnsi="Arial" w:cs="Arial"/>
              </w:rPr>
              <w:t xml:space="preserve"> - </w:t>
            </w:r>
            <w:r w:rsidRPr="008226EE">
              <w:rPr>
                <w:rFonts w:ascii="Arial" w:hAnsi="Arial" w:cs="Arial"/>
              </w:rPr>
              <w:t>places where 1 in 4 Australian children are born.</w:t>
            </w:r>
          </w:p>
          <w:p w14:paraId="4FE3397F" w14:textId="77777777" w:rsidR="00711B31" w:rsidRPr="008226EE" w:rsidRDefault="00711B31" w:rsidP="00711B31">
            <w:pPr>
              <w:rPr>
                <w:rFonts w:ascii="Arial" w:hAnsi="Arial" w:cs="Arial"/>
              </w:rPr>
            </w:pPr>
          </w:p>
          <w:p w14:paraId="5B21AC54" w14:textId="77777777" w:rsidR="00711B31" w:rsidRPr="008226EE" w:rsidRDefault="00711B31" w:rsidP="00711B31">
            <w:pPr>
              <w:rPr>
                <w:rFonts w:ascii="Arial" w:hAnsi="Arial" w:cs="Arial"/>
              </w:rPr>
            </w:pPr>
            <w:r w:rsidRPr="008226EE">
              <w:rPr>
                <w:rFonts w:ascii="Arial" w:hAnsi="Arial" w:cs="Arial"/>
              </w:rPr>
              <w:lastRenderedPageBreak/>
              <w:t xml:space="preserve">With </w:t>
            </w:r>
            <w:r w:rsidRPr="00711B31">
              <w:rPr>
                <w:rFonts w:ascii="Arial" w:hAnsi="Arial" w:cs="Arial"/>
                <w:b/>
                <w:bCs/>
              </w:rPr>
              <w:t>natural increase accounting for over 22% of population growth</w:t>
            </w:r>
            <w:r w:rsidRPr="008226EE">
              <w:rPr>
                <w:rFonts w:ascii="Arial" w:hAnsi="Arial" w:cs="Arial"/>
              </w:rPr>
              <w:t>, our communities are shaped by young families and children. This growth is not a short-term trend, but a long-term demographic reality that demands sustained investment.</w:t>
            </w:r>
          </w:p>
          <w:p w14:paraId="35DD01A3" w14:textId="77777777" w:rsidR="00711B31" w:rsidRPr="008226EE" w:rsidRDefault="00711B31" w:rsidP="00711B31">
            <w:pPr>
              <w:rPr>
                <w:rFonts w:ascii="Arial" w:hAnsi="Arial" w:cs="Arial"/>
              </w:rPr>
            </w:pPr>
          </w:p>
          <w:p w14:paraId="79083C91" w14:textId="77777777" w:rsidR="00711B31" w:rsidRDefault="00711B31" w:rsidP="00711B31">
            <w:pPr>
              <w:rPr>
                <w:rFonts w:ascii="Arial" w:hAnsi="Arial" w:cs="Arial"/>
              </w:rPr>
            </w:pPr>
            <w:r w:rsidRPr="008226EE">
              <w:rPr>
                <w:rFonts w:ascii="Arial" w:hAnsi="Arial" w:cs="Arial"/>
              </w:rPr>
              <w:t xml:space="preserve">We are calling for a stronger focus on accessible, affordable, and high-quality childcare, alongside schools and health services, to support families and give every child the best start in life. </w:t>
            </w:r>
          </w:p>
          <w:p w14:paraId="7E84538C" w14:textId="77777777" w:rsidR="00711B31" w:rsidRDefault="00711B31" w:rsidP="00711B31">
            <w:pPr>
              <w:rPr>
                <w:rFonts w:ascii="Arial" w:hAnsi="Arial" w:cs="Arial"/>
              </w:rPr>
            </w:pPr>
          </w:p>
          <w:p w14:paraId="37CEEB0A" w14:textId="62465F6F" w:rsidR="00711B31" w:rsidRDefault="00711B31" w:rsidP="00711B31">
            <w:pPr>
              <w:rPr>
                <w:rFonts w:ascii="Arial" w:hAnsi="Arial" w:cs="Arial"/>
              </w:rPr>
            </w:pPr>
            <w:r w:rsidRPr="008226EE">
              <w:rPr>
                <w:rFonts w:ascii="Arial" w:hAnsi="Arial" w:cs="Arial"/>
              </w:rPr>
              <w:t xml:space="preserve">Growth areas must not be left behind </w:t>
            </w:r>
            <w:r>
              <w:rPr>
                <w:rFonts w:ascii="Arial" w:hAnsi="Arial" w:cs="Arial"/>
              </w:rPr>
              <w:t>-</w:t>
            </w:r>
            <w:r w:rsidRPr="008226EE">
              <w:rPr>
                <w:rFonts w:ascii="Arial" w:hAnsi="Arial" w:cs="Arial"/>
              </w:rPr>
              <w:t xml:space="preserve"> our communities deserve infrastructure and services that grow with them.</w:t>
            </w:r>
          </w:p>
          <w:p w14:paraId="7C44724D" w14:textId="7A948C00" w:rsidR="00711B31" w:rsidRPr="008226EE" w:rsidRDefault="00711B31" w:rsidP="00711B31">
            <w:pPr>
              <w:rPr>
                <w:rFonts w:ascii="Arial" w:hAnsi="Arial" w:cs="Arial"/>
              </w:rPr>
            </w:pPr>
          </w:p>
        </w:tc>
        <w:tc>
          <w:tcPr>
            <w:tcW w:w="937" w:type="pct"/>
          </w:tcPr>
          <w:p w14:paraId="68E1DFDE" w14:textId="337A06B6" w:rsidR="00711B31" w:rsidRPr="008226EE" w:rsidRDefault="00711B31" w:rsidP="00711B31">
            <w:pPr>
              <w:rPr>
                <w:rFonts w:ascii="Arial" w:hAnsi="Arial" w:cs="Arial"/>
              </w:rPr>
            </w:pPr>
            <w:hyperlink r:id="rId16" w:history="1">
              <w:r w:rsidRPr="00711B31">
                <w:rPr>
                  <w:rStyle w:val="Hyperlink"/>
                  <w:rFonts w:ascii="Arial" w:hAnsi="Arial" w:cs="Arial"/>
                </w:rPr>
                <w:t>ABS Regional population 2023-24: Population change</w:t>
              </w:r>
            </w:hyperlink>
          </w:p>
        </w:tc>
      </w:tr>
      <w:tr w:rsidR="006A4098" w:rsidRPr="008226EE" w14:paraId="387909BA" w14:textId="77777777" w:rsidTr="00711B31">
        <w:tc>
          <w:tcPr>
            <w:tcW w:w="1064" w:type="pct"/>
          </w:tcPr>
          <w:p w14:paraId="20C22CC8" w14:textId="00F9DFA0" w:rsidR="006A4098" w:rsidRPr="008226EE" w:rsidRDefault="006A4098" w:rsidP="00711B31">
            <w:pPr>
              <w:rPr>
                <w:rFonts w:ascii="Arial" w:hAnsi="Arial" w:cs="Arial"/>
              </w:rPr>
            </w:pPr>
            <w:bookmarkStart w:id="1" w:name="_Hlk194053718"/>
            <w:r>
              <w:rPr>
                <w:rFonts w:ascii="Arial" w:hAnsi="Arial" w:cs="Arial"/>
              </w:rPr>
              <w:lastRenderedPageBreak/>
              <w:t>Climate and Resilience</w:t>
            </w:r>
            <w:bookmarkEnd w:id="1"/>
          </w:p>
        </w:tc>
        <w:tc>
          <w:tcPr>
            <w:tcW w:w="2999" w:type="pct"/>
          </w:tcPr>
          <w:p w14:paraId="34FA748D" w14:textId="0F8BBF8F" w:rsidR="006A4098" w:rsidRPr="006A4098" w:rsidRDefault="006A4098" w:rsidP="006A4098">
            <w:pPr>
              <w:rPr>
                <w:rFonts w:ascii="Arial" w:hAnsi="Arial" w:cs="Arial"/>
              </w:rPr>
            </w:pPr>
            <w:r>
              <w:rPr>
                <w:rFonts w:ascii="Arial" w:hAnsi="Arial" w:cs="Arial"/>
              </w:rPr>
              <w:t>O</w:t>
            </w:r>
            <w:r w:rsidRPr="006A4098">
              <w:rPr>
                <w:rFonts w:ascii="Arial" w:hAnsi="Arial" w:cs="Arial"/>
              </w:rPr>
              <w:t>ur ability to withstand and recover from storms, floods, fires, and the broader impacts of climate change</w:t>
            </w:r>
            <w:r>
              <w:rPr>
                <w:rFonts w:ascii="Arial" w:hAnsi="Arial" w:cs="Arial"/>
              </w:rPr>
              <w:t xml:space="preserve"> </w:t>
            </w:r>
            <w:r w:rsidRPr="006A4098">
              <w:rPr>
                <w:rFonts w:ascii="Arial" w:hAnsi="Arial" w:cs="Arial"/>
              </w:rPr>
              <w:t xml:space="preserve">is essential to building </w:t>
            </w:r>
            <w:proofErr w:type="spellStart"/>
            <w:r w:rsidRPr="006A4098">
              <w:rPr>
                <w:rFonts w:ascii="Arial" w:hAnsi="Arial" w:cs="Arial"/>
              </w:rPr>
              <w:t>liveable</w:t>
            </w:r>
            <w:proofErr w:type="spellEnd"/>
            <w:r w:rsidRPr="006A4098">
              <w:rPr>
                <w:rFonts w:ascii="Arial" w:hAnsi="Arial" w:cs="Arial"/>
              </w:rPr>
              <w:t>, thriving communities.</w:t>
            </w:r>
          </w:p>
          <w:p w14:paraId="0756134D" w14:textId="77777777" w:rsidR="006A4098" w:rsidRPr="006A4098" w:rsidRDefault="006A4098" w:rsidP="006A4098">
            <w:pPr>
              <w:rPr>
                <w:rFonts w:ascii="Arial" w:hAnsi="Arial" w:cs="Arial"/>
              </w:rPr>
            </w:pPr>
          </w:p>
          <w:p w14:paraId="0C2F2ECB" w14:textId="77777777" w:rsidR="006A4098" w:rsidRPr="006A4098" w:rsidRDefault="006A4098" w:rsidP="006A4098">
            <w:pPr>
              <w:rPr>
                <w:rFonts w:ascii="Arial" w:hAnsi="Arial" w:cs="Arial"/>
              </w:rPr>
            </w:pPr>
            <w:r w:rsidRPr="006A4098">
              <w:rPr>
                <w:rFonts w:ascii="Arial" w:hAnsi="Arial" w:cs="Arial"/>
              </w:rPr>
              <w:t>Outer metropolitan growth areas are particularly exposed to climate risks, and the pace of development must be matched with climate-conscious planning and infrastructure.</w:t>
            </w:r>
          </w:p>
          <w:p w14:paraId="0922CF9B" w14:textId="77777777" w:rsidR="006A4098" w:rsidRPr="006A4098" w:rsidRDefault="006A4098" w:rsidP="006A4098">
            <w:pPr>
              <w:rPr>
                <w:rFonts w:ascii="Arial" w:hAnsi="Arial" w:cs="Arial"/>
              </w:rPr>
            </w:pPr>
          </w:p>
          <w:p w14:paraId="17832715" w14:textId="77777777" w:rsidR="006A4098" w:rsidRPr="006A4098" w:rsidRDefault="006A4098" w:rsidP="006A4098">
            <w:pPr>
              <w:rPr>
                <w:rFonts w:ascii="Arial" w:hAnsi="Arial" w:cs="Arial"/>
              </w:rPr>
            </w:pPr>
            <w:r w:rsidRPr="006A4098">
              <w:rPr>
                <w:rFonts w:ascii="Arial" w:hAnsi="Arial" w:cs="Arial"/>
              </w:rPr>
              <w:t>The NGAA and its members are focused on two interconnected strategies:</w:t>
            </w:r>
          </w:p>
          <w:p w14:paraId="78EDB457" w14:textId="77777777" w:rsidR="006A4098" w:rsidRDefault="006A4098">
            <w:pPr>
              <w:pStyle w:val="ListParagraph"/>
              <w:numPr>
                <w:ilvl w:val="0"/>
                <w:numId w:val="11"/>
              </w:numPr>
              <w:rPr>
                <w:rFonts w:ascii="Arial" w:hAnsi="Arial" w:cs="Arial"/>
              </w:rPr>
            </w:pPr>
            <w:r w:rsidRPr="006A4098">
              <w:rPr>
                <w:rFonts w:ascii="Arial" w:hAnsi="Arial" w:cs="Arial"/>
              </w:rPr>
              <w:t xml:space="preserve">Sustainable urban development and growth: ensuring new communities are designed to </w:t>
            </w:r>
            <w:proofErr w:type="spellStart"/>
            <w:r w:rsidRPr="006A4098">
              <w:rPr>
                <w:rFonts w:ascii="Arial" w:hAnsi="Arial" w:cs="Arial"/>
              </w:rPr>
              <w:t>minimise</w:t>
            </w:r>
            <w:proofErr w:type="spellEnd"/>
            <w:r w:rsidRPr="006A4098">
              <w:rPr>
                <w:rFonts w:ascii="Arial" w:hAnsi="Arial" w:cs="Arial"/>
              </w:rPr>
              <w:t xml:space="preserve"> environmental impact and </w:t>
            </w:r>
            <w:proofErr w:type="spellStart"/>
            <w:r w:rsidRPr="006A4098">
              <w:rPr>
                <w:rFonts w:ascii="Arial" w:hAnsi="Arial" w:cs="Arial"/>
              </w:rPr>
              <w:t>maximise</w:t>
            </w:r>
            <w:proofErr w:type="spellEnd"/>
            <w:r w:rsidRPr="006A4098">
              <w:rPr>
                <w:rFonts w:ascii="Arial" w:hAnsi="Arial" w:cs="Arial"/>
              </w:rPr>
              <w:t xml:space="preserve"> long-term resilience </w:t>
            </w:r>
          </w:p>
          <w:p w14:paraId="16F99CCB" w14:textId="65B86012" w:rsidR="006A4098" w:rsidRPr="006A4098" w:rsidRDefault="006A4098">
            <w:pPr>
              <w:pStyle w:val="ListParagraph"/>
              <w:numPr>
                <w:ilvl w:val="0"/>
                <w:numId w:val="11"/>
              </w:numPr>
              <w:rPr>
                <w:rFonts w:ascii="Arial" w:hAnsi="Arial" w:cs="Arial"/>
              </w:rPr>
            </w:pPr>
            <w:r w:rsidRPr="006A4098">
              <w:rPr>
                <w:rFonts w:ascii="Arial" w:hAnsi="Arial" w:cs="Arial"/>
              </w:rPr>
              <w:t>Built environment climate change adaptation and mitigation</w:t>
            </w:r>
            <w:r>
              <w:rPr>
                <w:rFonts w:ascii="Arial" w:hAnsi="Arial" w:cs="Arial"/>
              </w:rPr>
              <w:t xml:space="preserve">: </w:t>
            </w:r>
            <w:r w:rsidRPr="006A4098">
              <w:rPr>
                <w:rFonts w:ascii="Arial" w:hAnsi="Arial" w:cs="Arial"/>
              </w:rPr>
              <w:t>upgrading infrastructure and assets to cope with changing climate conditions</w:t>
            </w:r>
          </w:p>
          <w:p w14:paraId="0100DF3B" w14:textId="77777777" w:rsidR="006A4098" w:rsidRPr="006A4098" w:rsidRDefault="006A4098" w:rsidP="006A4098">
            <w:pPr>
              <w:rPr>
                <w:rFonts w:ascii="Arial" w:hAnsi="Arial" w:cs="Arial"/>
              </w:rPr>
            </w:pPr>
          </w:p>
          <w:p w14:paraId="543CC7AD" w14:textId="198098DA" w:rsidR="006A4098" w:rsidRDefault="006A4098" w:rsidP="006A4098">
            <w:pPr>
              <w:rPr>
                <w:rFonts w:ascii="Arial" w:hAnsi="Arial" w:cs="Arial"/>
              </w:rPr>
            </w:pPr>
            <w:r w:rsidRPr="006A4098">
              <w:rPr>
                <w:rFonts w:ascii="Arial" w:hAnsi="Arial" w:cs="Arial"/>
              </w:rPr>
              <w:t>These strategies are complementary: actions in one area reinforce the other. Together, they are critical to creating safe, future-ready communities in Australia's fastest-growing regions.</w:t>
            </w:r>
          </w:p>
        </w:tc>
        <w:tc>
          <w:tcPr>
            <w:tcW w:w="937" w:type="pct"/>
          </w:tcPr>
          <w:p w14:paraId="3AC52714" w14:textId="2FC3BA67" w:rsidR="006A4098" w:rsidRDefault="006A4098" w:rsidP="00711B31">
            <w:pPr>
              <w:rPr>
                <w:rFonts w:ascii="Arial" w:hAnsi="Arial" w:cs="Arial"/>
              </w:rPr>
            </w:pPr>
            <w:r>
              <w:rPr>
                <w:rFonts w:ascii="Arial" w:hAnsi="Arial" w:cs="Arial"/>
              </w:rPr>
              <w:t>NGAA Policy Platform</w:t>
            </w:r>
          </w:p>
        </w:tc>
      </w:tr>
      <w:tr w:rsidR="006A4098" w:rsidRPr="008226EE" w14:paraId="487DF5B5" w14:textId="77777777" w:rsidTr="00711B31">
        <w:tc>
          <w:tcPr>
            <w:tcW w:w="1064" w:type="pct"/>
          </w:tcPr>
          <w:p w14:paraId="58020607" w14:textId="3DA438EE" w:rsidR="006A4098" w:rsidRDefault="006A4098" w:rsidP="00711B31">
            <w:pPr>
              <w:rPr>
                <w:rFonts w:ascii="Arial" w:hAnsi="Arial" w:cs="Arial"/>
              </w:rPr>
            </w:pPr>
            <w:r>
              <w:rPr>
                <w:rFonts w:ascii="Arial" w:hAnsi="Arial" w:cs="Arial"/>
              </w:rPr>
              <w:t>Emergency Management</w:t>
            </w:r>
          </w:p>
        </w:tc>
        <w:tc>
          <w:tcPr>
            <w:tcW w:w="2999" w:type="pct"/>
          </w:tcPr>
          <w:p w14:paraId="135D890A" w14:textId="4E64194F" w:rsidR="00F81B06" w:rsidRPr="00F81B06" w:rsidRDefault="00F81B06" w:rsidP="00F81B06">
            <w:pPr>
              <w:rPr>
                <w:rFonts w:ascii="Arial" w:hAnsi="Arial" w:cs="Arial"/>
              </w:rPr>
            </w:pPr>
            <w:r>
              <w:rPr>
                <w:rFonts w:ascii="Arial" w:hAnsi="Arial" w:cs="Arial"/>
              </w:rPr>
              <w:t>C</w:t>
            </w:r>
            <w:r w:rsidRPr="00F81B06">
              <w:rPr>
                <w:rFonts w:ascii="Arial" w:hAnsi="Arial" w:cs="Arial"/>
              </w:rPr>
              <w:t>urrent disaster recovery services are too narrowly defined</w:t>
            </w:r>
            <w:r>
              <w:rPr>
                <w:rFonts w:ascii="Arial" w:hAnsi="Arial" w:cs="Arial"/>
              </w:rPr>
              <w:t xml:space="preserve">, </w:t>
            </w:r>
            <w:r w:rsidRPr="00F81B06">
              <w:rPr>
                <w:rFonts w:ascii="Arial" w:hAnsi="Arial" w:cs="Arial"/>
              </w:rPr>
              <w:t>primarily addressing the immediate impacts of extreme weather events and the COVID-19 pandemic. Communities in outer metropolitan growth areas often face wider, long-term consequences from these events, as well as emerging risks that fall outside current definitions.</w:t>
            </w:r>
          </w:p>
          <w:p w14:paraId="065EF125" w14:textId="77777777" w:rsidR="00F81B06" w:rsidRPr="00F81B06" w:rsidRDefault="00F81B06" w:rsidP="00F81B06">
            <w:pPr>
              <w:rPr>
                <w:rFonts w:ascii="Arial" w:hAnsi="Arial" w:cs="Arial"/>
              </w:rPr>
            </w:pPr>
          </w:p>
          <w:p w14:paraId="0355C7E0" w14:textId="77777777" w:rsidR="00F81B06" w:rsidRPr="00F81B06" w:rsidRDefault="00F81B06" w:rsidP="00F81B06">
            <w:pPr>
              <w:rPr>
                <w:rFonts w:ascii="Arial" w:hAnsi="Arial" w:cs="Arial"/>
              </w:rPr>
            </w:pPr>
            <w:r w:rsidRPr="00F81B06">
              <w:rPr>
                <w:rFonts w:ascii="Arial" w:hAnsi="Arial" w:cs="Arial"/>
              </w:rPr>
              <w:t xml:space="preserve">The NGAA recommends expanding the scope of disaster recovery services and support to account </w:t>
            </w:r>
            <w:r w:rsidRPr="00F81B06">
              <w:rPr>
                <w:rFonts w:ascii="Arial" w:hAnsi="Arial" w:cs="Arial"/>
              </w:rPr>
              <w:lastRenderedPageBreak/>
              <w:t>for unforeseen adverse impacts of extreme events and as-yet-unknown disasters.</w:t>
            </w:r>
          </w:p>
          <w:p w14:paraId="0CE18F08" w14:textId="77777777" w:rsidR="00F81B06" w:rsidRPr="00F81B06" w:rsidRDefault="00F81B06" w:rsidP="00F81B06">
            <w:pPr>
              <w:rPr>
                <w:rFonts w:ascii="Arial" w:hAnsi="Arial" w:cs="Arial"/>
              </w:rPr>
            </w:pPr>
          </w:p>
          <w:p w14:paraId="60AE2BC2" w14:textId="644336B4" w:rsidR="006A4098" w:rsidRDefault="00F81B06" w:rsidP="00F81B06">
            <w:pPr>
              <w:rPr>
                <w:rFonts w:ascii="Arial" w:hAnsi="Arial" w:cs="Arial"/>
              </w:rPr>
            </w:pPr>
            <w:r w:rsidRPr="00F81B06">
              <w:rPr>
                <w:rFonts w:ascii="Arial" w:hAnsi="Arial" w:cs="Arial"/>
              </w:rPr>
              <w:t>A more flexible and inclusive approach will ensure that growing communities receive the support they need to recover, adapt and thrive</w:t>
            </w:r>
            <w:r>
              <w:rPr>
                <w:rFonts w:ascii="Arial" w:hAnsi="Arial" w:cs="Arial"/>
              </w:rPr>
              <w:t xml:space="preserve">, </w:t>
            </w:r>
            <w:r w:rsidRPr="00F81B06">
              <w:rPr>
                <w:rFonts w:ascii="Arial" w:hAnsi="Arial" w:cs="Arial"/>
              </w:rPr>
              <w:t>no matter the challenge.</w:t>
            </w:r>
          </w:p>
        </w:tc>
        <w:tc>
          <w:tcPr>
            <w:tcW w:w="937" w:type="pct"/>
          </w:tcPr>
          <w:p w14:paraId="14D19CED" w14:textId="69B19881" w:rsidR="006A4098" w:rsidRDefault="006A4098" w:rsidP="00711B31">
            <w:pPr>
              <w:rPr>
                <w:rFonts w:ascii="Arial" w:hAnsi="Arial" w:cs="Arial"/>
              </w:rPr>
            </w:pPr>
            <w:r>
              <w:rPr>
                <w:rFonts w:ascii="Arial" w:hAnsi="Arial" w:cs="Arial"/>
              </w:rPr>
              <w:lastRenderedPageBreak/>
              <w:t>NGAA Policy Platform</w:t>
            </w:r>
          </w:p>
        </w:tc>
      </w:tr>
    </w:tbl>
    <w:p w14:paraId="57387CF0" w14:textId="77777777" w:rsidR="006028C7" w:rsidRDefault="006028C7">
      <w:pPr>
        <w:rPr>
          <w:rFonts w:ascii="Arial" w:hAnsi="Arial" w:cs="Arial"/>
        </w:rPr>
      </w:pPr>
    </w:p>
    <w:p w14:paraId="16375117" w14:textId="655EFED7" w:rsidR="00B65B45" w:rsidRPr="008226EE" w:rsidRDefault="00B65B45">
      <w:pPr>
        <w:rPr>
          <w:rFonts w:ascii="Arial" w:hAnsi="Arial" w:cs="Arial"/>
        </w:rPr>
      </w:pPr>
    </w:p>
    <w:sectPr w:rsidR="00B65B45" w:rsidRPr="008226EE" w:rsidSect="00034616">
      <w:headerReference w:type="even" r:id="rId17"/>
      <w:headerReference w:type="default" r:id="rId18"/>
      <w:headerReference w:type="first" r:id="rId1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72393" w14:textId="77777777" w:rsidR="00072D15" w:rsidRDefault="00072D15" w:rsidP="008226EE">
      <w:pPr>
        <w:spacing w:after="0" w:line="240" w:lineRule="auto"/>
      </w:pPr>
      <w:r>
        <w:separator/>
      </w:r>
    </w:p>
  </w:endnote>
  <w:endnote w:type="continuationSeparator" w:id="0">
    <w:p w14:paraId="4CB98A1B" w14:textId="77777777" w:rsidR="00072D15" w:rsidRDefault="00072D15" w:rsidP="008226EE">
      <w:pPr>
        <w:spacing w:after="0" w:line="240" w:lineRule="auto"/>
      </w:pPr>
      <w:r>
        <w:continuationSeparator/>
      </w:r>
    </w:p>
  </w:endnote>
  <w:endnote w:type="continuationNotice" w:id="1">
    <w:p w14:paraId="245714A1" w14:textId="77777777" w:rsidR="00072D15" w:rsidRDefault="00072D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D60F8" w14:textId="77777777" w:rsidR="00072D15" w:rsidRDefault="00072D15" w:rsidP="008226EE">
      <w:pPr>
        <w:spacing w:after="0" w:line="240" w:lineRule="auto"/>
      </w:pPr>
      <w:r>
        <w:separator/>
      </w:r>
    </w:p>
  </w:footnote>
  <w:footnote w:type="continuationSeparator" w:id="0">
    <w:p w14:paraId="1AFA516D" w14:textId="77777777" w:rsidR="00072D15" w:rsidRDefault="00072D15" w:rsidP="008226EE">
      <w:pPr>
        <w:spacing w:after="0" w:line="240" w:lineRule="auto"/>
      </w:pPr>
      <w:r>
        <w:continuationSeparator/>
      </w:r>
    </w:p>
  </w:footnote>
  <w:footnote w:type="continuationNotice" w:id="1">
    <w:p w14:paraId="2E7C71C2" w14:textId="77777777" w:rsidR="00072D15" w:rsidRDefault="00072D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99DF6" w14:textId="433420B9" w:rsidR="008226EE" w:rsidRDefault="008226EE">
    <w:pPr>
      <w:pStyle w:val="Header"/>
    </w:pPr>
    <w:r>
      <w:rPr>
        <w:noProof/>
      </w:rPr>
      <mc:AlternateContent>
        <mc:Choice Requires="wps">
          <w:drawing>
            <wp:anchor distT="0" distB="0" distL="0" distR="0" simplePos="0" relativeHeight="251658241" behindDoc="0" locked="0" layoutInCell="1" allowOverlap="1" wp14:anchorId="41D83EE3" wp14:editId="2B958DBB">
              <wp:simplePos x="635" y="635"/>
              <wp:positionH relativeFrom="page">
                <wp:align>center</wp:align>
              </wp:positionH>
              <wp:positionV relativeFrom="page">
                <wp:align>top</wp:align>
              </wp:positionV>
              <wp:extent cx="643255" cy="440055"/>
              <wp:effectExtent l="0" t="0" r="4445" b="17145"/>
              <wp:wrapNone/>
              <wp:docPr id="187268877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40055"/>
                      </a:xfrm>
                      <a:prstGeom prst="rect">
                        <a:avLst/>
                      </a:prstGeom>
                      <a:noFill/>
                      <a:ln>
                        <a:noFill/>
                      </a:ln>
                    </wps:spPr>
                    <wps:txbx>
                      <w:txbxContent>
                        <w:p w14:paraId="33451ADF" w14:textId="7D24BBCB" w:rsidR="008226EE" w:rsidRPr="008226EE" w:rsidRDefault="008226EE" w:rsidP="008226EE">
                          <w:pPr>
                            <w:spacing w:after="0"/>
                            <w:rPr>
                              <w:rFonts w:ascii="Calibri" w:eastAsia="Calibri" w:hAnsi="Calibri" w:cs="Calibri"/>
                              <w:noProof/>
                              <w:color w:val="000000"/>
                              <w:sz w:val="28"/>
                              <w:szCs w:val="28"/>
                            </w:rPr>
                          </w:pPr>
                          <w:r w:rsidRPr="008226EE">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D83EE3" id="_x0000_t202" coordsize="21600,21600" o:spt="202" path="m,l,21600r21600,l21600,xe">
              <v:stroke joinstyle="miter"/>
              <v:path gradientshapeok="t" o:connecttype="rect"/>
            </v:shapetype>
            <v:shape id="Text Box 2" o:spid="_x0000_s1026" type="#_x0000_t202" alt="OFFICIAL" style="position:absolute;margin-left:0;margin-top:0;width:50.65pt;height:34.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" filled="f" stroked="f">
              <v:textbox style="mso-fit-shape-to-text:t" inset="0,15pt,0,0">
                <w:txbxContent>
                  <w:p w14:paraId="33451ADF" w14:textId="7D24BBCB" w:rsidR="008226EE" w:rsidRPr="008226EE" w:rsidRDefault="008226EE" w:rsidP="008226EE">
                    <w:pPr>
                      <w:spacing w:after="0"/>
                      <w:rPr>
                        <w:rFonts w:ascii="Calibri" w:eastAsia="Calibri" w:hAnsi="Calibri" w:cs="Calibri"/>
                        <w:noProof/>
                        <w:color w:val="000000"/>
                        <w:sz w:val="28"/>
                        <w:szCs w:val="28"/>
                      </w:rPr>
                    </w:pPr>
                    <w:r w:rsidRPr="008226EE">
                      <w:rPr>
                        <w:rFonts w:ascii="Calibri" w:eastAsia="Calibri" w:hAnsi="Calibri" w:cs="Calibri"/>
                        <w:noProof/>
                        <w:color w:val="00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1408C" w14:textId="5C29D20D" w:rsidR="008226EE" w:rsidRDefault="008226EE">
    <w:pPr>
      <w:pStyle w:val="Header"/>
    </w:pPr>
    <w:r>
      <w:rPr>
        <w:noProof/>
      </w:rPr>
      <mc:AlternateContent>
        <mc:Choice Requires="wps">
          <w:drawing>
            <wp:anchor distT="0" distB="0" distL="0" distR="0" simplePos="0" relativeHeight="251658242" behindDoc="0" locked="0" layoutInCell="1" allowOverlap="1" wp14:anchorId="4B6C2E63" wp14:editId="62D557A9">
              <wp:simplePos x="1143000" y="457200"/>
              <wp:positionH relativeFrom="page">
                <wp:align>center</wp:align>
              </wp:positionH>
              <wp:positionV relativeFrom="page">
                <wp:align>top</wp:align>
              </wp:positionV>
              <wp:extent cx="643255" cy="440055"/>
              <wp:effectExtent l="0" t="0" r="4445" b="17145"/>
              <wp:wrapNone/>
              <wp:docPr id="46385507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40055"/>
                      </a:xfrm>
                      <a:prstGeom prst="rect">
                        <a:avLst/>
                      </a:prstGeom>
                      <a:noFill/>
                      <a:ln>
                        <a:noFill/>
                      </a:ln>
                    </wps:spPr>
                    <wps:txbx>
                      <w:txbxContent>
                        <w:p w14:paraId="3265CCE5" w14:textId="067231C1" w:rsidR="008226EE" w:rsidRPr="008226EE" w:rsidRDefault="008226EE" w:rsidP="008226EE">
                          <w:pPr>
                            <w:spacing w:after="0"/>
                            <w:rPr>
                              <w:rFonts w:ascii="Calibri" w:eastAsia="Calibri" w:hAnsi="Calibri" w:cs="Calibri"/>
                              <w:noProof/>
                              <w:color w:val="000000"/>
                              <w:sz w:val="28"/>
                              <w:szCs w:val="28"/>
                            </w:rPr>
                          </w:pPr>
                          <w:r w:rsidRPr="008226EE">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6C2E63" id="_x0000_t202" coordsize="21600,21600" o:spt="202" path="m,l,21600r21600,l21600,xe">
              <v:stroke joinstyle="miter"/>
              <v:path gradientshapeok="t" o:connecttype="rect"/>
            </v:shapetype>
            <v:shape id="Text Box 3" o:spid="_x0000_s1027" type="#_x0000_t202" alt="OFFICIAL" style="position:absolute;margin-left:0;margin-top:0;width:50.65pt;height:34.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" filled="f" stroked="f">
              <v:textbox style="mso-fit-shape-to-text:t" inset="0,15pt,0,0">
                <w:txbxContent>
                  <w:p w14:paraId="3265CCE5" w14:textId="067231C1" w:rsidR="008226EE" w:rsidRPr="008226EE" w:rsidRDefault="008226EE" w:rsidP="008226EE">
                    <w:pPr>
                      <w:spacing w:after="0"/>
                      <w:rPr>
                        <w:rFonts w:ascii="Calibri" w:eastAsia="Calibri" w:hAnsi="Calibri" w:cs="Calibri"/>
                        <w:noProof/>
                        <w:color w:val="000000"/>
                        <w:sz w:val="28"/>
                        <w:szCs w:val="28"/>
                      </w:rPr>
                    </w:pPr>
                    <w:r w:rsidRPr="008226EE">
                      <w:rPr>
                        <w:rFonts w:ascii="Calibri" w:eastAsia="Calibri" w:hAnsi="Calibri" w:cs="Calibri"/>
                        <w:noProof/>
                        <w:color w:val="000000"/>
                        <w:sz w:val="28"/>
                        <w:szCs w:val="28"/>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6955A" w14:textId="2E42E578" w:rsidR="008226EE" w:rsidRDefault="008226EE">
    <w:pPr>
      <w:pStyle w:val="Header"/>
    </w:pPr>
    <w:r>
      <w:rPr>
        <w:noProof/>
      </w:rPr>
      <mc:AlternateContent>
        <mc:Choice Requires="wps">
          <w:drawing>
            <wp:anchor distT="0" distB="0" distL="0" distR="0" simplePos="0" relativeHeight="251658240" behindDoc="0" locked="0" layoutInCell="1" allowOverlap="1" wp14:anchorId="5769F87F" wp14:editId="533AE321">
              <wp:simplePos x="635" y="635"/>
              <wp:positionH relativeFrom="page">
                <wp:align>center</wp:align>
              </wp:positionH>
              <wp:positionV relativeFrom="page">
                <wp:align>top</wp:align>
              </wp:positionV>
              <wp:extent cx="643255" cy="440055"/>
              <wp:effectExtent l="0" t="0" r="4445" b="17145"/>
              <wp:wrapNone/>
              <wp:docPr id="64073462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40055"/>
                      </a:xfrm>
                      <a:prstGeom prst="rect">
                        <a:avLst/>
                      </a:prstGeom>
                      <a:noFill/>
                      <a:ln>
                        <a:noFill/>
                      </a:ln>
                    </wps:spPr>
                    <wps:txbx>
                      <w:txbxContent>
                        <w:p w14:paraId="7C50CE0D" w14:textId="42FDBDB0" w:rsidR="008226EE" w:rsidRPr="008226EE" w:rsidRDefault="008226EE" w:rsidP="008226EE">
                          <w:pPr>
                            <w:spacing w:after="0"/>
                            <w:rPr>
                              <w:rFonts w:ascii="Calibri" w:eastAsia="Calibri" w:hAnsi="Calibri" w:cs="Calibri"/>
                              <w:noProof/>
                              <w:color w:val="000000"/>
                              <w:sz w:val="28"/>
                              <w:szCs w:val="28"/>
                            </w:rPr>
                          </w:pPr>
                          <w:r w:rsidRPr="008226EE">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69F87F" id="_x0000_t202" coordsize="21600,21600" o:spt="202" path="m,l,21600r21600,l21600,xe">
              <v:stroke joinstyle="miter"/>
              <v:path gradientshapeok="t" o:connecttype="rect"/>
            </v:shapetype>
            <v:shape id="Text Box 1" o:spid="_x0000_s1028" type="#_x0000_t202" alt="OFFICIAL" style="position:absolute;margin-left:0;margin-top:0;width:50.65pt;height:34.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" filled="f" stroked="f">
              <v:textbox style="mso-fit-shape-to-text:t" inset="0,15pt,0,0">
                <w:txbxContent>
                  <w:p w14:paraId="7C50CE0D" w14:textId="42FDBDB0" w:rsidR="008226EE" w:rsidRPr="008226EE" w:rsidRDefault="008226EE" w:rsidP="008226EE">
                    <w:pPr>
                      <w:spacing w:after="0"/>
                      <w:rPr>
                        <w:rFonts w:ascii="Calibri" w:eastAsia="Calibri" w:hAnsi="Calibri" w:cs="Calibri"/>
                        <w:noProof/>
                        <w:color w:val="000000"/>
                        <w:sz w:val="28"/>
                        <w:szCs w:val="28"/>
                      </w:rPr>
                    </w:pPr>
                    <w:r w:rsidRPr="008226EE">
                      <w:rPr>
                        <w:rFonts w:ascii="Calibri" w:eastAsia="Calibri" w:hAnsi="Calibri" w:cs="Calibri"/>
                        <w:noProof/>
                        <w:color w:val="00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440"/>
        </w:tabs>
        <w:ind w:left="144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09C3F4A"/>
    <w:multiLevelType w:val="multilevel"/>
    <w:tmpl w:val="814CB6A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3FF43F61"/>
    <w:multiLevelType w:val="hybridMultilevel"/>
    <w:tmpl w:val="6B6C9F8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234701682">
    <w:abstractNumId w:val="8"/>
  </w:num>
  <w:num w:numId="2" w16cid:durableId="576011706">
    <w:abstractNumId w:val="6"/>
  </w:num>
  <w:num w:numId="3" w16cid:durableId="1240867103">
    <w:abstractNumId w:val="5"/>
  </w:num>
  <w:num w:numId="4" w16cid:durableId="1490318796">
    <w:abstractNumId w:val="4"/>
  </w:num>
  <w:num w:numId="5" w16cid:durableId="1323045791">
    <w:abstractNumId w:val="7"/>
  </w:num>
  <w:num w:numId="6" w16cid:durableId="1001349842">
    <w:abstractNumId w:val="3"/>
  </w:num>
  <w:num w:numId="7" w16cid:durableId="15890709">
    <w:abstractNumId w:val="2"/>
  </w:num>
  <w:num w:numId="8" w16cid:durableId="1713071566">
    <w:abstractNumId w:val="1"/>
  </w:num>
  <w:num w:numId="9" w16cid:durableId="306859421">
    <w:abstractNumId w:val="0"/>
  </w:num>
  <w:num w:numId="10" w16cid:durableId="535506881">
    <w:abstractNumId w:val="10"/>
  </w:num>
  <w:num w:numId="11" w16cid:durableId="2618863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2D15"/>
    <w:rsid w:val="000878F6"/>
    <w:rsid w:val="000B4A24"/>
    <w:rsid w:val="00122C91"/>
    <w:rsid w:val="0015074B"/>
    <w:rsid w:val="00155E98"/>
    <w:rsid w:val="001669DC"/>
    <w:rsid w:val="00183BD4"/>
    <w:rsid w:val="002873AA"/>
    <w:rsid w:val="0029639D"/>
    <w:rsid w:val="003147C4"/>
    <w:rsid w:val="00326F90"/>
    <w:rsid w:val="003415CF"/>
    <w:rsid w:val="00350683"/>
    <w:rsid w:val="003608C7"/>
    <w:rsid w:val="00424DC4"/>
    <w:rsid w:val="00427AE0"/>
    <w:rsid w:val="0049406B"/>
    <w:rsid w:val="00503824"/>
    <w:rsid w:val="006028C7"/>
    <w:rsid w:val="00652EED"/>
    <w:rsid w:val="006A4098"/>
    <w:rsid w:val="00711B31"/>
    <w:rsid w:val="007359B4"/>
    <w:rsid w:val="008226EE"/>
    <w:rsid w:val="00826F85"/>
    <w:rsid w:val="008B32D8"/>
    <w:rsid w:val="00AA1D8D"/>
    <w:rsid w:val="00AC24DF"/>
    <w:rsid w:val="00AD1B56"/>
    <w:rsid w:val="00B061EC"/>
    <w:rsid w:val="00B3760A"/>
    <w:rsid w:val="00B47730"/>
    <w:rsid w:val="00B65B45"/>
    <w:rsid w:val="00C61BF9"/>
    <w:rsid w:val="00CB0664"/>
    <w:rsid w:val="00D22254"/>
    <w:rsid w:val="00DA4912"/>
    <w:rsid w:val="00DC602A"/>
    <w:rsid w:val="00F81B0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04E5E1"/>
  <w14:defaultImageDpi w14:val="300"/>
  <w15:docId w15:val="{19512B12-19A4-4E14-93F7-5550A02D9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711B31"/>
    <w:rPr>
      <w:color w:val="0000FF" w:themeColor="hyperlink"/>
      <w:u w:val="single"/>
    </w:rPr>
  </w:style>
  <w:style w:type="character" w:styleId="UnresolvedMention">
    <w:name w:val="Unresolved Mention"/>
    <w:basedOn w:val="DefaultParagraphFont"/>
    <w:uiPriority w:val="99"/>
    <w:semiHidden/>
    <w:unhideWhenUsed/>
    <w:rsid w:val="00711B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371370">
      <w:bodyDiv w:val="1"/>
      <w:marLeft w:val="0"/>
      <w:marRight w:val="0"/>
      <w:marTop w:val="0"/>
      <w:marBottom w:val="0"/>
      <w:divBdr>
        <w:top w:val="none" w:sz="0" w:space="0" w:color="auto"/>
        <w:left w:val="none" w:sz="0" w:space="0" w:color="auto"/>
        <w:bottom w:val="none" w:sz="0" w:space="0" w:color="auto"/>
        <w:right w:val="none" w:sz="0" w:space="0" w:color="auto"/>
      </w:divBdr>
    </w:div>
    <w:div w:id="1207834967">
      <w:bodyDiv w:val="1"/>
      <w:marLeft w:val="0"/>
      <w:marRight w:val="0"/>
      <w:marTop w:val="0"/>
      <w:marBottom w:val="0"/>
      <w:divBdr>
        <w:top w:val="none" w:sz="0" w:space="0" w:color="auto"/>
        <w:left w:val="none" w:sz="0" w:space="0" w:color="auto"/>
        <w:bottom w:val="none" w:sz="0" w:space="0" w:color="auto"/>
        <w:right w:val="none" w:sz="0" w:space="0" w:color="auto"/>
      </w:divBdr>
    </w:div>
    <w:div w:id="1610431701">
      <w:bodyDiv w:val="1"/>
      <w:marLeft w:val="0"/>
      <w:marRight w:val="0"/>
      <w:marTop w:val="0"/>
      <w:marBottom w:val="0"/>
      <w:divBdr>
        <w:top w:val="none" w:sz="0" w:space="0" w:color="auto"/>
        <w:left w:val="none" w:sz="0" w:space="0" w:color="auto"/>
        <w:bottom w:val="none" w:sz="0" w:space="0" w:color="auto"/>
        <w:right w:val="none" w:sz="0" w:space="0" w:color="auto"/>
      </w:divBdr>
    </w:div>
    <w:div w:id="1799955630">
      <w:bodyDiv w:val="1"/>
      <w:marLeft w:val="0"/>
      <w:marRight w:val="0"/>
      <w:marTop w:val="0"/>
      <w:marBottom w:val="0"/>
      <w:divBdr>
        <w:top w:val="none" w:sz="0" w:space="0" w:color="auto"/>
        <w:left w:val="none" w:sz="0" w:space="0" w:color="auto"/>
        <w:bottom w:val="none" w:sz="0" w:space="0" w:color="auto"/>
        <w:right w:val="none" w:sz="0" w:space="0" w:color="auto"/>
      </w:divBdr>
    </w:div>
    <w:div w:id="1947541495">
      <w:bodyDiv w:val="1"/>
      <w:marLeft w:val="0"/>
      <w:marRight w:val="0"/>
      <w:marTop w:val="0"/>
      <w:marBottom w:val="0"/>
      <w:divBdr>
        <w:top w:val="none" w:sz="0" w:space="0" w:color="auto"/>
        <w:left w:val="none" w:sz="0" w:space="0" w:color="auto"/>
        <w:bottom w:val="none" w:sz="0" w:space="0" w:color="auto"/>
        <w:right w:val="none" w:sz="0" w:space="0" w:color="auto"/>
      </w:divBdr>
    </w:div>
    <w:div w:id="2140032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gaa.org.au/resource-library"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cdn.prod.website-files.com/671b438e661a9efff71e25c2/67ce24dcdda91a5db1ecfd49_From%20Deficit%20to%20EquityNGAA%20Policy%20Position%20Paper%202025.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abs.gov.au/statistics/people/population/regional-population/2023-2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dn.prod.website-files.com/671b438e661a9efff71e25c2/67ce24dcdda91a5db1ecfd49_From%20Deficit%20to%20EquityNGAA%20Policy%20Position%20Paper%202025.pdf" TargetMode="External"/><Relationship Id="rId5" Type="http://schemas.openxmlformats.org/officeDocument/2006/relationships/numbering" Target="numbering.xml"/><Relationship Id="rId15" Type="http://schemas.openxmlformats.org/officeDocument/2006/relationships/hyperlink" Target="https://www.abs.gov.au/statistics/people/population/regional-population/2023-24"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gaa.org.au/resource-libr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41874A2AA509942AD7E479E933442F1" ma:contentTypeVersion="13" ma:contentTypeDescription="Create a new document." ma:contentTypeScope="" ma:versionID="424248a1878cc42f5919d22607dd139f">
  <xsd:schema xmlns:xsd="http://www.w3.org/2001/XMLSchema" xmlns:xs="http://www.w3.org/2001/XMLSchema" xmlns:p="http://schemas.microsoft.com/office/2006/metadata/properties" xmlns:ns2="e55bbbc2-ec06-4f1d-b31b-f398aae15a24" xmlns:ns3="f9b6520b-cb82-4a16-858c-778393f01ebc" targetNamespace="http://schemas.microsoft.com/office/2006/metadata/properties" ma:root="true" ma:fieldsID="b53e72c232edf720e80fa9e673c8f053" ns2:_="" ns3:_="">
    <xsd:import namespace="e55bbbc2-ec06-4f1d-b31b-f398aae15a24"/>
    <xsd:import namespace="f9b6520b-cb82-4a16-858c-778393f01e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5bbbc2-ec06-4f1d-b31b-f398aae15a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5df617b-1a86-4961-9996-0dc357cea68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b6520b-cb82-4a16-858c-778393f01eb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bd8cf2d-d29e-459d-a028-3f50dc9429d8}" ma:internalName="TaxCatchAll" ma:showField="CatchAllData" ma:web="f9b6520b-cb82-4a16-858c-778393f01e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9b6520b-cb82-4a16-858c-778393f01ebc" xsi:nil="true"/>
    <lcf76f155ced4ddcb4097134ff3c332f xmlns="e55bbbc2-ec06-4f1d-b31b-f398aae15a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1CC1DA03-76E5-49E8-9C1A-B2EC6BA2AC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5bbbc2-ec06-4f1d-b31b-f398aae15a24"/>
    <ds:schemaRef ds:uri="f9b6520b-cb82-4a16-858c-778393f01e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429565-B9B3-4A5F-8DC7-262226A7390C}">
  <ds:schemaRefs>
    <ds:schemaRef ds:uri="http://schemas.microsoft.com/sharepoint/v3/contenttype/forms"/>
  </ds:schemaRefs>
</ds:datastoreItem>
</file>

<file path=customXml/itemProps4.xml><?xml version="1.0" encoding="utf-8"?>
<ds:datastoreItem xmlns:ds="http://schemas.openxmlformats.org/officeDocument/2006/customXml" ds:itemID="{5BF8F247-9367-4E15-B3BF-C811FEB58E62}">
  <ds:schemaRefs>
    <ds:schemaRef ds:uri="http://schemas.microsoft.com/office/2006/metadata/properties"/>
    <ds:schemaRef ds:uri="http://schemas.microsoft.com/office/infopath/2007/PartnerControls"/>
    <ds:schemaRef ds:uri="f9b6520b-cb82-4a16-858c-778393f01ebc"/>
    <ds:schemaRef ds:uri="e55bbbc2-ec06-4f1d-b31b-f398aae15a24"/>
  </ds:schemaRefs>
</ds:datastoreItem>
</file>

<file path=docMetadata/LabelInfo.xml><?xml version="1.0" encoding="utf-8"?>
<clbl:labelList xmlns:clbl="http://schemas.microsoft.com/office/2020/mipLabelMetadata">
  <clbl:label id="{5f2925ee-1b47-4623-a5a9-9f2e37aacaca}" enabled="1" method="Privileged" siteId="{44a02942-4e5b-420a-8bc4-f60b91281f2e}" removed="0"/>
</clbl:labelList>
</file>

<file path=docProps/app.xml><?xml version="1.0" encoding="utf-8"?>
<Properties xmlns="http://schemas.openxmlformats.org/officeDocument/2006/extended-properties" xmlns:vt="http://schemas.openxmlformats.org/officeDocument/2006/docPropsVTypes">
  <Template>Normal.dotm</Template>
  <TotalTime>22</TotalTime>
  <Pages>5</Pages>
  <Words>1287</Words>
  <Characters>7336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8606</CharactersWithSpaces>
  <SharedDoc>false</SharedDoc>
  <HyperlinkBase/>
  <HLinks>
    <vt:vector size="36" baseType="variant">
      <vt:variant>
        <vt:i4>3932195</vt:i4>
      </vt:variant>
      <vt:variant>
        <vt:i4>15</vt:i4>
      </vt:variant>
      <vt:variant>
        <vt:i4>0</vt:i4>
      </vt:variant>
      <vt:variant>
        <vt:i4>5</vt:i4>
      </vt:variant>
      <vt:variant>
        <vt:lpwstr>https://www.abs.gov.au/statistics/people/population/regional-population/2023-24</vt:lpwstr>
      </vt:variant>
      <vt:variant>
        <vt:lpwstr/>
      </vt:variant>
      <vt:variant>
        <vt:i4>3932195</vt:i4>
      </vt:variant>
      <vt:variant>
        <vt:i4>12</vt:i4>
      </vt:variant>
      <vt:variant>
        <vt:i4>0</vt:i4>
      </vt:variant>
      <vt:variant>
        <vt:i4>5</vt:i4>
      </vt:variant>
      <vt:variant>
        <vt:lpwstr>https://www.abs.gov.au/statistics/people/population/regional-population/2023-24</vt:lpwstr>
      </vt:variant>
      <vt:variant>
        <vt:lpwstr/>
      </vt:variant>
      <vt:variant>
        <vt:i4>196635</vt:i4>
      </vt:variant>
      <vt:variant>
        <vt:i4>9</vt:i4>
      </vt:variant>
      <vt:variant>
        <vt:i4>0</vt:i4>
      </vt:variant>
      <vt:variant>
        <vt:i4>5</vt:i4>
      </vt:variant>
      <vt:variant>
        <vt:lpwstr>https://www.ngaa.org.au/resource-library</vt:lpwstr>
      </vt:variant>
      <vt:variant>
        <vt:lpwstr/>
      </vt:variant>
      <vt:variant>
        <vt:i4>196635</vt:i4>
      </vt:variant>
      <vt:variant>
        <vt:i4>6</vt:i4>
      </vt:variant>
      <vt:variant>
        <vt:i4>0</vt:i4>
      </vt:variant>
      <vt:variant>
        <vt:i4>5</vt:i4>
      </vt:variant>
      <vt:variant>
        <vt:lpwstr>https://www.ngaa.org.au/resource-library</vt:lpwstr>
      </vt:variant>
      <vt:variant>
        <vt:lpwstr/>
      </vt:variant>
      <vt:variant>
        <vt:i4>3342340</vt:i4>
      </vt:variant>
      <vt:variant>
        <vt:i4>3</vt:i4>
      </vt:variant>
      <vt:variant>
        <vt:i4>0</vt:i4>
      </vt:variant>
      <vt:variant>
        <vt:i4>5</vt:i4>
      </vt:variant>
      <vt:variant>
        <vt:lpwstr>https://cdn.prod.website-files.com/671b438e661a9efff71e25c2/67ce24dcdda91a5db1ecfd49_From Deficit to EquityNGAA Policy Position Paper 2025.pdf</vt:lpwstr>
      </vt:variant>
      <vt:variant>
        <vt:lpwstr/>
      </vt:variant>
      <vt:variant>
        <vt:i4>3342340</vt:i4>
      </vt:variant>
      <vt:variant>
        <vt:i4>0</vt:i4>
      </vt:variant>
      <vt:variant>
        <vt:i4>0</vt:i4>
      </vt:variant>
      <vt:variant>
        <vt:i4>5</vt:i4>
      </vt:variant>
      <vt:variant>
        <vt:lpwstr>https://cdn.prod.website-files.com/671b438e661a9efff71e25c2/67ce24dcdda91a5db1ecfd49_From Deficit to EquityNGAA Policy Position Paper 2025.pdf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Michelle Jack</cp:lastModifiedBy>
  <cp:revision>15</cp:revision>
  <dcterms:created xsi:type="dcterms:W3CDTF">2025-03-28T18:45:00Z</dcterms:created>
  <dcterms:modified xsi:type="dcterms:W3CDTF">2025-03-28T01:59:00Z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2630d59c,6f9ef689,1ba5dde2</vt:lpwstr>
  </property>
  <property fmtid="{D5CDD505-2E9C-101B-9397-08002B2CF9AE}" pid="3" name="ClassificationContentMarkingHeaderFontProps">
    <vt:lpwstr>#000000,14,Calibri</vt:lpwstr>
  </property>
  <property fmtid="{D5CDD505-2E9C-101B-9397-08002B2CF9AE}" pid="4" name="ClassificationContentMarkingHeaderText">
    <vt:lpwstr>OFFICIAL</vt:lpwstr>
  </property>
  <property fmtid="{D5CDD505-2E9C-101B-9397-08002B2CF9AE}" pid="5" name="ContentTypeId">
    <vt:lpwstr>0x010100841874A2AA509942AD7E479E933442F1</vt:lpwstr>
  </property>
  <property fmtid="{D5CDD505-2E9C-101B-9397-08002B2CF9AE}" pid="6" name="MediaServiceImageTags">
    <vt:lpwstr/>
  </property>
</Properties>
</file>