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D689" w14:textId="32D67656" w:rsidR="002F3F93" w:rsidRDefault="00757A0F">
      <w:r>
        <w:rPr>
          <w:noProof/>
          <w14:ligatures w14:val="standardContextual"/>
        </w:rPr>
        <w:drawing>
          <wp:anchor distT="0" distB="0" distL="114300" distR="114300" simplePos="0" relativeHeight="251658243" behindDoc="1" locked="0" layoutInCell="1" allowOverlap="1" wp14:anchorId="038E9002" wp14:editId="0E49F81B">
            <wp:simplePos x="0" y="0"/>
            <wp:positionH relativeFrom="column">
              <wp:posOffset>-955040</wp:posOffset>
            </wp:positionH>
            <wp:positionV relativeFrom="paragraph">
              <wp:posOffset>-963245</wp:posOffset>
            </wp:positionV>
            <wp:extent cx="7656394" cy="10828886"/>
            <wp:effectExtent l="0" t="0" r="1905" b="0"/>
            <wp:wrapNone/>
            <wp:docPr id="84657732" name="Picture 1" descr="A purple background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7732" name="Picture 1" descr="A purple background with a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6394" cy="10828886"/>
                    </a:xfrm>
                    <a:prstGeom prst="rect">
                      <a:avLst/>
                    </a:prstGeom>
                  </pic:spPr>
                </pic:pic>
              </a:graphicData>
            </a:graphic>
            <wp14:sizeRelH relativeFrom="page">
              <wp14:pctWidth>0</wp14:pctWidth>
            </wp14:sizeRelH>
            <wp14:sizeRelV relativeFrom="page">
              <wp14:pctHeight>0</wp14:pctHeight>
            </wp14:sizeRelV>
          </wp:anchor>
        </w:drawing>
      </w:r>
    </w:p>
    <w:sdt>
      <w:sdtPr>
        <w:id w:val="1241063452"/>
        <w:docPartObj>
          <w:docPartGallery w:val="Cover Pages"/>
          <w:docPartUnique/>
        </w:docPartObj>
      </w:sdtPr>
      <w:sdtEndPr/>
      <w:sdtContent>
        <w:p w14:paraId="0852B652" w14:textId="496495DF" w:rsidR="006C5971" w:rsidRDefault="006C5971"/>
        <w:p w14:paraId="3847F107" w14:textId="7E1337B3" w:rsidR="00A00E31" w:rsidRDefault="00EF6EB2" w:rsidP="00A00E31">
          <w:r>
            <w:rPr>
              <w:noProof/>
            </w:rPr>
            <mc:AlternateContent>
              <mc:Choice Requires="wps">
                <w:drawing>
                  <wp:anchor distT="45720" distB="45720" distL="114300" distR="114300" simplePos="0" relativeHeight="251658240" behindDoc="0" locked="0" layoutInCell="1" allowOverlap="1" wp14:anchorId="25A4D07C" wp14:editId="1C9548B6">
                    <wp:simplePos x="0" y="0"/>
                    <wp:positionH relativeFrom="margin">
                      <wp:posOffset>-12700</wp:posOffset>
                    </wp:positionH>
                    <wp:positionV relativeFrom="paragraph">
                      <wp:posOffset>1867535</wp:posOffset>
                    </wp:positionV>
                    <wp:extent cx="5766435" cy="474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4749800"/>
                            </a:xfrm>
                            <a:prstGeom prst="rect">
                              <a:avLst/>
                            </a:prstGeom>
                            <a:noFill/>
                            <a:ln w="9525">
                              <a:noFill/>
                              <a:miter lim="800000"/>
                              <a:headEnd/>
                              <a:tailEnd/>
                            </a:ln>
                          </wps:spPr>
                          <wps:txbx>
                            <w:txbxContent>
                              <w:p w14:paraId="1379EFD5" w14:textId="16367E82" w:rsidR="00ED07C2" w:rsidRDefault="00E972EF" w:rsidP="008A359D">
                                <w:pPr>
                                  <w:pStyle w:val="Title"/>
                                  <w:rPr>
                                    <w:color w:val="FFFFFF" w:themeColor="background1"/>
                                  </w:rPr>
                                </w:pPr>
                                <w:r w:rsidRPr="00E972EF">
                                  <w:rPr>
                                    <w:color w:val="FFFFFF" w:themeColor="background1"/>
                                  </w:rPr>
                                  <w:t xml:space="preserve">SUBMISSION TO THE </w:t>
                                </w:r>
                                <w:bookmarkStart w:id="0" w:name="_Toc167973852"/>
                                <w:r w:rsidR="004B63EA">
                                  <w:rPr>
                                    <w:color w:val="FFFFFF" w:themeColor="background1"/>
                                  </w:rPr>
                                  <w:t>LEGISLATIVE ASSEMBLY FOR THE AUSTRALIAN CAPITAL TERRITORY INQUIRY INTO UNPAID WORK</w:t>
                                </w:r>
                              </w:p>
                              <w:p w14:paraId="42241E8E" w14:textId="64A1F1C4" w:rsidR="00EF6EB2" w:rsidRPr="00EF6EB2" w:rsidRDefault="00EF6EB2" w:rsidP="00EF6EB2">
                                <w:pPr>
                                  <w:pStyle w:val="Title"/>
                                  <w:rPr>
                                    <w:rFonts w:ascii="Futura-Medium" w:hAnsi="Futura-Medium"/>
                                    <w:color w:val="FFFFFF" w:themeColor="background1"/>
                                    <w:sz w:val="32"/>
                                    <w:szCs w:val="36"/>
                                  </w:rPr>
                                </w:pPr>
                                <w:bookmarkStart w:id="1" w:name="_Toc165967665"/>
                                <w:bookmarkStart w:id="2" w:name="_Toc166172078"/>
                                <w:r w:rsidRPr="00EF6EB2">
                                  <w:rPr>
                                    <w:rFonts w:ascii="Futura-Medium" w:hAnsi="Futura-Medium"/>
                                    <w:color w:val="FFFFFF" w:themeColor="background1"/>
                                    <w:sz w:val="32"/>
                                    <w:szCs w:val="36"/>
                                  </w:rPr>
                                  <w:t>in collaboration with the Australian National University Crawford School of Public Policy and Centre for Indigenous  Policy Research and the University of Queensland</w:t>
                                </w:r>
                                <w:bookmarkEnd w:id="1"/>
                                <w:bookmarkEnd w:id="2"/>
                              </w:p>
                              <w:p w14:paraId="374697AE" w14:textId="77777777" w:rsidR="00EF6EB2" w:rsidRDefault="00EF6EB2" w:rsidP="008A359D">
                                <w:pPr>
                                  <w:pStyle w:val="Title"/>
                                  <w:rPr>
                                    <w:rFonts w:ascii="Futura-Medium" w:hAnsi="Futura-Medium"/>
                                    <w:color w:val="FFFFFF" w:themeColor="background1"/>
                                    <w:sz w:val="32"/>
                                    <w:szCs w:val="36"/>
                                  </w:rPr>
                                </w:pPr>
                              </w:p>
                              <w:p w14:paraId="35242A0A" w14:textId="2EBA2C6A" w:rsidR="00E972EF" w:rsidRPr="000A6E0F" w:rsidRDefault="00E972EF" w:rsidP="008A359D">
                                <w:pPr>
                                  <w:pStyle w:val="Title"/>
                                  <w:rPr>
                                    <w:rFonts w:ascii="Futura-Medium" w:hAnsi="Futura-Medium"/>
                                    <w:color w:val="FFFFFF" w:themeColor="background1"/>
                                    <w:sz w:val="32"/>
                                    <w:szCs w:val="36"/>
                                  </w:rPr>
                                </w:pPr>
                                <w:r w:rsidRPr="000A6E0F">
                                  <w:rPr>
                                    <w:rFonts w:ascii="Futura-Medium" w:hAnsi="Futura-Medium"/>
                                    <w:color w:val="FFFFFF" w:themeColor="background1"/>
                                    <w:sz w:val="32"/>
                                    <w:szCs w:val="36"/>
                                  </w:rPr>
                                  <w:t>M</w:t>
                                </w:r>
                                <w:r w:rsidR="004B63EA">
                                  <w:rPr>
                                    <w:rFonts w:ascii="Futura-Medium" w:hAnsi="Futura-Medium"/>
                                    <w:color w:val="FFFFFF" w:themeColor="background1"/>
                                    <w:sz w:val="32"/>
                                    <w:szCs w:val="36"/>
                                  </w:rPr>
                                  <w:t>AY</w:t>
                                </w:r>
                                <w:r w:rsidRPr="000A6E0F">
                                  <w:rPr>
                                    <w:rFonts w:ascii="Futura-Medium" w:hAnsi="Futura-Medium"/>
                                    <w:color w:val="FFFFFF" w:themeColor="background1"/>
                                    <w:sz w:val="32"/>
                                    <w:szCs w:val="36"/>
                                  </w:rPr>
                                  <w:t xml:space="preserve"> 2024</w:t>
                                </w:r>
                                <w:bookmarkEnd w:id="0"/>
                              </w:p>
                              <w:p w14:paraId="0A110507" w14:textId="77777777" w:rsidR="00687CDA" w:rsidRDefault="00687CDA" w:rsidP="00041058">
                                <w:pPr>
                                  <w:rPr>
                                    <w:color w:val="FFFFFF" w:themeColor="background1"/>
                                    <w:sz w:val="24"/>
                                    <w:szCs w:val="28"/>
                                  </w:rPr>
                                </w:pPr>
                              </w:p>
                              <w:p w14:paraId="57910CCE" w14:textId="380E5321" w:rsidR="00687CDA" w:rsidRPr="0016019F" w:rsidRDefault="00AC16AD" w:rsidP="00687CDA">
                                <w:pPr>
                                  <w:rPr>
                                    <w:rFonts w:ascii="Adelle Rg" w:hAnsi="Adelle Rg"/>
                                    <w:color w:val="FFFFFF" w:themeColor="background1"/>
                                    <w:sz w:val="32"/>
                                    <w:szCs w:val="36"/>
                                  </w:rPr>
                                </w:pPr>
                                <w:hyperlink r:id="rId12" w:history="1">
                                  <w:r w:rsidR="00687CDA" w:rsidRPr="0016019F">
                                    <w:rPr>
                                      <w:rStyle w:val="Hyperlink"/>
                                      <w:rFonts w:ascii="Adelle Rg" w:hAnsi="Adelle Rg"/>
                                      <w:color w:val="FFFFFF" w:themeColor="background1"/>
                                      <w:sz w:val="32"/>
                                      <w:szCs w:val="36"/>
                                    </w:rPr>
                                    <w:t>Submission Terms of Reference</w:t>
                                  </w:r>
                                </w:hyperlink>
                              </w:p>
                              <w:p w14:paraId="2E0A2DF0" w14:textId="77777777" w:rsidR="00687CDA" w:rsidRPr="00041058" w:rsidRDefault="00687CDA" w:rsidP="00041058">
                                <w:pPr>
                                  <w:rPr>
                                    <w:color w:val="FFFFFF" w:themeColor="background1"/>
                                    <w:sz w:val="24"/>
                                    <w:szCs w:val="28"/>
                                  </w:rPr>
                                </w:pPr>
                              </w:p>
                              <w:p w14:paraId="36630DF4" w14:textId="77777777" w:rsidR="00687CDA" w:rsidRDefault="00687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4D07C" id="_x0000_t202" coordsize="21600,21600" o:spt="202" path="m,l,21600r21600,l21600,xe">
                    <v:stroke joinstyle="miter"/>
                    <v:path gradientshapeok="t" o:connecttype="rect"/>
                  </v:shapetype>
                  <v:shape id="Text Box 2" o:spid="_x0000_s1026" type="#_x0000_t202" style="position:absolute;margin-left:-1pt;margin-top:147.05pt;width:454.05pt;height:3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" filled="f" stroked="f">
                    <v:textbox>
                      <w:txbxContent>
                        <w:p w14:paraId="1379EFD5" w14:textId="16367E82" w:rsidR="00ED07C2" w:rsidRDefault="00E972EF" w:rsidP="008A359D">
                          <w:pPr>
                            <w:pStyle w:val="Title"/>
                            <w:rPr>
                              <w:color w:val="FFFFFF" w:themeColor="background1"/>
                            </w:rPr>
                          </w:pPr>
                          <w:r w:rsidRPr="00E972EF">
                            <w:rPr>
                              <w:color w:val="FFFFFF" w:themeColor="background1"/>
                            </w:rPr>
                            <w:t xml:space="preserve">SUBMISSION TO THE </w:t>
                          </w:r>
                          <w:bookmarkStart w:id="3" w:name="_Toc167973852"/>
                          <w:r w:rsidR="004B63EA">
                            <w:rPr>
                              <w:color w:val="FFFFFF" w:themeColor="background1"/>
                            </w:rPr>
                            <w:t>LEGISLATIVE ASSEMBLY FOR THE AUSTRALIAN CAPITAL TERRITORY INQUIRY INTO UNPAID WORK</w:t>
                          </w:r>
                        </w:p>
                        <w:p w14:paraId="42241E8E" w14:textId="64A1F1C4" w:rsidR="00EF6EB2" w:rsidRPr="00EF6EB2" w:rsidRDefault="00EF6EB2" w:rsidP="00EF6EB2">
                          <w:pPr>
                            <w:pStyle w:val="Title"/>
                            <w:rPr>
                              <w:rFonts w:ascii="Futura-Medium" w:hAnsi="Futura-Medium"/>
                              <w:color w:val="FFFFFF" w:themeColor="background1"/>
                              <w:sz w:val="32"/>
                              <w:szCs w:val="36"/>
                            </w:rPr>
                          </w:pPr>
                          <w:bookmarkStart w:id="4" w:name="_Toc165967665"/>
                          <w:bookmarkStart w:id="5" w:name="_Toc166172078"/>
                          <w:r w:rsidRPr="00EF6EB2">
                            <w:rPr>
                              <w:rFonts w:ascii="Futura-Medium" w:hAnsi="Futura-Medium"/>
                              <w:color w:val="FFFFFF" w:themeColor="background1"/>
                              <w:sz w:val="32"/>
                              <w:szCs w:val="36"/>
                            </w:rPr>
                            <w:t>in collaboration with the Australian National University Crawford School of Public Policy and Centre for Indigenous  Policy Research and the University of Queensland</w:t>
                          </w:r>
                          <w:bookmarkEnd w:id="4"/>
                          <w:bookmarkEnd w:id="5"/>
                        </w:p>
                        <w:p w14:paraId="374697AE" w14:textId="77777777" w:rsidR="00EF6EB2" w:rsidRDefault="00EF6EB2" w:rsidP="008A359D">
                          <w:pPr>
                            <w:pStyle w:val="Title"/>
                            <w:rPr>
                              <w:rFonts w:ascii="Futura-Medium" w:hAnsi="Futura-Medium"/>
                              <w:color w:val="FFFFFF" w:themeColor="background1"/>
                              <w:sz w:val="32"/>
                              <w:szCs w:val="36"/>
                            </w:rPr>
                          </w:pPr>
                        </w:p>
                        <w:p w14:paraId="35242A0A" w14:textId="2EBA2C6A" w:rsidR="00E972EF" w:rsidRPr="000A6E0F" w:rsidRDefault="00E972EF" w:rsidP="008A359D">
                          <w:pPr>
                            <w:pStyle w:val="Title"/>
                            <w:rPr>
                              <w:rFonts w:ascii="Futura-Medium" w:hAnsi="Futura-Medium"/>
                              <w:color w:val="FFFFFF" w:themeColor="background1"/>
                              <w:sz w:val="32"/>
                              <w:szCs w:val="36"/>
                            </w:rPr>
                          </w:pPr>
                          <w:r w:rsidRPr="000A6E0F">
                            <w:rPr>
                              <w:rFonts w:ascii="Futura-Medium" w:hAnsi="Futura-Medium"/>
                              <w:color w:val="FFFFFF" w:themeColor="background1"/>
                              <w:sz w:val="32"/>
                              <w:szCs w:val="36"/>
                            </w:rPr>
                            <w:t>M</w:t>
                          </w:r>
                          <w:r w:rsidR="004B63EA">
                            <w:rPr>
                              <w:rFonts w:ascii="Futura-Medium" w:hAnsi="Futura-Medium"/>
                              <w:color w:val="FFFFFF" w:themeColor="background1"/>
                              <w:sz w:val="32"/>
                              <w:szCs w:val="36"/>
                            </w:rPr>
                            <w:t>AY</w:t>
                          </w:r>
                          <w:r w:rsidRPr="000A6E0F">
                            <w:rPr>
                              <w:rFonts w:ascii="Futura-Medium" w:hAnsi="Futura-Medium"/>
                              <w:color w:val="FFFFFF" w:themeColor="background1"/>
                              <w:sz w:val="32"/>
                              <w:szCs w:val="36"/>
                            </w:rPr>
                            <w:t xml:space="preserve"> 2024</w:t>
                          </w:r>
                          <w:bookmarkEnd w:id="3"/>
                        </w:p>
                        <w:p w14:paraId="0A110507" w14:textId="77777777" w:rsidR="00687CDA" w:rsidRDefault="00687CDA" w:rsidP="00041058">
                          <w:pPr>
                            <w:rPr>
                              <w:color w:val="FFFFFF" w:themeColor="background1"/>
                              <w:sz w:val="24"/>
                              <w:szCs w:val="28"/>
                            </w:rPr>
                          </w:pPr>
                        </w:p>
                        <w:p w14:paraId="57910CCE" w14:textId="380E5321" w:rsidR="00687CDA" w:rsidRPr="0016019F" w:rsidRDefault="00AC16AD" w:rsidP="00687CDA">
                          <w:pPr>
                            <w:rPr>
                              <w:rFonts w:ascii="Adelle Rg" w:hAnsi="Adelle Rg"/>
                              <w:color w:val="FFFFFF" w:themeColor="background1"/>
                              <w:sz w:val="32"/>
                              <w:szCs w:val="36"/>
                            </w:rPr>
                          </w:pPr>
                          <w:hyperlink r:id="rId13" w:history="1">
                            <w:r w:rsidR="00687CDA" w:rsidRPr="0016019F">
                              <w:rPr>
                                <w:rStyle w:val="Hyperlink"/>
                                <w:rFonts w:ascii="Adelle Rg" w:hAnsi="Adelle Rg"/>
                                <w:color w:val="FFFFFF" w:themeColor="background1"/>
                                <w:sz w:val="32"/>
                                <w:szCs w:val="36"/>
                              </w:rPr>
                              <w:t>Submission Terms of Reference</w:t>
                            </w:r>
                          </w:hyperlink>
                        </w:p>
                        <w:p w14:paraId="2E0A2DF0" w14:textId="77777777" w:rsidR="00687CDA" w:rsidRPr="00041058" w:rsidRDefault="00687CDA" w:rsidP="00041058">
                          <w:pPr>
                            <w:rPr>
                              <w:color w:val="FFFFFF" w:themeColor="background1"/>
                              <w:sz w:val="24"/>
                              <w:szCs w:val="28"/>
                            </w:rPr>
                          </w:pPr>
                        </w:p>
                        <w:p w14:paraId="36630DF4" w14:textId="77777777" w:rsidR="00687CDA" w:rsidRDefault="00687CDA"/>
                      </w:txbxContent>
                    </v:textbox>
                    <w10:wrap type="square" anchorx="margin"/>
                  </v:shape>
                </w:pict>
              </mc:Fallback>
            </mc:AlternateContent>
          </w:r>
          <w:r>
            <w:rPr>
              <w:noProof/>
              <w:szCs w:val="20"/>
              <w14:ligatures w14:val="standardContextual"/>
            </w:rPr>
            <w:drawing>
              <wp:anchor distT="0" distB="0" distL="114300" distR="114300" simplePos="0" relativeHeight="251658245" behindDoc="0" locked="0" layoutInCell="1" allowOverlap="1" wp14:anchorId="224FD3A2" wp14:editId="32E11E75">
                <wp:simplePos x="0" y="0"/>
                <wp:positionH relativeFrom="margin">
                  <wp:posOffset>-555625</wp:posOffset>
                </wp:positionH>
                <wp:positionV relativeFrom="paragraph">
                  <wp:posOffset>142875</wp:posOffset>
                </wp:positionV>
                <wp:extent cx="6690360" cy="1916430"/>
                <wp:effectExtent l="0" t="0" r="0" b="0"/>
                <wp:wrapNone/>
                <wp:docPr id="607840562"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40562" name="Picture 3" descr="A black background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90360" cy="1916430"/>
                        </a:xfrm>
                        <a:prstGeom prst="rect">
                          <a:avLst/>
                        </a:prstGeom>
                      </pic:spPr>
                    </pic:pic>
                  </a:graphicData>
                </a:graphic>
                <wp14:sizeRelH relativeFrom="margin">
                  <wp14:pctWidth>0</wp14:pctWidth>
                </wp14:sizeRelH>
                <wp14:sizeRelV relativeFrom="margin">
                  <wp14:pctHeight>0</wp14:pctHeight>
                </wp14:sizeRelV>
              </wp:anchor>
            </w:drawing>
          </w:r>
          <w:r w:rsidR="00C17EB8" w:rsidRPr="00027EA1">
            <w:rPr>
              <w:noProof/>
              <w:szCs w:val="20"/>
            </w:rPr>
            <mc:AlternateContent>
              <mc:Choice Requires="wps">
                <w:drawing>
                  <wp:anchor distT="0" distB="0" distL="114300" distR="114300" simplePos="0" relativeHeight="251658242" behindDoc="0" locked="0" layoutInCell="1" allowOverlap="1" wp14:anchorId="71FD4C42" wp14:editId="6A74F047">
                    <wp:simplePos x="0" y="0"/>
                    <wp:positionH relativeFrom="column">
                      <wp:posOffset>-560868</wp:posOffset>
                    </wp:positionH>
                    <wp:positionV relativeFrom="paragraph">
                      <wp:posOffset>6951345</wp:posOffset>
                    </wp:positionV>
                    <wp:extent cx="3234055" cy="1134745"/>
                    <wp:effectExtent l="0" t="0" r="4445" b="8255"/>
                    <wp:wrapNone/>
                    <wp:docPr id="988255831" name="Text Box 988255831"/>
                    <wp:cNvGraphicFramePr/>
                    <a:graphic xmlns:a="http://schemas.openxmlformats.org/drawingml/2006/main">
                      <a:graphicData uri="http://schemas.microsoft.com/office/word/2010/wordprocessingShape">
                        <wps:wsp>
                          <wps:cNvSpPr txBox="1"/>
                          <wps:spPr>
                            <a:xfrm>
                              <a:off x="0" y="0"/>
                              <a:ext cx="3234055" cy="1134745"/>
                            </a:xfrm>
                            <a:prstGeom prst="rect">
                              <a:avLst/>
                            </a:prstGeom>
                            <a:noFill/>
                            <a:ln w="6350">
                              <a:noFill/>
                            </a:ln>
                          </wps:spPr>
                          <wps:txbx>
                            <w:txbxContent>
                              <w:p w14:paraId="6CC283D0" w14:textId="77777777" w:rsidR="000E0C66" w:rsidRPr="00303CB9" w:rsidRDefault="000E0C66" w:rsidP="000E0C66">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7D47C037" w14:textId="77777777" w:rsidR="000E0C66" w:rsidRPr="00303CB9" w:rsidRDefault="000E0C66" w:rsidP="000E0C66">
                                <w:pPr>
                                  <w:spacing w:before="40"/>
                                  <w:rPr>
                                    <w:rFonts w:cs="Open Sans"/>
                                    <w:color w:val="FFFFFF" w:themeColor="background1"/>
                                    <w:sz w:val="24"/>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4C42" id="Text Box 988255831" o:spid="_x0000_s1027" type="#_x0000_t202" style="position:absolute;margin-left:-44.15pt;margin-top:547.35pt;width:254.65pt;height:8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" filled="f" stroked="f" strokeweight=".5pt">
                    <v:textbox inset="0,0,0,0">
                      <w:txbxContent>
                        <w:p w14:paraId="6CC283D0" w14:textId="77777777" w:rsidR="000E0C66" w:rsidRPr="00303CB9" w:rsidRDefault="000E0C66" w:rsidP="000E0C66">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7D47C037" w14:textId="77777777" w:rsidR="000E0C66" w:rsidRPr="00303CB9" w:rsidRDefault="000E0C66" w:rsidP="000E0C66">
                          <w:pPr>
                            <w:spacing w:before="40"/>
                            <w:rPr>
                              <w:rFonts w:cs="Open Sans"/>
                              <w:color w:val="FFFFFF" w:themeColor="background1"/>
                              <w:sz w:val="24"/>
                              <w:szCs w:val="28"/>
                            </w:rPr>
                          </w:pPr>
                        </w:p>
                      </w:txbxContent>
                    </v:textbox>
                  </v:shape>
                </w:pict>
              </mc:Fallback>
            </mc:AlternateContent>
          </w:r>
          <w:r w:rsidR="00C17EB8">
            <w:rPr>
              <w:noProof/>
              <w:szCs w:val="20"/>
            </w:rPr>
            <mc:AlternateContent>
              <mc:Choice Requires="wps">
                <w:drawing>
                  <wp:anchor distT="0" distB="0" distL="114300" distR="114300" simplePos="0" relativeHeight="251658247" behindDoc="0" locked="0" layoutInCell="1" allowOverlap="1" wp14:anchorId="700620FF" wp14:editId="2332CA68">
                    <wp:simplePos x="0" y="0"/>
                    <wp:positionH relativeFrom="column">
                      <wp:posOffset>-650875</wp:posOffset>
                    </wp:positionH>
                    <wp:positionV relativeFrom="page">
                      <wp:posOffset>9262745</wp:posOffset>
                    </wp:positionV>
                    <wp:extent cx="3975735" cy="1245235"/>
                    <wp:effectExtent l="0" t="0" r="0" b="0"/>
                    <wp:wrapNone/>
                    <wp:docPr id="907214697" name="Text Box 14"/>
                    <wp:cNvGraphicFramePr/>
                    <a:graphic xmlns:a="http://schemas.openxmlformats.org/drawingml/2006/main">
                      <a:graphicData uri="http://schemas.microsoft.com/office/word/2010/wordprocessingShape">
                        <wps:wsp>
                          <wps:cNvSpPr txBox="1"/>
                          <wps:spPr>
                            <a:xfrm>
                              <a:off x="0" y="0"/>
                              <a:ext cx="3975735" cy="1245235"/>
                            </a:xfrm>
                            <a:prstGeom prst="rect">
                              <a:avLst/>
                            </a:prstGeom>
                            <a:noFill/>
                            <a:ln w="6350">
                              <a:noFill/>
                            </a:ln>
                          </wps:spPr>
                          <wps:txbx>
                            <w:txbxContent>
                              <w:p w14:paraId="4600FA53" w14:textId="77777777" w:rsidR="007012E4" w:rsidRPr="007012E4" w:rsidRDefault="007012E4" w:rsidP="007012E4">
                                <w:pPr>
                                  <w:rPr>
                                    <w:color w:val="FFFFFF" w:themeColor="background1"/>
                                  </w:rPr>
                                </w:pPr>
                                <w:r w:rsidRPr="007012E4">
                                  <w:rPr>
                                    <w:rFonts w:cs="Open Sans"/>
                                    <w:color w:val="FFFFFF" w:themeColor="background1"/>
                                    <w:sz w:val="18"/>
                                    <w:szCs w:val="18"/>
                                  </w:rPr>
                                  <w:t xml:space="preserve">caepradmin.cass@anu.edu.au </w:t>
                                </w:r>
                                <w:r w:rsidRPr="007012E4">
                                  <w:rPr>
                                    <w:rFonts w:cs="Open Sans"/>
                                    <w:color w:val="FFFFFF" w:themeColor="background1"/>
                                    <w:sz w:val="18"/>
                                    <w:szCs w:val="18"/>
                                  </w:rPr>
                                  <w:br/>
                                  <w:t xml:space="preserve">Centre for Indigenous Policy Research </w:t>
                                </w:r>
                                <w:r w:rsidRPr="007012E4">
                                  <w:rPr>
                                    <w:rFonts w:cs="Open Sans"/>
                                    <w:color w:val="FFFFFF" w:themeColor="background1"/>
                                    <w:sz w:val="18"/>
                                    <w:szCs w:val="18"/>
                                  </w:rPr>
                                  <w:br/>
                                  <w:t xml:space="preserve">POLIS@ANU - The Centre for Social Policy Research </w:t>
                                </w:r>
                                <w:r w:rsidRPr="007012E4">
                                  <w:rPr>
                                    <w:rFonts w:cs="Open Sans"/>
                                    <w:color w:val="FFFFFF" w:themeColor="background1"/>
                                    <w:sz w:val="18"/>
                                    <w:szCs w:val="18"/>
                                  </w:rPr>
                                  <w:br/>
                                  <w:t xml:space="preserve">Research School of Social Sciences College of Arts and Social Sciences </w:t>
                                </w:r>
                                <w:r w:rsidRPr="007012E4">
                                  <w:rPr>
                                    <w:rFonts w:cs="Open Sans"/>
                                    <w:color w:val="FFFFFF" w:themeColor="background1"/>
                                    <w:sz w:val="18"/>
                                    <w:szCs w:val="18"/>
                                  </w:rPr>
                                  <w:br/>
                                  <w:t>The Australian National University</w:t>
                                </w:r>
                                <w:r w:rsidRPr="007012E4">
                                  <w:rPr>
                                    <w:rFonts w:cs="Open Sans"/>
                                    <w:color w:val="FFFFFF" w:themeColor="background1"/>
                                    <w:sz w:val="18"/>
                                    <w:szCs w:val="18"/>
                                  </w:rPr>
                                  <w:br/>
                                  <w:t>Canberra ACT 20261</w:t>
                                </w:r>
                              </w:p>
                              <w:p w14:paraId="2E902B47" w14:textId="77777777" w:rsidR="007012E4" w:rsidRPr="007012E4" w:rsidRDefault="007012E4" w:rsidP="007012E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20FF" id="Text Box 14" o:spid="_x0000_s1028" type="#_x0000_t202" style="position:absolute;margin-left:-51.25pt;margin-top:729.35pt;width:313.05pt;height:9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c5HAIAADQ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" filled="f" stroked="f" strokeweight=".5pt">
                    <v:textbox>
                      <w:txbxContent>
                        <w:p w14:paraId="4600FA53" w14:textId="77777777" w:rsidR="007012E4" w:rsidRPr="007012E4" w:rsidRDefault="007012E4" w:rsidP="007012E4">
                          <w:pPr>
                            <w:rPr>
                              <w:color w:val="FFFFFF" w:themeColor="background1"/>
                            </w:rPr>
                          </w:pPr>
                          <w:r w:rsidRPr="007012E4">
                            <w:rPr>
                              <w:rFonts w:cs="Open Sans"/>
                              <w:color w:val="FFFFFF" w:themeColor="background1"/>
                              <w:sz w:val="18"/>
                              <w:szCs w:val="18"/>
                            </w:rPr>
                            <w:t xml:space="preserve">caepradmin.cass@anu.edu.au </w:t>
                          </w:r>
                          <w:r w:rsidRPr="007012E4">
                            <w:rPr>
                              <w:rFonts w:cs="Open Sans"/>
                              <w:color w:val="FFFFFF" w:themeColor="background1"/>
                              <w:sz w:val="18"/>
                              <w:szCs w:val="18"/>
                            </w:rPr>
                            <w:br/>
                            <w:t xml:space="preserve">Centre for Indigenous Policy Research </w:t>
                          </w:r>
                          <w:r w:rsidRPr="007012E4">
                            <w:rPr>
                              <w:rFonts w:cs="Open Sans"/>
                              <w:color w:val="FFFFFF" w:themeColor="background1"/>
                              <w:sz w:val="18"/>
                              <w:szCs w:val="18"/>
                            </w:rPr>
                            <w:br/>
                            <w:t xml:space="preserve">POLIS@ANU - The Centre for Social Policy Research </w:t>
                          </w:r>
                          <w:r w:rsidRPr="007012E4">
                            <w:rPr>
                              <w:rFonts w:cs="Open Sans"/>
                              <w:color w:val="FFFFFF" w:themeColor="background1"/>
                              <w:sz w:val="18"/>
                              <w:szCs w:val="18"/>
                            </w:rPr>
                            <w:br/>
                            <w:t xml:space="preserve">Research School of Social Sciences College of Arts and Social Sciences </w:t>
                          </w:r>
                          <w:r w:rsidRPr="007012E4">
                            <w:rPr>
                              <w:rFonts w:cs="Open Sans"/>
                              <w:color w:val="FFFFFF" w:themeColor="background1"/>
                              <w:sz w:val="18"/>
                              <w:szCs w:val="18"/>
                            </w:rPr>
                            <w:br/>
                            <w:t>The Australian National University</w:t>
                          </w:r>
                          <w:r w:rsidRPr="007012E4">
                            <w:rPr>
                              <w:rFonts w:cs="Open Sans"/>
                              <w:color w:val="FFFFFF" w:themeColor="background1"/>
                              <w:sz w:val="18"/>
                              <w:szCs w:val="18"/>
                            </w:rPr>
                            <w:br/>
                            <w:t>Canberra ACT 20261</w:t>
                          </w:r>
                        </w:p>
                        <w:p w14:paraId="2E902B47" w14:textId="77777777" w:rsidR="007012E4" w:rsidRPr="007012E4" w:rsidRDefault="007012E4" w:rsidP="007012E4">
                          <w:pPr>
                            <w:rPr>
                              <w:color w:val="FFFFFF" w:themeColor="background1"/>
                            </w:rPr>
                          </w:pPr>
                        </w:p>
                      </w:txbxContent>
                    </v:textbox>
                    <w10:wrap anchory="page"/>
                  </v:shape>
                </w:pict>
              </mc:Fallback>
            </mc:AlternateContent>
          </w:r>
          <w:r w:rsidR="0008514A" w:rsidRPr="00027EA1">
            <w:rPr>
              <w:noProof/>
              <w:szCs w:val="20"/>
            </w:rPr>
            <mc:AlternateContent>
              <mc:Choice Requires="wps">
                <w:drawing>
                  <wp:anchor distT="0" distB="0" distL="114300" distR="114300" simplePos="0" relativeHeight="251658241" behindDoc="0" locked="0" layoutInCell="1" allowOverlap="1" wp14:anchorId="2CDBFC6E" wp14:editId="6E8BBFDC">
                    <wp:simplePos x="0" y="0"/>
                    <wp:positionH relativeFrom="column">
                      <wp:posOffset>2233295</wp:posOffset>
                    </wp:positionH>
                    <wp:positionV relativeFrom="paragraph">
                      <wp:posOffset>8515350</wp:posOffset>
                    </wp:positionV>
                    <wp:extent cx="3899535" cy="398780"/>
                    <wp:effectExtent l="0" t="0" r="5715" b="1270"/>
                    <wp:wrapNone/>
                    <wp:docPr id="956934066" name="Text Box 956934066"/>
                    <wp:cNvGraphicFramePr/>
                    <a:graphic xmlns:a="http://schemas.openxmlformats.org/drawingml/2006/main">
                      <a:graphicData uri="http://schemas.microsoft.com/office/word/2010/wordprocessingShape">
                        <wps:wsp>
                          <wps:cNvSpPr txBox="1"/>
                          <wps:spPr>
                            <a:xfrm>
                              <a:off x="0" y="0"/>
                              <a:ext cx="3899535" cy="398780"/>
                            </a:xfrm>
                            <a:prstGeom prst="rect">
                              <a:avLst/>
                            </a:prstGeom>
                            <a:noFill/>
                            <a:ln w="6350">
                              <a:noFill/>
                            </a:ln>
                          </wps:spPr>
                          <wps:txbx>
                            <w:txbxContent>
                              <w:p w14:paraId="469C1445" w14:textId="77777777" w:rsidR="000E0C66" w:rsidRPr="00B561F9" w:rsidRDefault="000E0C66" w:rsidP="00303CB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FC6E" id="Text Box 956934066" o:spid="_x0000_s1029" type="#_x0000_t202" style="position:absolute;margin-left:175.85pt;margin-top:670.5pt;width:307.05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" filled="f" stroked="f" strokeweight=".5pt">
                    <v:textbox inset="0,0,0,0">
                      <w:txbxContent>
                        <w:p w14:paraId="469C1445" w14:textId="77777777" w:rsidR="000E0C66" w:rsidRPr="00B561F9" w:rsidRDefault="000E0C66" w:rsidP="00303CB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v:textbox>
                  </v:shape>
                </w:pict>
              </mc:Fallback>
            </mc:AlternateContent>
          </w:r>
          <w:r w:rsidR="0008514A" w:rsidRPr="00027EA1">
            <w:rPr>
              <w:noProof/>
              <w:szCs w:val="20"/>
            </w:rPr>
            <mc:AlternateContent>
              <mc:Choice Requires="wps">
                <w:drawing>
                  <wp:anchor distT="0" distB="0" distL="114300" distR="114300" simplePos="0" relativeHeight="251658246" behindDoc="0" locked="0" layoutInCell="1" allowOverlap="1" wp14:anchorId="1E3900E5" wp14:editId="024C5116">
                    <wp:simplePos x="0" y="0"/>
                    <wp:positionH relativeFrom="column">
                      <wp:posOffset>1964690</wp:posOffset>
                    </wp:positionH>
                    <wp:positionV relativeFrom="paragraph">
                      <wp:posOffset>7475855</wp:posOffset>
                    </wp:positionV>
                    <wp:extent cx="3899535" cy="398780"/>
                    <wp:effectExtent l="0" t="0" r="5715" b="1270"/>
                    <wp:wrapNone/>
                    <wp:docPr id="1855220890" name="Text Box 1855220890"/>
                    <wp:cNvGraphicFramePr/>
                    <a:graphic xmlns:a="http://schemas.openxmlformats.org/drawingml/2006/main">
                      <a:graphicData uri="http://schemas.microsoft.com/office/word/2010/wordprocessingShape">
                        <wps:wsp>
                          <wps:cNvSpPr txBox="1"/>
                          <wps:spPr>
                            <a:xfrm>
                              <a:off x="0" y="0"/>
                              <a:ext cx="3899535" cy="398780"/>
                            </a:xfrm>
                            <a:prstGeom prst="rect">
                              <a:avLst/>
                            </a:prstGeom>
                            <a:noFill/>
                            <a:ln w="6350">
                              <a:noFill/>
                            </a:ln>
                          </wps:spPr>
                          <wps:txbx>
                            <w:txbxContent>
                              <w:p w14:paraId="39AACBC6" w14:textId="35ED0371" w:rsidR="00303CB9" w:rsidRPr="00303CB9" w:rsidRDefault="00303CB9" w:rsidP="00303CB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900E5" id="Text Box 1855220890" o:spid="_x0000_s1030" type="#_x0000_t202" style="position:absolute;margin-left:154.7pt;margin-top:588.65pt;width:307.05pt;height:31.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" filled="f" stroked="f" strokeweight=".5pt">
                    <v:textbox inset="0,0,0,0">
                      <w:txbxContent>
                        <w:p w14:paraId="39AACBC6" w14:textId="35ED0371" w:rsidR="00303CB9" w:rsidRPr="00303CB9" w:rsidRDefault="00303CB9" w:rsidP="00303CB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v:textbox>
                  </v:shape>
                </w:pict>
              </mc:Fallback>
            </mc:AlternateContent>
          </w:r>
          <w:r w:rsidR="0008514A">
            <w:rPr>
              <w:noProof/>
              <w:szCs w:val="20"/>
              <w14:ligatures w14:val="standardContextual"/>
            </w:rPr>
            <w:drawing>
              <wp:anchor distT="0" distB="0" distL="114300" distR="114300" simplePos="0" relativeHeight="251658244" behindDoc="0" locked="0" layoutInCell="1" allowOverlap="1" wp14:anchorId="3725C73D" wp14:editId="44CF7DB4">
                <wp:simplePos x="0" y="0"/>
                <wp:positionH relativeFrom="column">
                  <wp:posOffset>4592320</wp:posOffset>
                </wp:positionH>
                <wp:positionV relativeFrom="paragraph">
                  <wp:posOffset>7820660</wp:posOffset>
                </wp:positionV>
                <wp:extent cx="1549400" cy="546100"/>
                <wp:effectExtent l="0" t="0" r="0" b="6350"/>
                <wp:wrapNone/>
                <wp:docPr id="1875563771" name="Picture 3"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63771" name="Picture 3" descr="A black and white sig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9400" cy="546100"/>
                        </a:xfrm>
                        <a:prstGeom prst="rect">
                          <a:avLst/>
                        </a:prstGeom>
                      </pic:spPr>
                    </pic:pic>
                  </a:graphicData>
                </a:graphic>
                <wp14:sizeRelH relativeFrom="margin">
                  <wp14:pctWidth>0</wp14:pctWidth>
                </wp14:sizeRelH>
                <wp14:sizeRelV relativeFrom="margin">
                  <wp14:pctHeight>0</wp14:pctHeight>
                </wp14:sizeRelV>
              </wp:anchor>
            </w:drawing>
          </w:r>
          <w:r w:rsidR="006C5971">
            <w:br w:type="page"/>
          </w:r>
          <w:r w:rsidR="00303CB9" w:rsidRPr="0054721B">
            <w:lastRenderedPageBreak/>
            <w:t>We acknowledge and pay respects to all First Nations peoples, lands, waters, and skies across the continent, as Institute staff work remotely from city, coast and bush.</w:t>
          </w:r>
          <w:r w:rsidR="0005017C">
            <w:tab/>
          </w:r>
        </w:p>
        <w:p w14:paraId="07B39272" w14:textId="77777777" w:rsidR="008C7AC8" w:rsidRPr="00A00E31" w:rsidRDefault="008C7AC8" w:rsidP="00A00E31">
          <w:pPr>
            <w:rPr>
              <w:sz w:val="24"/>
              <w:szCs w:val="32"/>
            </w:rPr>
          </w:pPr>
        </w:p>
        <w:sdt>
          <w:sdtPr>
            <w:rPr>
              <w:rFonts w:ascii="Open Sans" w:eastAsia="Times New Roman" w:hAnsi="Open Sans" w:cs="Times New Roman"/>
              <w:color w:val="auto"/>
              <w:sz w:val="22"/>
              <w:szCs w:val="24"/>
              <w:lang w:val="en-AU" w:eastAsia="en-GB"/>
            </w:rPr>
            <w:id w:val="-1242863833"/>
            <w:docPartObj>
              <w:docPartGallery w:val="Table of Contents"/>
              <w:docPartUnique/>
            </w:docPartObj>
          </w:sdtPr>
          <w:sdtEndPr>
            <w:rPr>
              <w:b/>
              <w:bCs/>
              <w:noProof/>
            </w:rPr>
          </w:sdtEndPr>
          <w:sdtContent>
            <w:p w14:paraId="47BDC467" w14:textId="3CAC47B6" w:rsidR="00AB7641" w:rsidRPr="0023468C" w:rsidRDefault="00AB7641" w:rsidP="00DE430B">
              <w:pPr>
                <w:pStyle w:val="TOCHeading"/>
              </w:pPr>
              <w:r w:rsidRPr="00DE430B">
                <w:t>Contents</w:t>
              </w:r>
            </w:p>
            <w:p w14:paraId="0B08480B" w14:textId="6693DB22" w:rsidR="00C92BA0" w:rsidRDefault="00AB7641">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r w:rsidRPr="0023468C">
                <w:fldChar w:fldCharType="begin"/>
              </w:r>
              <w:r w:rsidRPr="0023468C">
                <w:instrText xml:space="preserve"> TOC \o "1-3" \h \z \u </w:instrText>
              </w:r>
              <w:r w:rsidRPr="0023468C">
                <w:fldChar w:fldCharType="separate"/>
              </w:r>
              <w:hyperlink w:anchor="_Toc168655806" w:history="1">
                <w:r w:rsidR="00C92BA0" w:rsidRPr="00DB5153">
                  <w:rPr>
                    <w:rStyle w:val="Hyperlink"/>
                    <w:noProof/>
                  </w:rPr>
                  <w:t>Introduction</w:t>
                </w:r>
                <w:r w:rsidR="00C92BA0">
                  <w:rPr>
                    <w:noProof/>
                    <w:webHidden/>
                  </w:rPr>
                  <w:tab/>
                </w:r>
                <w:r w:rsidR="00C92BA0">
                  <w:rPr>
                    <w:noProof/>
                    <w:webHidden/>
                  </w:rPr>
                  <w:fldChar w:fldCharType="begin"/>
                </w:r>
                <w:r w:rsidR="00C92BA0">
                  <w:rPr>
                    <w:noProof/>
                    <w:webHidden/>
                  </w:rPr>
                  <w:instrText xml:space="preserve"> PAGEREF _Toc168655806 \h </w:instrText>
                </w:r>
                <w:r w:rsidR="00C92BA0">
                  <w:rPr>
                    <w:noProof/>
                    <w:webHidden/>
                  </w:rPr>
                </w:r>
                <w:r w:rsidR="00C92BA0">
                  <w:rPr>
                    <w:noProof/>
                    <w:webHidden/>
                  </w:rPr>
                  <w:fldChar w:fldCharType="separate"/>
                </w:r>
                <w:r w:rsidR="00A4070E">
                  <w:rPr>
                    <w:noProof/>
                    <w:webHidden/>
                  </w:rPr>
                  <w:t>2</w:t>
                </w:r>
                <w:r w:rsidR="00C92BA0">
                  <w:rPr>
                    <w:noProof/>
                    <w:webHidden/>
                  </w:rPr>
                  <w:fldChar w:fldCharType="end"/>
                </w:r>
              </w:hyperlink>
            </w:p>
            <w:p w14:paraId="57C095C7" w14:textId="1D421EF7" w:rsidR="00C92BA0" w:rsidRDefault="00AC16AD">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07" w:history="1">
                <w:r w:rsidR="00C92BA0" w:rsidRPr="00DB5153">
                  <w:rPr>
                    <w:rStyle w:val="Hyperlink"/>
                    <w:noProof/>
                  </w:rPr>
                  <w:t>The economic contribution of care and dynamic between paid and unpaid work</w:t>
                </w:r>
                <w:r w:rsidR="00C92BA0">
                  <w:rPr>
                    <w:noProof/>
                    <w:webHidden/>
                  </w:rPr>
                  <w:tab/>
                </w:r>
                <w:r w:rsidR="00C92BA0">
                  <w:rPr>
                    <w:noProof/>
                    <w:webHidden/>
                  </w:rPr>
                  <w:fldChar w:fldCharType="begin"/>
                </w:r>
                <w:r w:rsidR="00C92BA0">
                  <w:rPr>
                    <w:noProof/>
                    <w:webHidden/>
                  </w:rPr>
                  <w:instrText xml:space="preserve"> PAGEREF _Toc168655807 \h </w:instrText>
                </w:r>
                <w:r w:rsidR="00C92BA0">
                  <w:rPr>
                    <w:noProof/>
                    <w:webHidden/>
                  </w:rPr>
                </w:r>
                <w:r w:rsidR="00C92BA0">
                  <w:rPr>
                    <w:noProof/>
                    <w:webHidden/>
                  </w:rPr>
                  <w:fldChar w:fldCharType="separate"/>
                </w:r>
                <w:r w:rsidR="00A4070E">
                  <w:rPr>
                    <w:noProof/>
                    <w:webHidden/>
                  </w:rPr>
                  <w:t>3</w:t>
                </w:r>
                <w:r w:rsidR="00C92BA0">
                  <w:rPr>
                    <w:noProof/>
                    <w:webHidden/>
                  </w:rPr>
                  <w:fldChar w:fldCharType="end"/>
                </w:r>
              </w:hyperlink>
            </w:p>
            <w:p w14:paraId="123ECD96" w14:textId="0C7CBC77" w:rsidR="00C92BA0" w:rsidRDefault="00AC16AD">
              <w:pPr>
                <w:pStyle w:val="TOC2"/>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08" w:history="1">
                <w:r w:rsidR="00C92BA0" w:rsidRPr="00DB5153">
                  <w:rPr>
                    <w:rStyle w:val="Hyperlink"/>
                    <w:noProof/>
                  </w:rPr>
                  <w:t>Defining unpaid care work</w:t>
                </w:r>
                <w:r w:rsidR="00C92BA0">
                  <w:rPr>
                    <w:noProof/>
                    <w:webHidden/>
                  </w:rPr>
                  <w:tab/>
                </w:r>
                <w:r w:rsidR="00C92BA0">
                  <w:rPr>
                    <w:noProof/>
                    <w:webHidden/>
                  </w:rPr>
                  <w:fldChar w:fldCharType="begin"/>
                </w:r>
                <w:r w:rsidR="00C92BA0">
                  <w:rPr>
                    <w:noProof/>
                    <w:webHidden/>
                  </w:rPr>
                  <w:instrText xml:space="preserve"> PAGEREF _Toc168655808 \h </w:instrText>
                </w:r>
                <w:r w:rsidR="00C92BA0">
                  <w:rPr>
                    <w:noProof/>
                    <w:webHidden/>
                  </w:rPr>
                </w:r>
                <w:r w:rsidR="00C92BA0">
                  <w:rPr>
                    <w:noProof/>
                    <w:webHidden/>
                  </w:rPr>
                  <w:fldChar w:fldCharType="separate"/>
                </w:r>
                <w:r w:rsidR="00A4070E">
                  <w:rPr>
                    <w:noProof/>
                    <w:webHidden/>
                  </w:rPr>
                  <w:t>3</w:t>
                </w:r>
                <w:r w:rsidR="00C92BA0">
                  <w:rPr>
                    <w:noProof/>
                    <w:webHidden/>
                  </w:rPr>
                  <w:fldChar w:fldCharType="end"/>
                </w:r>
              </w:hyperlink>
            </w:p>
            <w:p w14:paraId="0E61A240" w14:textId="2969B00D" w:rsidR="00C92BA0" w:rsidRDefault="00AC16AD">
              <w:pPr>
                <w:pStyle w:val="TOC2"/>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09" w:history="1">
                <w:r w:rsidR="00C92BA0" w:rsidRPr="00DB5153">
                  <w:rPr>
                    <w:rStyle w:val="Hyperlink"/>
                    <w:noProof/>
                  </w:rPr>
                  <w:t>The intersection between paid and unpaid care work</w:t>
                </w:r>
                <w:r w:rsidR="00C92BA0">
                  <w:rPr>
                    <w:noProof/>
                    <w:webHidden/>
                  </w:rPr>
                  <w:tab/>
                </w:r>
                <w:r w:rsidR="00C92BA0">
                  <w:rPr>
                    <w:noProof/>
                    <w:webHidden/>
                  </w:rPr>
                  <w:fldChar w:fldCharType="begin"/>
                </w:r>
                <w:r w:rsidR="00C92BA0">
                  <w:rPr>
                    <w:noProof/>
                    <w:webHidden/>
                  </w:rPr>
                  <w:instrText xml:space="preserve"> PAGEREF _Toc168655809 \h </w:instrText>
                </w:r>
                <w:r w:rsidR="00C92BA0">
                  <w:rPr>
                    <w:noProof/>
                    <w:webHidden/>
                  </w:rPr>
                </w:r>
                <w:r w:rsidR="00C92BA0">
                  <w:rPr>
                    <w:noProof/>
                    <w:webHidden/>
                  </w:rPr>
                  <w:fldChar w:fldCharType="separate"/>
                </w:r>
                <w:r w:rsidR="00A4070E">
                  <w:rPr>
                    <w:noProof/>
                    <w:webHidden/>
                  </w:rPr>
                  <w:t>4</w:t>
                </w:r>
                <w:r w:rsidR="00C92BA0">
                  <w:rPr>
                    <w:noProof/>
                    <w:webHidden/>
                  </w:rPr>
                  <w:fldChar w:fldCharType="end"/>
                </w:r>
              </w:hyperlink>
            </w:p>
            <w:p w14:paraId="529A31EA" w14:textId="7C6255BB" w:rsidR="00C92BA0" w:rsidRDefault="00AC16AD">
              <w:pPr>
                <w:pStyle w:val="TOC2"/>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0" w:history="1">
                <w:r w:rsidR="00C92BA0" w:rsidRPr="00DB5153">
                  <w:rPr>
                    <w:rStyle w:val="Hyperlink"/>
                    <w:noProof/>
                  </w:rPr>
                  <w:t>The economic contribution of care work</w:t>
                </w:r>
                <w:r w:rsidR="00C92BA0">
                  <w:rPr>
                    <w:noProof/>
                    <w:webHidden/>
                  </w:rPr>
                  <w:tab/>
                </w:r>
                <w:r w:rsidR="00C92BA0">
                  <w:rPr>
                    <w:noProof/>
                    <w:webHidden/>
                  </w:rPr>
                  <w:fldChar w:fldCharType="begin"/>
                </w:r>
                <w:r w:rsidR="00C92BA0">
                  <w:rPr>
                    <w:noProof/>
                    <w:webHidden/>
                  </w:rPr>
                  <w:instrText xml:space="preserve"> PAGEREF _Toc168655810 \h </w:instrText>
                </w:r>
                <w:r w:rsidR="00C92BA0">
                  <w:rPr>
                    <w:noProof/>
                    <w:webHidden/>
                  </w:rPr>
                </w:r>
                <w:r w:rsidR="00C92BA0">
                  <w:rPr>
                    <w:noProof/>
                    <w:webHidden/>
                  </w:rPr>
                  <w:fldChar w:fldCharType="separate"/>
                </w:r>
                <w:r w:rsidR="00A4070E">
                  <w:rPr>
                    <w:noProof/>
                    <w:webHidden/>
                  </w:rPr>
                  <w:t>6</w:t>
                </w:r>
                <w:r w:rsidR="00C92BA0">
                  <w:rPr>
                    <w:noProof/>
                    <w:webHidden/>
                  </w:rPr>
                  <w:fldChar w:fldCharType="end"/>
                </w:r>
              </w:hyperlink>
            </w:p>
            <w:p w14:paraId="0079AE7C" w14:textId="3D6B5488" w:rsidR="00C92BA0" w:rsidRDefault="00AC16AD">
              <w:pPr>
                <w:pStyle w:val="TOC2"/>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1" w:history="1">
                <w:r w:rsidR="00C92BA0" w:rsidRPr="00DB5153">
                  <w:rPr>
                    <w:rStyle w:val="Hyperlink"/>
                    <w:noProof/>
                  </w:rPr>
                  <w:t>Findings from the Australian Capital Territory</w:t>
                </w:r>
                <w:r w:rsidR="00C92BA0">
                  <w:rPr>
                    <w:noProof/>
                    <w:webHidden/>
                  </w:rPr>
                  <w:tab/>
                </w:r>
                <w:r w:rsidR="00C92BA0">
                  <w:rPr>
                    <w:noProof/>
                    <w:webHidden/>
                  </w:rPr>
                  <w:fldChar w:fldCharType="begin"/>
                </w:r>
                <w:r w:rsidR="00C92BA0">
                  <w:rPr>
                    <w:noProof/>
                    <w:webHidden/>
                  </w:rPr>
                  <w:instrText xml:space="preserve"> PAGEREF _Toc168655811 \h </w:instrText>
                </w:r>
                <w:r w:rsidR="00C92BA0">
                  <w:rPr>
                    <w:noProof/>
                    <w:webHidden/>
                  </w:rPr>
                </w:r>
                <w:r w:rsidR="00C92BA0">
                  <w:rPr>
                    <w:noProof/>
                    <w:webHidden/>
                  </w:rPr>
                  <w:fldChar w:fldCharType="separate"/>
                </w:r>
                <w:r w:rsidR="00A4070E">
                  <w:rPr>
                    <w:noProof/>
                    <w:webHidden/>
                  </w:rPr>
                  <w:t>9</w:t>
                </w:r>
                <w:r w:rsidR="00C92BA0">
                  <w:rPr>
                    <w:noProof/>
                    <w:webHidden/>
                  </w:rPr>
                  <w:fldChar w:fldCharType="end"/>
                </w:r>
              </w:hyperlink>
            </w:p>
            <w:p w14:paraId="572781AB" w14:textId="08E5B209" w:rsidR="00C92BA0" w:rsidRDefault="00AC16AD">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2" w:history="1">
                <w:r w:rsidR="00C92BA0" w:rsidRPr="00DB5153">
                  <w:rPr>
                    <w:rStyle w:val="Hyperlink"/>
                    <w:noProof/>
                  </w:rPr>
                  <w:t>ACT Government’s Wellbeing Framework</w:t>
                </w:r>
                <w:r w:rsidR="00C92BA0">
                  <w:rPr>
                    <w:noProof/>
                    <w:webHidden/>
                  </w:rPr>
                  <w:tab/>
                </w:r>
                <w:r w:rsidR="00C92BA0">
                  <w:rPr>
                    <w:noProof/>
                    <w:webHidden/>
                  </w:rPr>
                  <w:fldChar w:fldCharType="begin"/>
                </w:r>
                <w:r w:rsidR="00C92BA0">
                  <w:rPr>
                    <w:noProof/>
                    <w:webHidden/>
                  </w:rPr>
                  <w:instrText xml:space="preserve"> PAGEREF _Toc168655812 \h </w:instrText>
                </w:r>
                <w:r w:rsidR="00C92BA0">
                  <w:rPr>
                    <w:noProof/>
                    <w:webHidden/>
                  </w:rPr>
                </w:r>
                <w:r w:rsidR="00C92BA0">
                  <w:rPr>
                    <w:noProof/>
                    <w:webHidden/>
                  </w:rPr>
                  <w:fldChar w:fldCharType="separate"/>
                </w:r>
                <w:r w:rsidR="00A4070E">
                  <w:rPr>
                    <w:noProof/>
                    <w:webHidden/>
                  </w:rPr>
                  <w:t>11</w:t>
                </w:r>
                <w:r w:rsidR="00C92BA0">
                  <w:rPr>
                    <w:noProof/>
                    <w:webHidden/>
                  </w:rPr>
                  <w:fldChar w:fldCharType="end"/>
                </w:r>
              </w:hyperlink>
            </w:p>
            <w:p w14:paraId="21A666EC" w14:textId="62787E72" w:rsidR="00C92BA0" w:rsidRDefault="00AC16AD">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3" w:history="1">
                <w:r w:rsidR="00C92BA0" w:rsidRPr="00DB5153">
                  <w:rPr>
                    <w:rStyle w:val="Hyperlink"/>
                    <w:noProof/>
                  </w:rPr>
                  <w:t>Opportunities to support and recognise unpaid care</w:t>
                </w:r>
                <w:r w:rsidR="00C92BA0">
                  <w:rPr>
                    <w:noProof/>
                    <w:webHidden/>
                  </w:rPr>
                  <w:tab/>
                </w:r>
                <w:r w:rsidR="00C92BA0">
                  <w:rPr>
                    <w:noProof/>
                    <w:webHidden/>
                  </w:rPr>
                  <w:fldChar w:fldCharType="begin"/>
                </w:r>
                <w:r w:rsidR="00C92BA0">
                  <w:rPr>
                    <w:noProof/>
                    <w:webHidden/>
                  </w:rPr>
                  <w:instrText xml:space="preserve"> PAGEREF _Toc168655813 \h </w:instrText>
                </w:r>
                <w:r w:rsidR="00C92BA0">
                  <w:rPr>
                    <w:noProof/>
                    <w:webHidden/>
                  </w:rPr>
                </w:r>
                <w:r w:rsidR="00C92BA0">
                  <w:rPr>
                    <w:noProof/>
                    <w:webHidden/>
                  </w:rPr>
                  <w:fldChar w:fldCharType="separate"/>
                </w:r>
                <w:r w:rsidR="00A4070E">
                  <w:rPr>
                    <w:noProof/>
                    <w:webHidden/>
                  </w:rPr>
                  <w:t>12</w:t>
                </w:r>
                <w:r w:rsidR="00C92BA0">
                  <w:rPr>
                    <w:noProof/>
                    <w:webHidden/>
                  </w:rPr>
                  <w:fldChar w:fldCharType="end"/>
                </w:r>
              </w:hyperlink>
            </w:p>
            <w:p w14:paraId="07C73CF6" w14:textId="32839D13" w:rsidR="00C92BA0" w:rsidRDefault="00AC16AD">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4" w:history="1">
                <w:r w:rsidR="00C92BA0" w:rsidRPr="00DB5153">
                  <w:rPr>
                    <w:rStyle w:val="Hyperlink"/>
                    <w:noProof/>
                  </w:rPr>
                  <w:t>Conclusion</w:t>
                </w:r>
                <w:r w:rsidR="00C92BA0">
                  <w:rPr>
                    <w:noProof/>
                    <w:webHidden/>
                  </w:rPr>
                  <w:tab/>
                </w:r>
                <w:r w:rsidR="00C92BA0">
                  <w:rPr>
                    <w:noProof/>
                    <w:webHidden/>
                  </w:rPr>
                  <w:fldChar w:fldCharType="begin"/>
                </w:r>
                <w:r w:rsidR="00C92BA0">
                  <w:rPr>
                    <w:noProof/>
                    <w:webHidden/>
                  </w:rPr>
                  <w:instrText xml:space="preserve"> PAGEREF _Toc168655814 \h </w:instrText>
                </w:r>
                <w:r w:rsidR="00C92BA0">
                  <w:rPr>
                    <w:noProof/>
                    <w:webHidden/>
                  </w:rPr>
                </w:r>
                <w:r w:rsidR="00C92BA0">
                  <w:rPr>
                    <w:noProof/>
                    <w:webHidden/>
                  </w:rPr>
                  <w:fldChar w:fldCharType="separate"/>
                </w:r>
                <w:r w:rsidR="00A4070E">
                  <w:rPr>
                    <w:noProof/>
                    <w:webHidden/>
                  </w:rPr>
                  <w:t>16</w:t>
                </w:r>
                <w:r w:rsidR="00C92BA0">
                  <w:rPr>
                    <w:noProof/>
                    <w:webHidden/>
                  </w:rPr>
                  <w:fldChar w:fldCharType="end"/>
                </w:r>
              </w:hyperlink>
            </w:p>
            <w:p w14:paraId="017A58F3" w14:textId="385D9E2A" w:rsidR="00C92BA0" w:rsidRDefault="00AC16AD">
              <w:pPr>
                <w:pStyle w:val="TOC1"/>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5" w:history="1">
                <w:r w:rsidR="00C92BA0" w:rsidRPr="00DB5153">
                  <w:rPr>
                    <w:rStyle w:val="Hyperlink"/>
                    <w:noProof/>
                  </w:rPr>
                  <w:t>Appendix</w:t>
                </w:r>
                <w:r w:rsidR="00C92BA0">
                  <w:rPr>
                    <w:noProof/>
                    <w:webHidden/>
                  </w:rPr>
                  <w:tab/>
                </w:r>
                <w:r w:rsidR="00C92BA0">
                  <w:rPr>
                    <w:noProof/>
                    <w:webHidden/>
                  </w:rPr>
                  <w:fldChar w:fldCharType="begin"/>
                </w:r>
                <w:r w:rsidR="00C92BA0">
                  <w:rPr>
                    <w:noProof/>
                    <w:webHidden/>
                  </w:rPr>
                  <w:instrText xml:space="preserve"> PAGEREF _Toc168655815 \h </w:instrText>
                </w:r>
                <w:r w:rsidR="00C92BA0">
                  <w:rPr>
                    <w:noProof/>
                    <w:webHidden/>
                  </w:rPr>
                </w:r>
                <w:r w:rsidR="00C92BA0">
                  <w:rPr>
                    <w:noProof/>
                    <w:webHidden/>
                  </w:rPr>
                  <w:fldChar w:fldCharType="separate"/>
                </w:r>
                <w:r w:rsidR="00A4070E">
                  <w:rPr>
                    <w:noProof/>
                    <w:webHidden/>
                  </w:rPr>
                  <w:t>18</w:t>
                </w:r>
                <w:r w:rsidR="00C92BA0">
                  <w:rPr>
                    <w:noProof/>
                    <w:webHidden/>
                  </w:rPr>
                  <w:fldChar w:fldCharType="end"/>
                </w:r>
              </w:hyperlink>
            </w:p>
            <w:p w14:paraId="4DB322DD" w14:textId="0B47FD22" w:rsidR="00C92BA0" w:rsidRDefault="00AC16AD">
              <w:pPr>
                <w:pStyle w:val="TOC2"/>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6" w:history="1">
                <w:r w:rsidR="00C92BA0" w:rsidRPr="00DB5153">
                  <w:rPr>
                    <w:rStyle w:val="Hyperlink"/>
                    <w:noProof/>
                  </w:rPr>
                  <w:t>Australian Human Rights Commission, Submission to the Department of Prime Minister and Cabinet on the draft National Care and Support Economy Strategy 2023 (10 July 2023)</w:t>
                </w:r>
                <w:r w:rsidR="00C92BA0">
                  <w:rPr>
                    <w:noProof/>
                    <w:webHidden/>
                  </w:rPr>
                  <w:tab/>
                </w:r>
                <w:r w:rsidR="00C92BA0">
                  <w:rPr>
                    <w:noProof/>
                    <w:webHidden/>
                  </w:rPr>
                  <w:fldChar w:fldCharType="begin"/>
                </w:r>
                <w:r w:rsidR="00C92BA0">
                  <w:rPr>
                    <w:noProof/>
                    <w:webHidden/>
                  </w:rPr>
                  <w:instrText xml:space="preserve"> PAGEREF _Toc168655816 \h </w:instrText>
                </w:r>
                <w:r w:rsidR="00C92BA0">
                  <w:rPr>
                    <w:noProof/>
                    <w:webHidden/>
                  </w:rPr>
                </w:r>
                <w:r w:rsidR="00C92BA0">
                  <w:rPr>
                    <w:noProof/>
                    <w:webHidden/>
                  </w:rPr>
                  <w:fldChar w:fldCharType="separate"/>
                </w:r>
                <w:r w:rsidR="00A4070E">
                  <w:rPr>
                    <w:noProof/>
                    <w:webHidden/>
                  </w:rPr>
                  <w:t>18</w:t>
                </w:r>
                <w:r w:rsidR="00C92BA0">
                  <w:rPr>
                    <w:noProof/>
                    <w:webHidden/>
                  </w:rPr>
                  <w:fldChar w:fldCharType="end"/>
                </w:r>
              </w:hyperlink>
            </w:p>
            <w:p w14:paraId="6C4D6827" w14:textId="5C165807"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7" w:history="1">
                <w:r w:rsidR="00C92BA0" w:rsidRPr="00DB5153">
                  <w:rPr>
                    <w:rStyle w:val="Hyperlink"/>
                    <w:noProof/>
                  </w:rPr>
                  <w:t>1. Introduction</w:t>
                </w:r>
                <w:r w:rsidR="00C92BA0">
                  <w:rPr>
                    <w:noProof/>
                    <w:webHidden/>
                  </w:rPr>
                  <w:tab/>
                </w:r>
                <w:r w:rsidR="00C92BA0">
                  <w:rPr>
                    <w:noProof/>
                    <w:webHidden/>
                  </w:rPr>
                  <w:fldChar w:fldCharType="begin"/>
                </w:r>
                <w:r w:rsidR="00C92BA0">
                  <w:rPr>
                    <w:noProof/>
                    <w:webHidden/>
                  </w:rPr>
                  <w:instrText xml:space="preserve"> PAGEREF _Toc168655817 \h </w:instrText>
                </w:r>
                <w:r w:rsidR="00C92BA0">
                  <w:rPr>
                    <w:noProof/>
                    <w:webHidden/>
                  </w:rPr>
                </w:r>
                <w:r w:rsidR="00C92BA0">
                  <w:rPr>
                    <w:noProof/>
                    <w:webHidden/>
                  </w:rPr>
                  <w:fldChar w:fldCharType="separate"/>
                </w:r>
                <w:r w:rsidR="00A4070E">
                  <w:rPr>
                    <w:noProof/>
                    <w:webHidden/>
                  </w:rPr>
                  <w:t>18</w:t>
                </w:r>
                <w:r w:rsidR="00C92BA0">
                  <w:rPr>
                    <w:noProof/>
                    <w:webHidden/>
                  </w:rPr>
                  <w:fldChar w:fldCharType="end"/>
                </w:r>
              </w:hyperlink>
            </w:p>
            <w:p w14:paraId="70A18CBD" w14:textId="74F45A14"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8" w:history="1">
                <w:r w:rsidR="00C92BA0" w:rsidRPr="00DB5153">
                  <w:rPr>
                    <w:rStyle w:val="Hyperlink"/>
                    <w:noProof/>
                  </w:rPr>
                  <w:t>2. Care as a Human Right</w:t>
                </w:r>
                <w:r w:rsidR="00C92BA0">
                  <w:rPr>
                    <w:noProof/>
                    <w:webHidden/>
                  </w:rPr>
                  <w:tab/>
                </w:r>
                <w:r w:rsidR="00C92BA0">
                  <w:rPr>
                    <w:noProof/>
                    <w:webHidden/>
                  </w:rPr>
                  <w:fldChar w:fldCharType="begin"/>
                </w:r>
                <w:r w:rsidR="00C92BA0">
                  <w:rPr>
                    <w:noProof/>
                    <w:webHidden/>
                  </w:rPr>
                  <w:instrText xml:space="preserve"> PAGEREF _Toc168655818 \h </w:instrText>
                </w:r>
                <w:r w:rsidR="00C92BA0">
                  <w:rPr>
                    <w:noProof/>
                    <w:webHidden/>
                  </w:rPr>
                </w:r>
                <w:r w:rsidR="00C92BA0">
                  <w:rPr>
                    <w:noProof/>
                    <w:webHidden/>
                  </w:rPr>
                  <w:fldChar w:fldCharType="separate"/>
                </w:r>
                <w:r w:rsidR="00A4070E">
                  <w:rPr>
                    <w:noProof/>
                    <w:webHidden/>
                  </w:rPr>
                  <w:t>24</w:t>
                </w:r>
                <w:r w:rsidR="00C92BA0">
                  <w:rPr>
                    <w:noProof/>
                    <w:webHidden/>
                  </w:rPr>
                  <w:fldChar w:fldCharType="end"/>
                </w:r>
              </w:hyperlink>
            </w:p>
            <w:p w14:paraId="00A11025" w14:textId="30431846"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19" w:history="1">
                <w:r w:rsidR="00C92BA0" w:rsidRPr="00DB5153">
                  <w:rPr>
                    <w:rStyle w:val="Hyperlink"/>
                    <w:noProof/>
                  </w:rPr>
                  <w:t>3. The First Nations Care Economy</w:t>
                </w:r>
                <w:r w:rsidR="00C92BA0">
                  <w:rPr>
                    <w:noProof/>
                    <w:webHidden/>
                  </w:rPr>
                  <w:tab/>
                </w:r>
                <w:r w:rsidR="00C92BA0">
                  <w:rPr>
                    <w:noProof/>
                    <w:webHidden/>
                  </w:rPr>
                  <w:fldChar w:fldCharType="begin"/>
                </w:r>
                <w:r w:rsidR="00C92BA0">
                  <w:rPr>
                    <w:noProof/>
                    <w:webHidden/>
                  </w:rPr>
                  <w:instrText xml:space="preserve"> PAGEREF _Toc168655819 \h </w:instrText>
                </w:r>
                <w:r w:rsidR="00C92BA0">
                  <w:rPr>
                    <w:noProof/>
                    <w:webHidden/>
                  </w:rPr>
                </w:r>
                <w:r w:rsidR="00C92BA0">
                  <w:rPr>
                    <w:noProof/>
                    <w:webHidden/>
                  </w:rPr>
                  <w:fldChar w:fldCharType="separate"/>
                </w:r>
                <w:r w:rsidR="00A4070E">
                  <w:rPr>
                    <w:noProof/>
                    <w:webHidden/>
                  </w:rPr>
                  <w:t>26</w:t>
                </w:r>
                <w:r w:rsidR="00C92BA0">
                  <w:rPr>
                    <w:noProof/>
                    <w:webHidden/>
                  </w:rPr>
                  <w:fldChar w:fldCharType="end"/>
                </w:r>
              </w:hyperlink>
            </w:p>
            <w:p w14:paraId="3DF51B0E" w14:textId="3BB9E014"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20" w:history="1">
                <w:r w:rsidR="00C92BA0" w:rsidRPr="00DB5153">
                  <w:rPr>
                    <w:rStyle w:val="Hyperlink"/>
                    <w:noProof/>
                  </w:rPr>
                  <w:t>4. Reforming the social support system</w:t>
                </w:r>
                <w:r w:rsidR="00C92BA0">
                  <w:rPr>
                    <w:noProof/>
                    <w:webHidden/>
                  </w:rPr>
                  <w:tab/>
                </w:r>
                <w:r w:rsidR="00C92BA0">
                  <w:rPr>
                    <w:noProof/>
                    <w:webHidden/>
                  </w:rPr>
                  <w:fldChar w:fldCharType="begin"/>
                </w:r>
                <w:r w:rsidR="00C92BA0">
                  <w:rPr>
                    <w:noProof/>
                    <w:webHidden/>
                  </w:rPr>
                  <w:instrText xml:space="preserve"> PAGEREF _Toc168655820 \h </w:instrText>
                </w:r>
                <w:r w:rsidR="00C92BA0">
                  <w:rPr>
                    <w:noProof/>
                    <w:webHidden/>
                  </w:rPr>
                </w:r>
                <w:r w:rsidR="00C92BA0">
                  <w:rPr>
                    <w:noProof/>
                    <w:webHidden/>
                  </w:rPr>
                  <w:fldChar w:fldCharType="separate"/>
                </w:r>
                <w:r w:rsidR="00A4070E">
                  <w:rPr>
                    <w:noProof/>
                    <w:webHidden/>
                  </w:rPr>
                  <w:t>29</w:t>
                </w:r>
                <w:r w:rsidR="00C92BA0">
                  <w:rPr>
                    <w:noProof/>
                    <w:webHidden/>
                  </w:rPr>
                  <w:fldChar w:fldCharType="end"/>
                </w:r>
              </w:hyperlink>
            </w:p>
            <w:p w14:paraId="7F1BCA17" w14:textId="0A5966F9"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21" w:history="1">
                <w:r w:rsidR="00C92BA0" w:rsidRPr="00DB5153">
                  <w:rPr>
                    <w:rStyle w:val="Hyperlink"/>
                    <w:noProof/>
                  </w:rPr>
                  <w:t>5. Conclusion</w:t>
                </w:r>
                <w:r w:rsidR="00C92BA0">
                  <w:rPr>
                    <w:noProof/>
                    <w:webHidden/>
                  </w:rPr>
                  <w:tab/>
                </w:r>
                <w:r w:rsidR="00C92BA0">
                  <w:rPr>
                    <w:noProof/>
                    <w:webHidden/>
                  </w:rPr>
                  <w:fldChar w:fldCharType="begin"/>
                </w:r>
                <w:r w:rsidR="00C92BA0">
                  <w:rPr>
                    <w:noProof/>
                    <w:webHidden/>
                  </w:rPr>
                  <w:instrText xml:space="preserve"> PAGEREF _Toc168655821 \h </w:instrText>
                </w:r>
                <w:r w:rsidR="00C92BA0">
                  <w:rPr>
                    <w:noProof/>
                    <w:webHidden/>
                  </w:rPr>
                </w:r>
                <w:r w:rsidR="00C92BA0">
                  <w:rPr>
                    <w:noProof/>
                    <w:webHidden/>
                  </w:rPr>
                  <w:fldChar w:fldCharType="separate"/>
                </w:r>
                <w:r w:rsidR="00A4070E">
                  <w:rPr>
                    <w:noProof/>
                    <w:webHidden/>
                  </w:rPr>
                  <w:t>36</w:t>
                </w:r>
                <w:r w:rsidR="00C92BA0">
                  <w:rPr>
                    <w:noProof/>
                    <w:webHidden/>
                  </w:rPr>
                  <w:fldChar w:fldCharType="end"/>
                </w:r>
              </w:hyperlink>
            </w:p>
            <w:p w14:paraId="6824D023" w14:textId="25C2532D" w:rsidR="00C92BA0" w:rsidRDefault="00AC16AD">
              <w:pPr>
                <w:pStyle w:val="TOC3"/>
                <w:tabs>
                  <w:tab w:val="right" w:leader="dot" w:pos="9016"/>
                </w:tabs>
                <w:rPr>
                  <w:rFonts w:asciiTheme="minorHAnsi" w:eastAsiaTheme="minorEastAsia" w:hAnsiTheme="minorHAnsi" w:cstheme="minorBidi"/>
                  <w:noProof/>
                  <w:kern w:val="2"/>
                  <w:sz w:val="24"/>
                  <w:szCs w:val="30"/>
                  <w:lang w:eastAsia="zh-CN" w:bidi="th-TH"/>
                  <w14:ligatures w14:val="standardContextual"/>
                </w:rPr>
              </w:pPr>
              <w:hyperlink w:anchor="_Toc168655822" w:history="1">
                <w:r w:rsidR="00C92BA0" w:rsidRPr="00DB5153">
                  <w:rPr>
                    <w:rStyle w:val="Hyperlink"/>
                    <w:noProof/>
                  </w:rPr>
                  <w:t>6. Endnotes</w:t>
                </w:r>
                <w:r w:rsidR="00C92BA0">
                  <w:rPr>
                    <w:noProof/>
                    <w:webHidden/>
                  </w:rPr>
                  <w:tab/>
                </w:r>
                <w:r w:rsidR="00C92BA0">
                  <w:rPr>
                    <w:noProof/>
                    <w:webHidden/>
                  </w:rPr>
                  <w:fldChar w:fldCharType="begin"/>
                </w:r>
                <w:r w:rsidR="00C92BA0">
                  <w:rPr>
                    <w:noProof/>
                    <w:webHidden/>
                  </w:rPr>
                  <w:instrText xml:space="preserve"> PAGEREF _Toc168655822 \h </w:instrText>
                </w:r>
                <w:r w:rsidR="00C92BA0">
                  <w:rPr>
                    <w:noProof/>
                    <w:webHidden/>
                  </w:rPr>
                </w:r>
                <w:r w:rsidR="00C92BA0">
                  <w:rPr>
                    <w:noProof/>
                    <w:webHidden/>
                  </w:rPr>
                  <w:fldChar w:fldCharType="separate"/>
                </w:r>
                <w:r w:rsidR="00A4070E">
                  <w:rPr>
                    <w:noProof/>
                    <w:webHidden/>
                  </w:rPr>
                  <w:t>37</w:t>
                </w:r>
                <w:r w:rsidR="00C92BA0">
                  <w:rPr>
                    <w:noProof/>
                    <w:webHidden/>
                  </w:rPr>
                  <w:fldChar w:fldCharType="end"/>
                </w:r>
              </w:hyperlink>
            </w:p>
            <w:p w14:paraId="5C2BE8FB" w14:textId="6751AB40" w:rsidR="006C5971" w:rsidRDefault="00AB7641" w:rsidP="00DE430B">
              <w:r w:rsidRPr="0023468C">
                <w:rPr>
                  <w:b/>
                  <w:bCs/>
                  <w:noProof/>
                </w:rPr>
                <w:fldChar w:fldCharType="end"/>
              </w:r>
            </w:p>
          </w:sdtContent>
        </w:sdt>
      </w:sdtContent>
    </w:sdt>
    <w:p w14:paraId="25613E0D" w14:textId="77777777" w:rsidR="008C7AC8" w:rsidRDefault="008C7AC8">
      <w:pPr>
        <w:spacing w:before="0" w:after="160" w:line="259" w:lineRule="auto"/>
        <w:rPr>
          <w:rFonts w:ascii="Futura-Medium" w:eastAsiaTheme="majorEastAsia" w:hAnsi="Futura-Medium" w:cstheme="majorBidi"/>
          <w:caps/>
          <w:color w:val="7030A0"/>
          <w:sz w:val="44"/>
          <w:szCs w:val="40"/>
        </w:rPr>
      </w:pPr>
      <w:bookmarkStart w:id="6" w:name="_Toc166172079"/>
      <w:r>
        <w:br w:type="page"/>
      </w:r>
    </w:p>
    <w:p w14:paraId="49A8D126" w14:textId="2F7B39B2" w:rsidR="00C561BB" w:rsidRDefault="00C561BB" w:rsidP="00C561BB">
      <w:pPr>
        <w:pStyle w:val="Heading1"/>
      </w:pPr>
      <w:bookmarkStart w:id="7" w:name="_Toc168655806"/>
      <w:r>
        <w:lastRenderedPageBreak/>
        <w:t>Introduction</w:t>
      </w:r>
      <w:bookmarkEnd w:id="6"/>
      <w:bookmarkEnd w:id="7"/>
    </w:p>
    <w:p w14:paraId="6C6C6C0E" w14:textId="77777777" w:rsidR="00C561BB" w:rsidRPr="006E7896" w:rsidRDefault="00C561BB" w:rsidP="006E7896">
      <w:r w:rsidRPr="006E7896">
        <w:t>We welcome the opportunity to provide a submission to the Legislative Assembly for the Australian Capital Territory (‘ACT’) Inquiry into unpaid work and acknowledge the important</w:t>
      </w:r>
      <w:r>
        <w:t xml:space="preserve"> work of the ACT Government in understanding the impacts and breadth of unpaid work performed across the ACT. We see this Inquiry as an important means to recognise forms of unpaid work that are often unacknowledged and unremunerated, despite taking place as fundamental to the functioning of families and communities. We hope this Inquiry acknowledges the breadth of unpaid work, particularly for Aboriginal and Torres Strait Islander women and girls, as well as individuals with diverse lived experiences, abilities and backgrounds. As such, it is important that a place-based and </w:t>
      </w:r>
      <w:r w:rsidRPr="006E7896">
        <w:t>community-focused approach is taken to responding to and supporting those with unpaid work responsibilities.</w:t>
      </w:r>
    </w:p>
    <w:p w14:paraId="167A3958" w14:textId="3D1E9623" w:rsidR="00C561BB" w:rsidRDefault="00C561BB" w:rsidP="006E7896">
      <w:r w:rsidRPr="006E7896">
        <w:t>This submission will centre on the unique and diverse unpaid work provided by Aboriginal</w:t>
      </w:r>
      <w:r>
        <w:t xml:space="preserve"> and Torres Strait Islander women and girls. It draws on the Australian Human Rights Commission’s submission to the Draft National Care and Support Economy Strategy (2023)</w:t>
      </w:r>
      <w:r>
        <w:rPr>
          <w:rStyle w:val="FootnoteReference"/>
        </w:rPr>
        <w:footnoteReference w:id="2"/>
      </w:r>
      <w:r>
        <w:t xml:space="preserve"> (‘AHRC Submission’) and the Australian National University’s </w:t>
      </w:r>
      <w:hyperlink r:id="rId16" w:history="1">
        <w:r w:rsidRPr="00297B90">
          <w:rPr>
            <w:rStyle w:val="Hyperlink"/>
            <w:rFonts w:eastAsiaTheme="majorEastAsia"/>
          </w:rPr>
          <w:t xml:space="preserve">Caring about Care </w:t>
        </w:r>
        <w:r>
          <w:rPr>
            <w:rStyle w:val="Hyperlink"/>
            <w:rFonts w:eastAsiaTheme="majorEastAsia"/>
          </w:rPr>
          <w:t>R</w:t>
        </w:r>
        <w:r w:rsidRPr="00297B90">
          <w:rPr>
            <w:rStyle w:val="Hyperlink"/>
            <w:rFonts w:eastAsiaTheme="majorEastAsia"/>
          </w:rPr>
          <w:t>eport</w:t>
        </w:r>
      </w:hyperlink>
      <w:r>
        <w:t xml:space="preserve"> (2024) (‘ANU Research’). This submission quotes and paraphrases from these sources. The ANU research was conducted in partnership with Aboriginal organisations in five sites across Australia including the ACT</w:t>
      </w:r>
      <w:r w:rsidR="00351B83">
        <w:t>.</w:t>
      </w:r>
      <w:r>
        <w:t xml:space="preserve"> </w:t>
      </w:r>
      <w:r>
        <w:rPr>
          <w:rStyle w:val="FootnoteReference"/>
        </w:rPr>
        <w:footnoteReference w:id="3"/>
      </w:r>
    </w:p>
    <w:p w14:paraId="69F699F1" w14:textId="77777777" w:rsidR="00C561BB" w:rsidRDefault="00C561BB" w:rsidP="00C561BB">
      <w:r>
        <w:t xml:space="preserve">This submission also draws on discussions of unpaid care in the </w:t>
      </w:r>
      <w:hyperlink r:id="rId17" w:history="1">
        <w:r w:rsidRPr="00297B90">
          <w:rPr>
            <w:rStyle w:val="Hyperlink"/>
            <w:rFonts w:eastAsiaTheme="majorEastAsia"/>
          </w:rPr>
          <w:t>Wiyi Yani U Thangani Report</w:t>
        </w:r>
      </w:hyperlink>
      <w:r>
        <w:t xml:space="preserve"> (2020), </w:t>
      </w:r>
      <w:hyperlink r:id="rId18" w:history="1">
        <w:r w:rsidRPr="00297B90">
          <w:rPr>
            <w:rStyle w:val="Hyperlink"/>
            <w:rFonts w:eastAsiaTheme="majorEastAsia"/>
          </w:rPr>
          <w:t>Implementation Framework</w:t>
        </w:r>
      </w:hyperlink>
      <w:r>
        <w:t xml:space="preserve"> (2022), and </w:t>
      </w:r>
      <w:hyperlink r:id="rId19" w:history="1">
        <w:r w:rsidRPr="007470FF">
          <w:rPr>
            <w:rStyle w:val="Hyperlink"/>
            <w:rFonts w:eastAsiaTheme="majorEastAsia"/>
          </w:rPr>
          <w:t>Change Agenda for First Nations Gender Justice</w:t>
        </w:r>
      </w:hyperlink>
      <w:r>
        <w:t xml:space="preserve"> (2024), which were each developed through direct and ongoing engagement with Aboriginal and Torres Strait Islander women, girls and gender-diverse mob.</w:t>
      </w:r>
      <w:r w:rsidRPr="00427C57">
        <w:t xml:space="preserve"> </w:t>
      </w:r>
      <w:r>
        <w:t>We encourage consideration of the recommendations provided in these documents.</w:t>
      </w:r>
    </w:p>
    <w:p w14:paraId="347C9C80" w14:textId="77777777" w:rsidR="00C561BB" w:rsidRDefault="00C561BB" w:rsidP="00C561BB">
      <w:r w:rsidRPr="00634CC7">
        <w:t>Recognising the value and extent of</w:t>
      </w:r>
      <w:r>
        <w:t xml:space="preserve"> unpaid work, hereafter referred to as unpaid</w:t>
      </w:r>
      <w:r w:rsidRPr="00634CC7">
        <w:t xml:space="preserve"> care</w:t>
      </w:r>
      <w:r>
        <w:t xml:space="preserve">, </w:t>
      </w:r>
      <w:r w:rsidRPr="00634CC7">
        <w:t xml:space="preserve">performed by </w:t>
      </w:r>
      <w:r>
        <w:t>Aboriginal and Torres Strait Islander</w:t>
      </w:r>
      <w:r w:rsidRPr="00634CC7">
        <w:t xml:space="preserve"> women and girls is central to the Wiyi Yani U Thangani project. </w:t>
      </w:r>
      <w:r>
        <w:t>Women and girls</w:t>
      </w:r>
      <w:r w:rsidRPr="00634CC7">
        <w:t xml:space="preserve"> carry knowledge about sustaining existence, they do the backbone work of society – caring for children, family and Country – and are at the forefront of driving economic and social change. Recognising this economy of care</w:t>
      </w:r>
      <w:r>
        <w:t>, which is largely invisible and unpaid,</w:t>
      </w:r>
      <w:r w:rsidRPr="00634CC7">
        <w:t xml:space="preserve"> and investing in the services, goods and resources to ensure women are supported, healthy and self-determined, is vital to advancing societal health and wellbeing.</w:t>
      </w:r>
    </w:p>
    <w:p w14:paraId="2B8CAE32" w14:textId="77777777" w:rsidR="00C561BB" w:rsidRDefault="00C561BB" w:rsidP="00C561BB">
      <w:r>
        <w:t xml:space="preserve">In using a First Nations gender lens, this submission, therefore, not only responds to ‘unpaid care work’ as expressed in the terms of reference but also to parental and familial work, volunteering and other forms of unpaid work that extend beyond mainstream western definitions of ‘care’ and ‘work’. This will be defined in the following sections, including an exploration of the dynamics between unpaid and paid work. The </w:t>
      </w:r>
      <w:r>
        <w:lastRenderedPageBreak/>
        <w:t xml:space="preserve">submission will then respond to the </w:t>
      </w:r>
      <w:hyperlink r:id="rId20" w:history="1">
        <w:r w:rsidRPr="00A613FB">
          <w:rPr>
            <w:rStyle w:val="Hyperlink"/>
            <w:rFonts w:eastAsiaTheme="majorEastAsia"/>
          </w:rPr>
          <w:t>ACT  Wellbeing Framework</w:t>
        </w:r>
      </w:hyperlink>
      <w:r>
        <w:t>, and discuss opportunities to address unpaid care performed by Aboriginal and Torres Strait Islander women and girls. Challenges faced by unpaid carers are threaded throughout the submission.</w:t>
      </w:r>
    </w:p>
    <w:p w14:paraId="39F85EBC" w14:textId="77777777" w:rsidR="008C7AC8" w:rsidRDefault="008C7AC8" w:rsidP="008C7AC8">
      <w:r w:rsidRPr="00634CC7">
        <w:t xml:space="preserve">It is critical that </w:t>
      </w:r>
      <w:r>
        <w:t>this Inquiry</w:t>
      </w:r>
      <w:r w:rsidRPr="00634CC7">
        <w:t xml:space="preserve"> recognise</w:t>
      </w:r>
      <w:r>
        <w:t>s</w:t>
      </w:r>
      <w:r w:rsidRPr="00634CC7">
        <w:t xml:space="preserve"> the true scope and complexity of care through a First Nations </w:t>
      </w:r>
      <w:r>
        <w:t>gender</w:t>
      </w:r>
      <w:r w:rsidRPr="00634CC7">
        <w:t xml:space="preserve"> lens so that unpaid care can be accurately measured and adequately funded</w:t>
      </w:r>
      <w:r>
        <w:t xml:space="preserve"> and supported</w:t>
      </w:r>
      <w:r w:rsidRPr="00634CC7">
        <w:t>.</w:t>
      </w:r>
      <w:r>
        <w:t xml:space="preserve"> Getting this right has a direct impact on Aboriginal and Torres Strait Islander women and their communities.</w:t>
      </w:r>
      <w:r w:rsidRPr="00634CC7">
        <w:t xml:space="preserve"> </w:t>
      </w:r>
      <w:r>
        <w:t xml:space="preserve">Alongside the ACT Government’s Wellbeing Framework, we hope that action will </w:t>
      </w:r>
      <w:r w:rsidRPr="00634CC7">
        <w:t xml:space="preserve">emerge to truly value </w:t>
      </w:r>
      <w:r>
        <w:t xml:space="preserve">and support </w:t>
      </w:r>
      <w:r w:rsidRPr="00634CC7">
        <w:t>the full extent of care work</w:t>
      </w:r>
      <w:r>
        <w:t>. This work must take place alongside system reforms that e</w:t>
      </w:r>
      <w:r w:rsidRPr="00634CC7">
        <w:t xml:space="preserve">nd </w:t>
      </w:r>
      <w:r>
        <w:t>harmful and punitive systems, which cause trauma to individuals and families increasing the burden of trauma -related care work for those in recognised and unrecognised caring roles.</w:t>
      </w:r>
    </w:p>
    <w:p w14:paraId="08572027" w14:textId="77777777" w:rsidR="008C7AC8" w:rsidRDefault="008C7AC8" w:rsidP="008C7AC8">
      <w:pPr>
        <w:pStyle w:val="Heading1"/>
      </w:pPr>
      <w:bookmarkStart w:id="8" w:name="_Toc166172080"/>
      <w:bookmarkStart w:id="9" w:name="_Toc168655807"/>
      <w:r>
        <w:t>The economic contribution of care and dynamic between paid and unpaid work</w:t>
      </w:r>
      <w:bookmarkEnd w:id="8"/>
      <w:bookmarkEnd w:id="9"/>
    </w:p>
    <w:p w14:paraId="11792115" w14:textId="77777777" w:rsidR="008C7AC8" w:rsidRDefault="008C7AC8" w:rsidP="008C7AC8">
      <w:pPr>
        <w:pStyle w:val="Heading2"/>
      </w:pPr>
      <w:bookmarkStart w:id="10" w:name="_Toc166172081"/>
      <w:bookmarkStart w:id="11" w:name="_Toc168655808"/>
      <w:r>
        <w:t>Defining unpaid care work</w:t>
      </w:r>
      <w:bookmarkEnd w:id="10"/>
      <w:bookmarkEnd w:id="11"/>
    </w:p>
    <w:p w14:paraId="6EF6DCD8" w14:textId="77777777" w:rsidR="008C7AC8" w:rsidRPr="006E7896" w:rsidRDefault="008C7AC8" w:rsidP="006E7896">
      <w:r w:rsidRPr="006E7896">
        <w:t xml:space="preserve">To adequately understand the economic contribution of unpaid work, it is important to acknowledge and expand this definition to include the full spectrum of care work provided by Aboriginal and Torres Strait Islander women and girls, including care for community, kin and Country. </w:t>
      </w:r>
    </w:p>
    <w:p w14:paraId="0F834FD8" w14:textId="77777777" w:rsidR="008C7AC8" w:rsidRPr="006E7896" w:rsidRDefault="008C7AC8" w:rsidP="006E7896">
      <w:r w:rsidRPr="006E7896">
        <w:t xml:space="preserve">First Nations conceptions of care and support are far more holistic and intersectional than what is traditionally considered care and support in the western world. The term ‘collective care’ is used to describe the shared responsibility of caring for family, community, and Country, and signifies that the act of care is a means to intergenerationally transfer knowledge and culture. In this way, care and support  not only exist within the formal paid economy but also encompass culturally grounded practices and customs that enable communities to be safe, happy and connected through kinship and Country. In many ways, care is treated as an ethic or value that is held by community to give and receive love, kindness and support, rather than an obligation or occupation. </w:t>
      </w:r>
    </w:p>
    <w:p w14:paraId="3B9AD13C" w14:textId="77777777" w:rsidR="008C7AC8" w:rsidRPr="006E7896" w:rsidRDefault="008C7AC8" w:rsidP="006E7896">
      <w:r w:rsidRPr="006E7896">
        <w:t>In addition to person-centred care, caring for Country is a vital economic practice threaded through practices of culture and knowledge sharing. That is, care work is a ‘glue’ that connects everything in perpetuity, guards against exploitative capitalism, and creates the conditions for empowered, thriving and healthy people and communities leading to strong economies.</w:t>
      </w:r>
    </w:p>
    <w:p w14:paraId="3D59B460" w14:textId="77777777" w:rsidR="008C7AC8" w:rsidRDefault="008C7AC8" w:rsidP="006E7896">
      <w:r w:rsidRPr="006E7896">
        <w:t xml:space="preserve">There is limited published research into collective care beyond Indigenous scholars, reflecting the invisibility of Aboriginal and Torres Strait Islander peoples’ experiences, </w:t>
      </w:r>
      <w:r w:rsidRPr="006E7896">
        <w:lastRenderedPageBreak/>
        <w:t xml:space="preserve">knowledge and values in the mainstream arena. There is also a dramatic inadequacy of </w:t>
      </w:r>
      <w:r>
        <w:t>mainstream measures and policies to understand and support care provided by and received by Aboriginal and Torres Strait Islander peoples. Significantly, experiences within formal, paid care services are not a key theme in Wiyi Yani U Thangani consultations – which were open-ended and led by the women who participated – whereas informal collective care was a major theme and central to women’s lived experiences. This reflects the extent to which Aboriginal and Torres Strait Islander women’s experiences of providing care fall outside, or are marginalised, by the mainstream formal economy. The systemic invisibility of this reality means that care work is experienced predominantly as unpaid labour with insufficient social and economic support from formal systems.</w:t>
      </w:r>
      <w:r w:rsidRPr="00592A14">
        <w:t xml:space="preserve"> </w:t>
      </w:r>
    </w:p>
    <w:p w14:paraId="32698595" w14:textId="77777777" w:rsidR="008C7AC8" w:rsidRDefault="008C7AC8" w:rsidP="008C7AC8">
      <w:pPr>
        <w:pStyle w:val="Heading2"/>
      </w:pPr>
      <w:bookmarkStart w:id="12" w:name="_Toc166172082"/>
      <w:bookmarkStart w:id="13" w:name="_Toc168655809"/>
      <w:r>
        <w:t>The intersection between paid and unpaid care work</w:t>
      </w:r>
      <w:bookmarkEnd w:id="12"/>
      <w:bookmarkEnd w:id="13"/>
    </w:p>
    <w:p w14:paraId="15366EC9" w14:textId="77777777" w:rsidR="008C7AC8" w:rsidRDefault="008C7AC8" w:rsidP="008C7AC8">
      <w:r>
        <w:t xml:space="preserve">Informal collective care is recognised as a productive and creative industry of workers, albeit, without economic security, remuneration or protection, that has a significant role in shaping and strengthening how society functions. However, this economy can only function sustainably as long as those undertaking the responsibility are without burden or harm. </w:t>
      </w:r>
    </w:p>
    <w:p w14:paraId="6444DDB3" w14:textId="6595A21B" w:rsidR="008C7AC8" w:rsidRDefault="008C7AC8" w:rsidP="008C7AC8">
      <w:r>
        <w:t>The ongoing and historical impacts of colonisation has and continues to create intergenerational trauma, lateral violence, state incarceration, removal of children by the state and challenges accessing the formal care sector. Intertwined with racism, discrimination and gender inequalities embedded within mainstream systems and service delivery has forced Aboriginal and Torres Strait Islander women to take on complex and heavy care loads</w:t>
      </w:r>
      <w:r w:rsidR="00351B83">
        <w:t>.</w:t>
      </w:r>
      <w:r>
        <w:rPr>
          <w:rStyle w:val="FootnoteReference"/>
        </w:rPr>
        <w:footnoteReference w:id="4"/>
      </w:r>
      <w:r>
        <w:t xml:space="preserve"> This has made accessing supports for care extremely difficult, and maintains harm, exclusion and insecurity.</w:t>
      </w:r>
    </w:p>
    <w:p w14:paraId="40F9FD36" w14:textId="77777777" w:rsidR="008C7AC8" w:rsidRDefault="008C7AC8" w:rsidP="008C7AC8">
      <w:r>
        <w:t xml:space="preserve">The ANU Research </w:t>
      </w:r>
      <w:r w:rsidRPr="00427C57">
        <w:t xml:space="preserve">noted that state institutions set up to ‘care’ are often uncaring and may be violent. This damage, as well as the ongoing impacts of harmful state responses, requires </w:t>
      </w:r>
      <w:r>
        <w:t>Aboriginal and Torres Strait Islander</w:t>
      </w:r>
      <w:r w:rsidRPr="00427C57">
        <w:t xml:space="preserve"> people’s care to heal, adding extra demands on existing care loads. As a result, many of the women interviewed in </w:t>
      </w:r>
      <w:r>
        <w:t>the ANU</w:t>
      </w:r>
      <w:r w:rsidRPr="00427C57">
        <w:t xml:space="preserve"> </w:t>
      </w:r>
      <w:r>
        <w:t>Research</w:t>
      </w:r>
      <w:r w:rsidRPr="00427C57">
        <w:t xml:space="preserve"> were tired and often, carers needed care too. Some were in, or had been through, periods of utter exhaustion and illness due to trying to carry the stressful care load they had. Most had little or no time to themselves, to have a break from the caring work they do or have a holiday without needing to care for others while they did.</w:t>
      </w:r>
      <w:r>
        <w:t xml:space="preserve"> State program and policies that are meant to support unpaid care work are inadequate and often work against Aboriginal and Torres Strait Islander women’s care work – for example the punitive nature of the social security system impoverishes women, further adding to their stress and exhaustion. </w:t>
      </w:r>
    </w:p>
    <w:p w14:paraId="5173CAA5" w14:textId="77777777" w:rsidR="008C7AC8" w:rsidRDefault="008C7AC8" w:rsidP="008C7AC8">
      <w:r>
        <w:t xml:space="preserve">As described in the Wiyi Yani U Thangani Report, without acknowledging the impacts of colonisation that maintain structures of powerlessness, governments will indefinitely </w:t>
      </w:r>
      <w:r>
        <w:lastRenderedPageBreak/>
        <w:t>respond to these issues as crisis demanding interventions viewed as the fault of Aboriginal and Torres Strait Islander communities alone without a cause.</w:t>
      </w:r>
      <w:r>
        <w:rPr>
          <w:rStyle w:val="FootnoteReference"/>
        </w:rPr>
        <w:footnoteReference w:id="5"/>
      </w:r>
      <w:r>
        <w:t xml:space="preserve"> This maintains the invisibility of women’s experiences and voices, and a feedback loop of ongoing harm that requires women to take on a lion’s share of care work, above and beyond communities that do not receive the brunt of colonisation’s harm.</w:t>
      </w:r>
      <w:r w:rsidRPr="00C15D56">
        <w:t xml:space="preserve"> </w:t>
      </w:r>
      <w:r>
        <w:t>The impacts of colonisation creating higher care loads was particularly a theme in the ANU research from interviews of Aboriginal and Torres Strait Islander women in the ACT. These findings are described in the following section.</w:t>
      </w:r>
    </w:p>
    <w:p w14:paraId="62320776" w14:textId="77777777" w:rsidR="008C7AC8" w:rsidRPr="008D570A" w:rsidRDefault="008C7AC8" w:rsidP="008C7AC8">
      <w:r>
        <w:t>Additionally, many Aboriginal and Torres Strait Islander carers work across both the informal and formal economy, causing further care loads on top of their paid care employment to support the needs of family and communities, again often at the detriment of their wellbeing.</w:t>
      </w:r>
      <w:r w:rsidRPr="00D93E1C">
        <w:t xml:space="preserve"> </w:t>
      </w:r>
      <w:r>
        <w:t>Often balancing these roles comes at a significant wellbeing and financial cost. For example, the ANU Research points to several studies, including Hunter et. al (2016), which state that those providing the most care to persons with disability were more likely to be in parttime (rather than full-time) employment. Furthermore, Hunter et.al (2016) also note that, ‘Indigenous women with caring responsibilities have an employment rate of 41%, lower than the employment rate of 48% for those [Indigenous women] without caring responsibilities’. This, of course, has flow-on effects for reducing overall incomes of carers. Data from Carers NSW referred to in the ANU Research states that 70.5% of formally registered Indigenous carers involved in the study experienced financial stress, and 29.5% experienced severe financial stress.</w:t>
      </w:r>
    </w:p>
    <w:p w14:paraId="34552CCF" w14:textId="77777777" w:rsidR="008C7AC8" w:rsidRDefault="008C7AC8" w:rsidP="008C7AC8">
      <w:r>
        <w:t>For many of the participants in the ANU Research, care was central to their paid work roles as well as the unpaid care work they did outside of employment. Specifically, most of the women in paid employment in the study had roles in the community sector which put them at the frontline of caring for community. They saw this work as part of their broader commitment to supporting their families, communities and advancing Aboriginal and Torres Strait Islander peoples. It is therefore hard to draw a line for these women between paid and unpaid work.</w:t>
      </w:r>
    </w:p>
    <w:p w14:paraId="42A4CD1A" w14:textId="77777777" w:rsidR="008C7AC8" w:rsidRDefault="008C7AC8" w:rsidP="008C7AC8">
      <w:pPr>
        <w:spacing w:before="0"/>
      </w:pPr>
      <w:r>
        <w:t xml:space="preserve">The ANU research follows other research (see Bargallie et al., 2023), to argue that a shift to supporting the role of unpaid care is critical in understanding and supporting Aboriginal and Torres Strait Islander women in paid employment. Government policy has a limited understanding of work, and focused on getting more Aboriginal and Torres Strait Islander carers into paid care jobs, however, this will not transform the situation for these women unless the importance of unpaid care is appreciated and supported as critical and important work too. Government policy needs to embrace the unpaid work that Aboriginal and Torres Strait Islander women undertake, and policy needs to support the work they are </w:t>
      </w:r>
      <w:r w:rsidRPr="00972BFD">
        <w:rPr>
          <w:i/>
          <w:iCs/>
        </w:rPr>
        <w:t>already</w:t>
      </w:r>
      <w:r>
        <w:t xml:space="preserve"> doing. This will require a policy shift – moving from seeing unpaid care as a burden to seeing it as a form of strength and </w:t>
      </w:r>
      <w:r>
        <w:lastRenderedPageBreak/>
        <w:t>cultural importance that has its own value. It will also require a deep commitment to decolonisation, and financially supporting Indigenous-controlled organisations.</w:t>
      </w:r>
      <w:r w:rsidRPr="00951435">
        <w:t xml:space="preserve"> </w:t>
      </w:r>
    </w:p>
    <w:p w14:paraId="475D385C" w14:textId="4F1EFF1F" w:rsidR="008C7AC8" w:rsidRDefault="008C7AC8" w:rsidP="008C7AC8">
      <w:r w:rsidRPr="00115774">
        <w:t>To adequately capture this understanding of care, work needs to take place immediatel</w:t>
      </w:r>
      <w:r>
        <w:t xml:space="preserve">y. </w:t>
      </w:r>
      <w:r w:rsidRPr="00115774">
        <w:t xml:space="preserve">Key to this change is </w:t>
      </w:r>
      <w:r>
        <w:t>developing tools and strategies to accurately measure unpaid care work, shifting policy and legislation to broaden their definitions of care, and responding to the systemic challenges faced by unpaid carers through a place-based and community-centred lens.</w:t>
      </w:r>
    </w:p>
    <w:p w14:paraId="5E47FA0F" w14:textId="77777777" w:rsidR="008C7AC8" w:rsidRDefault="008C7AC8" w:rsidP="008C7AC8">
      <w:pPr>
        <w:pStyle w:val="Heading2"/>
      </w:pPr>
      <w:bookmarkStart w:id="14" w:name="_Toc166172083"/>
      <w:bookmarkStart w:id="15" w:name="_Toc168655810"/>
      <w:r>
        <w:t>The economic contribution of care work</w:t>
      </w:r>
      <w:bookmarkEnd w:id="14"/>
      <w:bookmarkEnd w:id="15"/>
    </w:p>
    <w:p w14:paraId="0A510D16" w14:textId="77777777" w:rsidR="008C7AC8" w:rsidRDefault="008C7AC8" w:rsidP="008C7AC8">
      <w:r>
        <w:t>Far from being peripheral to the economy, what Aboriginal and Torres Strait Islander women tell us is that care underpins everything. It is an ethic, a way of life, and is essential to the flourishing of human societies. Care is at the heart of any economic system, and the monetised part of the economy cannot be sustained without the underpinning care of Country, culture and people. The Aboriginal and Torres Strait Islander caring economy is holistic, relational, and fundamental to Aboriginal wellbeing. A focus on supporting care work in all its manifestations must be central in healing Aboriginal and Torres Strait Islander families and communities to enable them to flourish.</w:t>
      </w:r>
    </w:p>
    <w:p w14:paraId="626FAD3A" w14:textId="64934CA9" w:rsidR="008C7AC8" w:rsidRDefault="008C7AC8" w:rsidP="008C7AC8">
      <w:r>
        <w:t>There is currently no nationally consistent data for measuring the economic value of unpaid work, including the care work provided by Aboriginal and Torres Strait Islander women and girls. This is important because we know that unpaid care is a critical form of social reproduction and essential for the paid economy to exist. Research shows that the</w:t>
      </w:r>
      <w:r w:rsidRPr="005322F5">
        <w:t xml:space="preserve"> monetary value of unpaid care work in Australia has been estimated to be $650.1 billion</w:t>
      </w:r>
      <w:r>
        <w:t xml:space="preserve"> </w:t>
      </w:r>
      <w:r w:rsidR="003631CB">
        <w:t xml:space="preserve">– </w:t>
      </w:r>
      <w:r w:rsidRPr="005322F5">
        <w:t>equivalent to 50.6% of GDP</w:t>
      </w:r>
      <w:r>
        <w:rPr>
          <w:rStyle w:val="FootnoteReference"/>
        </w:rPr>
        <w:footnoteReference w:id="6"/>
      </w:r>
      <w:r w:rsidRPr="005322F5">
        <w:t>.</w:t>
      </w:r>
      <w:r>
        <w:t xml:space="preserve"> However, there has been no study until now that looked at the monetary value of specifically Aboriginal and Torres Strait Islander women’s unpaid care work. This invisibility creates and maintains systems of exploitation and expropriation of Aboriginal and Torres Strait Islander women whereby communities, and the broader economy benefit and generate wealth at a significant social and economic cost to women without reimbursement.</w:t>
      </w:r>
      <w:r w:rsidRPr="003406A5">
        <w:rPr>
          <w:vertAlign w:val="superscript"/>
        </w:rPr>
        <w:footnoteReference w:id="7"/>
      </w:r>
      <w:r w:rsidRPr="003406A5">
        <w:t xml:space="preserve"> </w:t>
      </w:r>
      <w:r>
        <w:t>Lack of measurement and evaluation also contributes to gaps in responding effectively to community needs and policy priorities, as well as poor accountability by governments. The Productivity Commission’s review of the National Agreement on Closing the Gap reflects this failure stating that where evaluations are not taken, they undermine the ability of government to learn, respond to failures and centre Aboriginal and Torres Strait Islander peoples</w:t>
      </w:r>
      <w:r w:rsidR="001341A4">
        <w:t>’</w:t>
      </w:r>
      <w:r>
        <w:t xml:space="preserve"> perspectives, priorities and knowledges.</w:t>
      </w:r>
      <w:r>
        <w:rPr>
          <w:rStyle w:val="FootnoteReference"/>
        </w:rPr>
        <w:footnoteReference w:id="8"/>
      </w:r>
    </w:p>
    <w:p w14:paraId="715578A9" w14:textId="77777777" w:rsidR="008C7AC8" w:rsidRDefault="008C7AC8" w:rsidP="008C7AC8">
      <w:r>
        <w:lastRenderedPageBreak/>
        <w:t>The ANU Research analysis of ABS census data shows that Aboriginal and Torres Strait Islander women do more unpaid work than non-Indigenous women and Indigenous men. This is especially the case for childcare and care of people with disabilities, largely because of the demographic structure and relatively poorer health of Aboriginal and Torres Strait Islander peoples. It is also notable that nationally, 8.6% of Aboriginal and Torres Strait Islander women who themselves had a disability also simultaneously provided unpaid assistance to other people, and 12.1% did voluntary work.</w:t>
      </w:r>
    </w:p>
    <w:p w14:paraId="7702EF7D" w14:textId="04B539F5" w:rsidR="008C7AC8" w:rsidRDefault="008C7AC8" w:rsidP="008C7AC8">
      <w:r>
        <w:t>In addition to Aboriginal and Torres Strait Islander women providing significant volumes of care, care also tends to be taken up at a younger age for Indigenous compared with non-Indigenous groups, which shapes the lives of young Aboriginal and Torres Strait Islander women and girls</w:t>
      </w:r>
      <w:r w:rsidR="001B21F7">
        <w:t>. R</w:t>
      </w:r>
      <w:r>
        <w:t xml:space="preserve">estricting women’s time and resources to engage in other activities comes at a significant detriment to their economic and financial wellbeing, as well as potentially restricting their opportunity to study or </w:t>
      </w:r>
      <w:r w:rsidR="00847CB6">
        <w:t>hold paid</w:t>
      </w:r>
      <w:r>
        <w:t xml:space="preserve"> employment. </w:t>
      </w:r>
    </w:p>
    <w:p w14:paraId="46AA979B" w14:textId="4470EDCE" w:rsidR="008C7AC8" w:rsidRDefault="008C7AC8" w:rsidP="008C7AC8">
      <w:r>
        <w:t>Significant levels of expertise and skill also typify Aboriginal and Torres Strait Islander women’s care work. This is evident in women’s abilities to multitask and tend to complex care work and needs, but also in women’s descriptions of navigating delicate and important relationalities – for example, knowing when to speak</w:t>
      </w:r>
      <w:r w:rsidR="00E70DCF">
        <w:t xml:space="preserve"> and</w:t>
      </w:r>
      <w:r>
        <w:t xml:space="preserve"> act. This expertise is learnt and built across many years and, indeed, also shared across generations. The excellence of Aboriginal and Torres Strait Islander women in their work was very evident in the ANU Research study – those in paid employment were often senior and valued employees, and women undertaking unpaid care work were often critical and highly valued community members asked to sit on boards, volunteer, and to support or lead community initiatives regarding relational and cultural issues. </w:t>
      </w:r>
    </w:p>
    <w:p w14:paraId="1986DF44" w14:textId="77777777" w:rsidR="008C7AC8" w:rsidRDefault="008C7AC8" w:rsidP="008C7AC8">
      <w:r>
        <w:t>The ANU Research used three approaches to estimate how much time Aboriginal and Torres Strait Islander women engaged in care work. The following data shows how significant parts of women’s days are dedicated to unpaid care work, as well as the market value of this unpaid care work :</w:t>
      </w:r>
    </w:p>
    <w:p w14:paraId="662FF1E4" w14:textId="662E00B9" w:rsidR="008C7AC8" w:rsidRDefault="008C7AC8" w:rsidP="00F40E27">
      <w:pPr>
        <w:pStyle w:val="ListParagraph"/>
        <w:numPr>
          <w:ilvl w:val="0"/>
          <w:numId w:val="11"/>
        </w:numPr>
        <w:spacing w:before="120" w:line="264" w:lineRule="auto"/>
      </w:pPr>
      <w:r>
        <w:t>Time-use survey data and qualitative interview data analysis based on 96 research participants for the ANU study found that care activities accounted for, on average, about 62% of our participant women’s time on a usual weekday (i.e. 14.8 hours per day on average), with 48% of their time (i.e. 11.5 hours) taken caring for others and/or caring for Country and culture specifically.</w:t>
      </w:r>
      <w:r w:rsidR="00F40E27">
        <w:br/>
      </w:r>
    </w:p>
    <w:p w14:paraId="585FAEE3" w14:textId="0DDEAA34" w:rsidR="008C7AC8" w:rsidRDefault="008C7AC8" w:rsidP="008C7AC8">
      <w:pPr>
        <w:pStyle w:val="ListParagraph"/>
        <w:numPr>
          <w:ilvl w:val="0"/>
          <w:numId w:val="11"/>
        </w:numPr>
        <w:spacing w:before="120" w:after="0" w:line="264" w:lineRule="auto"/>
      </w:pPr>
      <w:r>
        <w:t>Analysis was undertaken in line with the four Activity Classifications that the ABS uses to group time-use activities.</w:t>
      </w:r>
      <w:r>
        <w:rPr>
          <w:rStyle w:val="FootnoteReference"/>
        </w:rPr>
        <w:footnoteReference w:id="9"/>
      </w:r>
      <w:r>
        <w:t xml:space="preserve"> The study found that women spent most of their time (9.6 hours per day, on average) undertaking what the ABS calls ‘committed activities’, such as domestic work and caregiving, and they had very little free time (3.3 hours per day, on average). Women with paid employment had less free time and spent less time on necessary activities than other women. Participants in the study were also spending more than double the amount of time on committed (care) activities compared to all Australian women, and were often multitasking – caring whilst also undertaking other activities.</w:t>
      </w:r>
      <w:r w:rsidR="00F40E27">
        <w:br/>
      </w:r>
    </w:p>
    <w:p w14:paraId="69C52C5B" w14:textId="77777777" w:rsidR="008C7AC8" w:rsidRDefault="008C7AC8" w:rsidP="008C7AC8">
      <w:pPr>
        <w:pStyle w:val="ListParagraph"/>
        <w:numPr>
          <w:ilvl w:val="0"/>
          <w:numId w:val="11"/>
        </w:numPr>
        <w:spacing w:before="120" w:after="0" w:line="264" w:lineRule="auto"/>
      </w:pPr>
      <w:r>
        <w:t>Lastly, using Federal Award rates for relevant employment categories, the researchers calculated the approximate economic value of the unpaid care work women do (excluding care for self). The researchers did so because (lost) remuneration for this work was raised directly by Aboriginal and Torres Strait Islander women during interviews. The Report estimates that the market value of this labour ranges between $223.01 to $457.39 per day (representing an annual estimated salary of between $81 175.64 to $118 921.40). Notably, these estimates are intended to give a sense of the market value, but do not capture the full extent of labour undertaken. For instance, the estimate fails to account for multitasking, even though large proportions of women reported that they were caring for others while also undertaking the primary activities they reported for this study. This labour is not paid for, despite its incredible contribution to women’s communities and society, and despite it being expropriated by the settler economy. Moreover, despite the high workload carried by women, many of the women included in the study are categorised as ‘unemployed’ and passed off as unproductive by settler policies and measures.</w:t>
      </w:r>
    </w:p>
    <w:p w14:paraId="4C437C7E" w14:textId="77777777" w:rsidR="008C7AC8" w:rsidRDefault="008C7AC8" w:rsidP="008C7AC8">
      <w:r>
        <w:t>The depth, breadth, complexity, and skill of Aboriginal and Torres Strait Islander women’s work, including unpaid care work, calls into question the lenses, measures and frames that have been applied to understanding Indigenous care until now. At best these have been partial. At worst, these have informed deficit discourses that fail to see the sheer volume, skill and importance of the work that Aboriginal and Torres Strait Islander women undertake, while also leaving these crucial contributions desperately under-supported.</w:t>
      </w:r>
    </w:p>
    <w:p w14:paraId="540BDB05" w14:textId="0B51245E" w:rsidR="008C7AC8" w:rsidRDefault="008C7AC8" w:rsidP="008C7AC8">
      <w:r>
        <w:t>Additionally, i</w:t>
      </w:r>
      <w:r w:rsidRPr="00115774">
        <w:t>nvesting in</w:t>
      </w:r>
      <w:r>
        <w:t xml:space="preserve"> </w:t>
      </w:r>
      <w:r w:rsidRPr="00115774">
        <w:t xml:space="preserve">care as a safeguard of human rights presents economic benefits in addition to positive social, cultural and environmental outcomes. Strengthening supports for </w:t>
      </w:r>
      <w:r>
        <w:t xml:space="preserve">women to safely provide care without strain on their social and economic wellbeing </w:t>
      </w:r>
      <w:r w:rsidRPr="00115774">
        <w:t xml:space="preserve">provides greater possibility of realising rights to health, education, safety, and cultural rights, among others. </w:t>
      </w:r>
      <w:r>
        <w:t>A</w:t>
      </w:r>
      <w:r w:rsidRPr="00115774">
        <w:t>dequate measures that alleviate barriers to accessing care promote rights to non-discrimination and equality. The realisation of these rights creates the foundations for a healthy and strong society and economy.</w:t>
      </w:r>
      <w:r>
        <w:t xml:space="preserve"> A</w:t>
      </w:r>
      <w:r w:rsidRPr="00115774">
        <w:t>s Klein</w:t>
      </w:r>
      <w:r>
        <w:t xml:space="preserve"> (2021)</w:t>
      </w:r>
      <w:r w:rsidRPr="00115774">
        <w:t xml:space="preserve"> describes, ‘care is an essential part of life; it grows peoples, nourishes peoples, and no one can live without it’.</w:t>
      </w:r>
      <w:r w:rsidRPr="00115774">
        <w:rPr>
          <w:vertAlign w:val="superscript"/>
        </w:rPr>
        <w:footnoteReference w:id="10"/>
      </w:r>
      <w:r w:rsidRPr="00115774">
        <w:t xml:space="preserve"> We must, therefore, continue to ensure respect for the full spectrum of human rights – which are all interconnected – </w:t>
      </w:r>
      <w:r w:rsidR="00B22D02">
        <w:t>i</w:t>
      </w:r>
      <w:r w:rsidRPr="00115774">
        <w:t xml:space="preserve">n order to create the supportive and enabling environment necessary for every individual to live a dignified life. </w:t>
      </w:r>
    </w:p>
    <w:p w14:paraId="65DE2236" w14:textId="229D87AD" w:rsidR="008C7AC8" w:rsidRDefault="008C7AC8" w:rsidP="008C7AC8">
      <w:r w:rsidRPr="00115774">
        <w:t>When individuals and communities are supported and listened to, they are in turn able to participate in the economy and the economic benefits for all of society are multiple and widespread.</w:t>
      </w:r>
      <w:r w:rsidRPr="00115774">
        <w:rPr>
          <w:vertAlign w:val="superscript"/>
        </w:rPr>
        <w:footnoteReference w:id="11"/>
      </w:r>
      <w:r>
        <w:t xml:space="preserve"> As described by the former Special Rapporteur on Extreme Poverty and Human Rights, Magdalena Sepúlveda Carmona – unpaid care work is ‘major human rights issue’ and one that poses a significant threat to women’s enjoyment of basic human rights the world over.</w:t>
      </w:r>
      <w:r w:rsidRPr="00592A14">
        <w:t xml:space="preserve"> </w:t>
      </w:r>
      <w:r>
        <w:t xml:space="preserve">Further exploration of the connection between human rights and unpaid care is provided in the AHRC submission on page </w:t>
      </w:r>
      <w:r w:rsidRPr="00BC25D8">
        <w:fldChar w:fldCharType="begin"/>
      </w:r>
      <w:r w:rsidRPr="00BC25D8">
        <w:instrText xml:space="preserve"> PAGEREF _Ref166134297 \h </w:instrText>
      </w:r>
      <w:r w:rsidRPr="00BC25D8">
        <w:fldChar w:fldCharType="separate"/>
      </w:r>
      <w:r w:rsidR="00A4070E">
        <w:rPr>
          <w:noProof/>
        </w:rPr>
        <w:t>24</w:t>
      </w:r>
      <w:r w:rsidRPr="00BC25D8">
        <w:fldChar w:fldCharType="end"/>
      </w:r>
      <w:r w:rsidRPr="00BC25D8">
        <w:t>.</w:t>
      </w:r>
    </w:p>
    <w:p w14:paraId="15D351D4" w14:textId="77777777" w:rsidR="008C7AC8" w:rsidRDefault="008C7AC8" w:rsidP="008C7AC8">
      <w:pPr>
        <w:pStyle w:val="Heading2"/>
      </w:pPr>
      <w:bookmarkStart w:id="16" w:name="_Toc166172084"/>
      <w:bookmarkStart w:id="17" w:name="_Toc168655811"/>
      <w:r>
        <w:t>Findings from the Australian Capital Territory</w:t>
      </w:r>
      <w:bookmarkEnd w:id="16"/>
      <w:bookmarkEnd w:id="17"/>
    </w:p>
    <w:p w14:paraId="66F6EE2E" w14:textId="77777777" w:rsidR="008C7AC8" w:rsidRDefault="008C7AC8" w:rsidP="008C7AC8">
      <w:r>
        <w:t>While the volume and type of care work differs across Australia, there are often common themes that are experienced across the continent, such as lack of adequate supports and the influences of colonial violence informing types of care provided (as well as the personal toll on the carer). Despite the ACT being a strong economy with low unemployment, high income and education,</w:t>
      </w:r>
      <w:r>
        <w:rPr>
          <w:rStyle w:val="FootnoteReference"/>
        </w:rPr>
        <w:footnoteReference w:id="12"/>
      </w:r>
      <w:r>
        <w:t xml:space="preserve"> there are many women in unpaid caring roles that continue to fall through the gaps, and are unable to access supports. Findings from the ANU create a context in which unpaid care work takes place in the ACT:</w:t>
      </w:r>
      <w:r>
        <w:rPr>
          <w:rStyle w:val="FootnoteReference"/>
        </w:rPr>
        <w:footnoteReference w:id="13"/>
      </w:r>
    </w:p>
    <w:p w14:paraId="2A1C5572" w14:textId="77777777" w:rsidR="008C7AC8" w:rsidRDefault="008C7AC8" w:rsidP="008C7AC8">
      <w:pPr>
        <w:pStyle w:val="ListParagraph"/>
        <w:numPr>
          <w:ilvl w:val="0"/>
          <w:numId w:val="11"/>
        </w:numPr>
        <w:spacing w:before="120" w:line="264" w:lineRule="auto"/>
      </w:pPr>
      <w:r>
        <w:t>Care work is described as being central to Aboriginal and Torres Strait Islander women’s wellbeing and identity. It is not an independent role, but something generational - core to identity, culture, and wellbeing. It is about looking after and empowering people, community and Country.</w:t>
      </w:r>
    </w:p>
    <w:p w14:paraId="1C06BE1F" w14:textId="77777777" w:rsidR="008C7AC8" w:rsidRDefault="008C7AC8" w:rsidP="008C7AC8">
      <w:pPr>
        <w:pStyle w:val="ListParagraph"/>
        <w:numPr>
          <w:ilvl w:val="0"/>
          <w:numId w:val="11"/>
        </w:numPr>
        <w:spacing w:before="120" w:line="264" w:lineRule="auto"/>
      </w:pPr>
      <w:r>
        <w:t>Care is ongoing and both stimulating and challenging, threaded throughout most parts of women’s lives.</w:t>
      </w:r>
    </w:p>
    <w:p w14:paraId="49B87E95" w14:textId="77777777" w:rsidR="008C7AC8" w:rsidRDefault="008C7AC8" w:rsidP="008C7AC8">
      <w:pPr>
        <w:pStyle w:val="ListParagraph"/>
        <w:numPr>
          <w:ilvl w:val="0"/>
          <w:numId w:val="11"/>
        </w:numPr>
        <w:spacing w:before="120" w:line="264" w:lineRule="auto"/>
      </w:pPr>
      <w:r>
        <w:t>About 60% of women reported caring for someone who was elderly, while over half of the women (55%) reported caring for children. This can include not only their own children but also those of others and grandchildren too. Across the different care groups, a smaller but still substantial percentage of women reported that they were providing care for someone who was sick or living with a disability (40%).</w:t>
      </w:r>
    </w:p>
    <w:p w14:paraId="45DCF35E" w14:textId="77777777" w:rsidR="008C7AC8" w:rsidRDefault="008C7AC8" w:rsidP="008C7AC8">
      <w:pPr>
        <w:pStyle w:val="ListParagraph"/>
        <w:numPr>
          <w:ilvl w:val="0"/>
          <w:numId w:val="11"/>
        </w:numPr>
        <w:spacing w:before="120" w:line="264" w:lineRule="auto"/>
      </w:pPr>
      <w:r>
        <w:t>Women raised how their care work is influenced by ongoing colonial violence, which makes the work harder both for those they care for, and for the women themselves. Trauma widely impacts this work.</w:t>
      </w:r>
    </w:p>
    <w:p w14:paraId="487143CD" w14:textId="77777777" w:rsidR="008C7AC8" w:rsidRDefault="008C7AC8" w:rsidP="008C7AC8">
      <w:pPr>
        <w:pStyle w:val="ListParagraph"/>
        <w:numPr>
          <w:ilvl w:val="0"/>
          <w:numId w:val="11"/>
        </w:numPr>
        <w:spacing w:before="120" w:line="264" w:lineRule="auto"/>
      </w:pPr>
      <w:r>
        <w:t>Much of the paid work women undertake is paid care work, including work within child protection systems, and/or supporting and advocating for community. Paid work enables ACT women to do the unpaid care work, by providing finances necessary to support their care for others.</w:t>
      </w:r>
    </w:p>
    <w:p w14:paraId="3C42E378" w14:textId="77777777" w:rsidR="008C7AC8" w:rsidRDefault="008C7AC8" w:rsidP="008C7AC8">
      <w:pPr>
        <w:pStyle w:val="ListParagraph"/>
        <w:numPr>
          <w:ilvl w:val="0"/>
          <w:numId w:val="11"/>
        </w:numPr>
        <w:spacing w:before="120" w:line="264" w:lineRule="auto"/>
      </w:pPr>
      <w:r>
        <w:t>Unpaid care work is often not recognised, with those also engaged in paid care work struggling to balance, including balancing self-care and time for respite.</w:t>
      </w:r>
    </w:p>
    <w:p w14:paraId="6D1D3DD2" w14:textId="77777777" w:rsidR="008C7AC8" w:rsidRDefault="008C7AC8" w:rsidP="008C7AC8">
      <w:pPr>
        <w:pStyle w:val="ListParagraph"/>
        <w:numPr>
          <w:ilvl w:val="0"/>
          <w:numId w:val="11"/>
        </w:numPr>
        <w:spacing w:before="120" w:after="0" w:line="264" w:lineRule="auto"/>
      </w:pPr>
      <w:r>
        <w:t>Whilst the ACT and specifically Canberra is heralded as one of the wealthiest and most well-educated parts of Australia, we see that the impact of colonisation, racism and intervention in Aboriginal and Torres Strait Islander lives is not any less than other places in Australia. Indeed, whilst there are government services in the ACT that purport to help with care, most offered are mainstream services and are not safe for Aboriginal and Torres Strait Islander women (and men) to access because of enduring racism.</w:t>
      </w:r>
    </w:p>
    <w:p w14:paraId="15D98938" w14:textId="77777777" w:rsidR="008C7AC8" w:rsidRDefault="008C7AC8" w:rsidP="008C7AC8">
      <w:pPr>
        <w:pStyle w:val="ListParagraph"/>
        <w:numPr>
          <w:ilvl w:val="0"/>
          <w:numId w:val="11"/>
        </w:numPr>
        <w:spacing w:before="120" w:after="0" w:line="264" w:lineRule="auto"/>
      </w:pPr>
      <w:r>
        <w:t xml:space="preserve">Canberra does not have adequate services and supports for women’s care work. Superficially, services and supports may exist but they are not culturally safe and do not work for the needs of Aboriginal and Torres Strait Islander women. Services that are discussed as safe were Indigenous community-controlled, scarce and very underfunded. </w:t>
      </w:r>
    </w:p>
    <w:p w14:paraId="5571DA6C" w14:textId="77777777" w:rsidR="008C7AC8" w:rsidRPr="00E5743D" w:rsidRDefault="008C7AC8" w:rsidP="008C7AC8">
      <w:pPr>
        <w:rPr>
          <w:rFonts w:eastAsia="DengXian" w:cs="Calibri"/>
          <w:szCs w:val="22"/>
          <w:lang w:eastAsia="zh-CN"/>
        </w:rPr>
      </w:pPr>
      <w:r w:rsidRPr="00E5743D">
        <w:rPr>
          <w:rFonts w:eastAsia="DengXian" w:cs="Calibri"/>
          <w:szCs w:val="22"/>
          <w:lang w:eastAsia="zh-CN"/>
        </w:rPr>
        <w:t xml:space="preserve">We encourage the reader to explore this data in more detail in </w:t>
      </w:r>
      <w:hyperlink r:id="rId21" w:history="1">
        <w:r w:rsidRPr="00E5743D">
          <w:rPr>
            <w:rStyle w:val="Hyperlink"/>
            <w:rFonts w:eastAsiaTheme="majorEastAsia"/>
            <w:szCs w:val="22"/>
            <w:lang w:eastAsia="zh-CN"/>
          </w:rPr>
          <w:t>Chapter 3 of the ANU Report</w:t>
        </w:r>
      </w:hyperlink>
      <w:r w:rsidRPr="00E5743D">
        <w:rPr>
          <w:szCs w:val="22"/>
          <w:lang w:eastAsia="zh-CN"/>
        </w:rPr>
        <w:t>.</w:t>
      </w:r>
    </w:p>
    <w:p w14:paraId="0BD53A1A" w14:textId="77777777" w:rsidR="008C7AC8" w:rsidRDefault="008C7AC8" w:rsidP="008C7AC8">
      <w:pPr>
        <w:rPr>
          <w:rFonts w:eastAsia="DengXian" w:cs="Calibri"/>
          <w:szCs w:val="22"/>
          <w:lang w:eastAsia="zh-CN"/>
        </w:rPr>
      </w:pPr>
      <w:r>
        <w:rPr>
          <w:rFonts w:eastAsia="DengXian" w:cs="Calibri"/>
          <w:szCs w:val="22"/>
          <w:lang w:eastAsia="zh-CN"/>
        </w:rPr>
        <w:t>Additionally, d</w:t>
      </w:r>
      <w:r w:rsidRPr="00E5743D">
        <w:rPr>
          <w:rFonts w:eastAsia="DengXian" w:cs="Calibri"/>
          <w:szCs w:val="22"/>
          <w:lang w:eastAsia="zh-CN"/>
        </w:rPr>
        <w:t xml:space="preserve">ata from the 2021 Census reveals that </w:t>
      </w:r>
      <w:r>
        <w:rPr>
          <w:rFonts w:eastAsia="DengXian" w:cs="Calibri"/>
          <w:szCs w:val="22"/>
          <w:lang w:eastAsia="zh-CN"/>
        </w:rPr>
        <w:t>Aboriginal and Torres Strait Islander</w:t>
      </w:r>
      <w:r w:rsidRPr="00E5743D">
        <w:rPr>
          <w:rFonts w:eastAsia="DengXian" w:cs="Calibri"/>
          <w:szCs w:val="22"/>
          <w:lang w:eastAsia="zh-CN"/>
        </w:rPr>
        <w:t xml:space="preserve"> women in the ACT do high rates of unpaid work (see Figure 1). There is substantial variation in participation in unpaid work between different age groups. Except for women aged 35-44, the participation rates in unpaid childcare in the ACT are higher than the national rates. Except for women aged 15-24, the participation rates in unpaid disability care are higher than the national rates. Women aged 25-34 years have had the highest rate of participation in unpaid childcare whereas women aged 45-54 years have had the highest rate of participation in unpaid disability care. </w:t>
      </w:r>
      <w:r>
        <w:rPr>
          <w:rFonts w:eastAsia="DengXian" w:cs="Calibri"/>
          <w:szCs w:val="22"/>
          <w:lang w:eastAsia="zh-CN"/>
        </w:rPr>
        <w:br/>
      </w:r>
    </w:p>
    <w:p w14:paraId="0E22BB42" w14:textId="77777777" w:rsidR="008C7AC8" w:rsidRPr="00E5743D" w:rsidRDefault="008C7AC8" w:rsidP="008C7AC8">
      <w:pPr>
        <w:spacing w:before="0"/>
        <w:jc w:val="both"/>
        <w:rPr>
          <w:rFonts w:ascii="Calibri" w:eastAsia="DengXian" w:hAnsi="Calibri" w:cs="Calibri"/>
          <w:sz w:val="24"/>
          <w:lang w:eastAsia="zh-CN"/>
        </w:rPr>
      </w:pPr>
      <w:r w:rsidRPr="00A40C8E">
        <w:rPr>
          <w:noProof/>
          <w:lang w:eastAsia="en-AU"/>
        </w:rPr>
        <w:drawing>
          <wp:inline distT="0" distB="0" distL="0" distR="0" wp14:anchorId="297075F0" wp14:editId="5A6937A7">
            <wp:extent cx="5814646" cy="3274646"/>
            <wp:effectExtent l="0" t="0" r="15240" b="2540"/>
            <wp:docPr id="53953911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E5743D">
        <w:rPr>
          <w:rFonts w:ascii="Calibri" w:eastAsia="DengXian" w:hAnsi="Calibri" w:cs="Calibri"/>
          <w:noProof/>
          <w:sz w:val="24"/>
          <w:lang w:eastAsia="en-AU"/>
        </w:rPr>
        <w:t xml:space="preserve"> </w:t>
      </w:r>
    </w:p>
    <w:p w14:paraId="65769536" w14:textId="77777777" w:rsidR="008C7AC8" w:rsidRPr="00E5743D" w:rsidRDefault="008C7AC8" w:rsidP="008C7AC8">
      <w:pPr>
        <w:keepNext/>
        <w:spacing w:before="0" w:after="200"/>
        <w:rPr>
          <w:rFonts w:ascii="Calibri" w:eastAsia="Calibri" w:hAnsi="Calibri" w:cs="Calibri"/>
          <w:szCs w:val="22"/>
        </w:rPr>
      </w:pPr>
      <w:r w:rsidRPr="00E5743D">
        <w:rPr>
          <w:rFonts w:ascii="Calibri" w:eastAsia="Calibri" w:hAnsi="Calibri" w:cs="Calibri"/>
          <w:b/>
          <w:bCs/>
          <w:szCs w:val="22"/>
        </w:rPr>
        <w:t xml:space="preserve">Figure 1: </w:t>
      </w:r>
      <w:r w:rsidRPr="00E5743D">
        <w:rPr>
          <w:rFonts w:ascii="Calibri" w:eastAsia="Calibri" w:hAnsi="Calibri" w:cs="Calibri"/>
          <w:szCs w:val="22"/>
        </w:rPr>
        <w:t xml:space="preserve"> Does unpaid work (by age and type of work): Aboriginal and/or Torres Strait Islander women in the ACT </w:t>
      </w:r>
    </w:p>
    <w:p w14:paraId="11472857" w14:textId="77777777" w:rsidR="008C7AC8" w:rsidRDefault="008C7AC8" w:rsidP="008C7AC8">
      <w:pPr>
        <w:pStyle w:val="Heading1"/>
      </w:pPr>
      <w:bookmarkStart w:id="18" w:name="_Toc166172085"/>
      <w:bookmarkStart w:id="19" w:name="_Toc168655812"/>
      <w:r>
        <w:t>ACT Government’s Wellbeing Framework</w:t>
      </w:r>
      <w:bookmarkEnd w:id="18"/>
      <w:bookmarkEnd w:id="19"/>
    </w:p>
    <w:p w14:paraId="71E33E69" w14:textId="77777777" w:rsidR="008C7AC8" w:rsidRDefault="008C7AC8" w:rsidP="008C7AC8">
      <w:r>
        <w:t>We acknowledge and commend the ACT Government for developing a Wellbeing Framework to support the economic and social wellbeing of people living in the ACT.</w:t>
      </w:r>
    </w:p>
    <w:p w14:paraId="35DE33D0" w14:textId="2B8105C4" w:rsidR="008C7AC8" w:rsidRDefault="008C7AC8" w:rsidP="008C7AC8">
      <w:r>
        <w:t xml:space="preserve">We recognise that consultations for the Framework emphasised the need for diverse perspectives, to bring voices into the conversations that are often not heard. Definitions of wellbeing and wellbeing domains, however, should include broader explorations of what this means to different people and how their lived experience and intersectional identities shape their wellbeing. This must include an understanding of care as articulated through a First Nations gendered lens. As discussed, wellbeing and care are interwoven in that they are both core to Aboriginal and Torres Strait Islander women’s identity and how they experience, act in and understand the world around them. Care and wellbeing must also be understood in the context of other individuals and communities, including men and boys, people living with and caring for those with disabilities, gender-diverse and transgender peoples, culturally and linguistically diverse peoples and those from marginal, vulnerable and unique backgrounds. The importance of ongoing engagement with these different groups cannot be understated throughout all stages of actioning the Wellbeing Framework. We note that with data collection for the Wellbeing Framework, interpretations of linkages and interdependencies of the 12 wellbeing domains will arise, and hope that this data will be made publicly available and easily accessible. </w:t>
      </w:r>
    </w:p>
    <w:p w14:paraId="28767B2B" w14:textId="77777777" w:rsidR="008C7AC8" w:rsidRDefault="008C7AC8" w:rsidP="008C7AC8">
      <w:r>
        <w:t>Additionally, we recommend the inclusion of culture as influencing various domains beyond social connection, and identity and belonging. For Indigenous peoples, culture influences all aspects of wellbeing and is core to identity and empowerment. It is therefore integral to all domains and should be considered as a driving force for upholding strong wellbeing. Without connection to culture, such as by practicing language, learning ancestral knowledges and engaging in cultural practices – including caring for Country and kin – personal and collective wellbeing is undermined. This is reflected in a quote in the Wellbeing Framework sharing what wellbeing means to Aboriginal and Torres Strait Islander people: “My wellbeing is at its greatest when I’m engaging with my culture and language”.</w:t>
      </w:r>
      <w:r>
        <w:rPr>
          <w:rStyle w:val="FootnoteReference"/>
        </w:rPr>
        <w:footnoteReference w:id="14"/>
      </w:r>
    </w:p>
    <w:p w14:paraId="645FFAD5" w14:textId="6507D838" w:rsidR="008C7AC8" w:rsidRDefault="008C7AC8" w:rsidP="008C7AC8">
      <w:r>
        <w:t xml:space="preserve">To measure and evaluate the Wellbeing Framework, considering the diversity of understandings and experiences of wellbeing, we recommend using and/or adapting the approach employed in the Wiyi Yani U Thangani Change Agenda for First Nations Gender Justice. This way of measuring would suit the Wellbeing Framework’s ‘subjective measures’, providing an approach to collect this data. Measurement, evaluation and learning (MEL) within the Change Agenda is an ongoing process across the life of the Change Agenda, built on active dialogue, engagement and feedback with communities. This engagement provides insights about how women feel, sense, hear, and experience change, so actions supporting change can be identified, invested in and better directed toward realising individual and collective wellbeing. The approach centres on and is grounded in the voices of women, as opposed to approaches that focus on quantitative databases and reporting – which can be subjectively interpreted, include bias, and make experiences invisible. </w:t>
      </w:r>
    </w:p>
    <w:p w14:paraId="5126B1E4" w14:textId="77777777" w:rsidR="008C7AC8" w:rsidRDefault="008C7AC8" w:rsidP="008C7AC8">
      <w:pPr>
        <w:pStyle w:val="Heading1"/>
      </w:pPr>
      <w:bookmarkStart w:id="20" w:name="_Toc166172086"/>
      <w:bookmarkStart w:id="21" w:name="_Toc168655813"/>
      <w:r>
        <w:t>Opportunities to support and recognise unpaid care</w:t>
      </w:r>
      <w:bookmarkEnd w:id="20"/>
      <w:bookmarkEnd w:id="21"/>
    </w:p>
    <w:p w14:paraId="548362FA" w14:textId="77777777" w:rsidR="008C7AC8" w:rsidRDefault="008C7AC8" w:rsidP="008C7AC8">
      <w:r>
        <w:t xml:space="preserve">Across the AHRC Submission, ANU Research and supporting Wiyi Yani U Thangani resources, numerous recommendations to support care work have been articulated. These recommendations, grounded in the voices of Aboriginal and Torres Strait Islander women and girls, are opportunities for action. </w:t>
      </w:r>
    </w:p>
    <w:p w14:paraId="4F78E0EB" w14:textId="77777777" w:rsidR="008C7AC8" w:rsidRDefault="008C7AC8" w:rsidP="008C7AC8">
      <w:r>
        <w:t>The following lists recommendations best suited to this Inquiry, and are not exhaustive of those provided in the documents.</w:t>
      </w:r>
      <w:r w:rsidRPr="00EE29BB">
        <w:t xml:space="preserve"> </w:t>
      </w:r>
      <w:r>
        <w:t>They include short-term actions as well as long-term systems reforms and must be actioned together in order for sustainable and meaningful change to occur. We encourage engagement with the sources for further details.</w:t>
      </w:r>
    </w:p>
    <w:p w14:paraId="73438B05" w14:textId="77777777" w:rsidR="00CD49D5" w:rsidRDefault="00CD49D5" w:rsidP="008C7AC8"/>
    <w:p w14:paraId="0822E362" w14:textId="77777777" w:rsidR="00CD49D5" w:rsidRDefault="00CD49D5" w:rsidP="008C7AC8"/>
    <w:p w14:paraId="6B5977E0" w14:textId="77777777" w:rsidR="008C7AC8" w:rsidRPr="00F47977" w:rsidRDefault="008C7AC8" w:rsidP="008C7AC8">
      <w:pPr>
        <w:rPr>
          <w:i/>
          <w:iCs/>
        </w:rPr>
      </w:pPr>
      <w:r w:rsidRPr="00EE29BB">
        <w:rPr>
          <w:b/>
          <w:bCs/>
        </w:rPr>
        <w:t>Australian National University, Caring about Care Report (2024)</w:t>
      </w:r>
      <w:r>
        <w:rPr>
          <w:b/>
          <w:bCs/>
        </w:rPr>
        <w:t xml:space="preserve"> - </w:t>
      </w:r>
      <w:r>
        <w:rPr>
          <w:i/>
          <w:iCs/>
        </w:rPr>
        <w:t>The ACT Government has an opportunity to:</w:t>
      </w:r>
    </w:p>
    <w:p w14:paraId="6258CAC7" w14:textId="77777777" w:rsidR="008C7AC8" w:rsidRDefault="008C7AC8" w:rsidP="008C7AC8">
      <w:pPr>
        <w:pStyle w:val="ListParagraph"/>
        <w:numPr>
          <w:ilvl w:val="0"/>
          <w:numId w:val="12"/>
        </w:numPr>
        <w:spacing w:before="120" w:after="0" w:line="264" w:lineRule="auto"/>
      </w:pPr>
      <w:r w:rsidRPr="0020247A">
        <w:rPr>
          <w:b/>
          <w:bCs/>
        </w:rPr>
        <w:t>Reshape public policy</w:t>
      </w:r>
      <w:r>
        <w:t xml:space="preserve"> to be gender sensitive and anti-colonial, including by centring and valuing Aboriginal and Torres Strait Islander care work as a critical aspect of economies </w:t>
      </w:r>
    </w:p>
    <w:p w14:paraId="03681E9F" w14:textId="77777777" w:rsidR="008C7AC8" w:rsidRDefault="008C7AC8" w:rsidP="008C7AC8">
      <w:pPr>
        <w:pStyle w:val="ListParagraph"/>
        <w:numPr>
          <w:ilvl w:val="0"/>
          <w:numId w:val="12"/>
        </w:numPr>
        <w:spacing w:before="120" w:after="0" w:line="264" w:lineRule="auto"/>
      </w:pPr>
      <w:r w:rsidRPr="0020247A">
        <w:rPr>
          <w:b/>
          <w:bCs/>
        </w:rPr>
        <w:t>Prevent future harms</w:t>
      </w:r>
      <w:r>
        <w:t xml:space="preserve"> to Aboriginal and Torres Strait Islander peoples that increase the need for care. Governments at all levels should ensure public policy is antiracist, decolonial, and upholds Indigenous self-determination.</w:t>
      </w:r>
    </w:p>
    <w:p w14:paraId="4C6B6392" w14:textId="77777777" w:rsidR="008C7AC8" w:rsidRDefault="008C7AC8" w:rsidP="008C7AC8">
      <w:pPr>
        <w:pStyle w:val="ListParagraph"/>
        <w:numPr>
          <w:ilvl w:val="0"/>
          <w:numId w:val="12"/>
        </w:numPr>
        <w:spacing w:before="120" w:after="0" w:line="264" w:lineRule="auto"/>
      </w:pPr>
      <w:r w:rsidRPr="0020247A">
        <w:rPr>
          <w:b/>
          <w:bCs/>
        </w:rPr>
        <w:t>Reform child protection systems and procedures</w:t>
      </w:r>
      <w:r>
        <w:t xml:space="preserve"> to ensure they uphold the human rights of children, carers, and parents, and to prevent ongoing harms caused by these systems; in the ACT this includes accelerated implementation of all the recommendations of the Our Booris: Our Way Report (2019) – Many of remain unimplemented 5-years post the report</w:t>
      </w:r>
      <w:r>
        <w:rPr>
          <w:rStyle w:val="FootnoteReference"/>
        </w:rPr>
        <w:footnoteReference w:id="15"/>
      </w:r>
      <w:r>
        <w:t>.</w:t>
      </w:r>
    </w:p>
    <w:p w14:paraId="4ED7BF84" w14:textId="77777777" w:rsidR="008C7AC8" w:rsidRDefault="008C7AC8" w:rsidP="008C7AC8">
      <w:pPr>
        <w:pStyle w:val="ListParagraph"/>
        <w:numPr>
          <w:ilvl w:val="0"/>
          <w:numId w:val="12"/>
        </w:numPr>
        <w:spacing w:before="120" w:after="0" w:line="264" w:lineRule="auto"/>
      </w:pPr>
      <w:r w:rsidRPr="0020247A">
        <w:rPr>
          <w:b/>
          <w:bCs/>
        </w:rPr>
        <w:t>Strengthen and/or create supports</w:t>
      </w:r>
      <w:r>
        <w:t xml:space="preserve"> for Aboriginal and Torres Strait Islander carers to ensure they are also being cared for</w:t>
      </w:r>
    </w:p>
    <w:p w14:paraId="45DAFEDF" w14:textId="77777777" w:rsidR="008C7AC8" w:rsidRDefault="008C7AC8" w:rsidP="008C7AC8">
      <w:pPr>
        <w:pStyle w:val="ListParagraph"/>
        <w:numPr>
          <w:ilvl w:val="0"/>
          <w:numId w:val="12"/>
        </w:numPr>
        <w:spacing w:before="120" w:after="0" w:line="264" w:lineRule="auto"/>
      </w:pPr>
      <w:r w:rsidRPr="0020247A">
        <w:rPr>
          <w:b/>
          <w:bCs/>
        </w:rPr>
        <w:t>Fully acknowledge and appreciate</w:t>
      </w:r>
      <w:r>
        <w:t>, as well as reflect in public policy, the intricate links between paid and unpaid care roles undertaken by Aboriginal and Torres Strait Islander women.</w:t>
      </w:r>
    </w:p>
    <w:p w14:paraId="7D709BA2" w14:textId="1874DC9F" w:rsidR="008C7AC8" w:rsidRPr="00EE29BB" w:rsidRDefault="008C7AC8" w:rsidP="008C7AC8">
      <w:pPr>
        <w:rPr>
          <w:b/>
          <w:bCs/>
        </w:rPr>
      </w:pPr>
      <w:r w:rsidRPr="00EE29BB">
        <w:rPr>
          <w:b/>
          <w:bCs/>
        </w:rPr>
        <w:t xml:space="preserve">Australian Human Rights Commission, draft National Care and Support Economy Strategy </w:t>
      </w:r>
      <w:r w:rsidR="00A611F4">
        <w:rPr>
          <w:b/>
          <w:bCs/>
        </w:rPr>
        <w:t xml:space="preserve">Submission </w:t>
      </w:r>
      <w:r w:rsidRPr="00EE29BB">
        <w:rPr>
          <w:b/>
          <w:bCs/>
        </w:rPr>
        <w:t>(2023)</w:t>
      </w:r>
      <w:r>
        <w:rPr>
          <w:b/>
          <w:bCs/>
        </w:rPr>
        <w:t xml:space="preserve"> - </w:t>
      </w:r>
      <w:r>
        <w:rPr>
          <w:bCs/>
          <w:i/>
          <w:iCs/>
        </w:rPr>
        <w:t>T</w:t>
      </w:r>
      <w:r w:rsidRPr="00EE29BB">
        <w:rPr>
          <w:bCs/>
          <w:i/>
          <w:iCs/>
        </w:rPr>
        <w:t>hrough the ACT Wellbeing Strategy and other policy instruments to measure and report on unpaid care</w:t>
      </w:r>
      <w:r>
        <w:rPr>
          <w:bCs/>
          <w:i/>
          <w:iCs/>
        </w:rPr>
        <w:t>, and provide support, the ACT Government should:</w:t>
      </w:r>
    </w:p>
    <w:p w14:paraId="640F81E5" w14:textId="77777777" w:rsidR="008C7AC8" w:rsidRPr="00EE29BB" w:rsidRDefault="008C7AC8" w:rsidP="008C7AC8">
      <w:pPr>
        <w:pStyle w:val="ListParagraph"/>
        <w:numPr>
          <w:ilvl w:val="0"/>
          <w:numId w:val="12"/>
        </w:numPr>
        <w:spacing w:before="120" w:after="0" w:line="264" w:lineRule="auto"/>
      </w:pPr>
      <w:r w:rsidRPr="0020247A">
        <w:rPr>
          <w:b/>
          <w:bCs/>
        </w:rPr>
        <w:t>Collaborate with the emerging research and expertise</w:t>
      </w:r>
      <w:r w:rsidRPr="00EE29BB">
        <w:t xml:space="preserve"> from</w:t>
      </w:r>
      <w:r>
        <w:t xml:space="preserve"> the</w:t>
      </w:r>
      <w:r w:rsidRPr="00EE29BB">
        <w:t xml:space="preserve"> Australian National</w:t>
      </w:r>
      <w:r>
        <w:t xml:space="preserve"> University</w:t>
      </w:r>
      <w:r w:rsidRPr="00EE29BB">
        <w:t xml:space="preserve"> and Wiyi Yani U Thangani First Nations Gender Justice Institute</w:t>
      </w:r>
      <w:r>
        <w:t>,</w:t>
      </w:r>
      <w:r w:rsidRPr="00EE29BB">
        <w:t xml:space="preserve"> and draw on this knowledge in the care and support space to inform effective policy</w:t>
      </w:r>
    </w:p>
    <w:p w14:paraId="41F72BB2" w14:textId="77777777" w:rsidR="008C7AC8" w:rsidRPr="0044647E" w:rsidRDefault="008C7AC8" w:rsidP="008C7AC8">
      <w:pPr>
        <w:pStyle w:val="ListParagraph"/>
        <w:numPr>
          <w:ilvl w:val="0"/>
          <w:numId w:val="12"/>
        </w:numPr>
        <w:spacing w:before="120" w:after="0" w:line="264" w:lineRule="auto"/>
        <w:rPr>
          <w:bCs/>
        </w:rPr>
      </w:pPr>
      <w:r w:rsidRPr="0020247A">
        <w:rPr>
          <w:b/>
        </w:rPr>
        <w:t>Develop tools and strategies to measure</w:t>
      </w:r>
      <w:r w:rsidRPr="00EE29BB">
        <w:rPr>
          <w:bCs/>
        </w:rPr>
        <w:t xml:space="preserve"> care using </w:t>
      </w:r>
      <w:r>
        <w:rPr>
          <w:bCs/>
        </w:rPr>
        <w:t>a First Nations gender lens</w:t>
      </w:r>
    </w:p>
    <w:p w14:paraId="42542F05" w14:textId="77777777" w:rsidR="008C7AC8" w:rsidRPr="0044647E" w:rsidRDefault="008C7AC8" w:rsidP="008C7AC8">
      <w:pPr>
        <w:pStyle w:val="ListParagraph"/>
        <w:numPr>
          <w:ilvl w:val="0"/>
          <w:numId w:val="12"/>
        </w:numPr>
        <w:spacing w:before="120" w:after="0" w:line="264" w:lineRule="auto"/>
        <w:rPr>
          <w:bCs/>
          <w:sz w:val="24"/>
        </w:rPr>
      </w:pPr>
      <w:r w:rsidRPr="00A611F4">
        <w:rPr>
          <w:b/>
        </w:rPr>
        <w:t>Take a</w:t>
      </w:r>
      <w:r w:rsidRPr="0044647E">
        <w:rPr>
          <w:bCs/>
        </w:rPr>
        <w:t xml:space="preserve"> </w:t>
      </w:r>
      <w:r w:rsidRPr="00A611F4">
        <w:rPr>
          <w:b/>
        </w:rPr>
        <w:t>systems mapping and systems change approach</w:t>
      </w:r>
      <w:r w:rsidRPr="0044647E">
        <w:rPr>
          <w:bCs/>
        </w:rPr>
        <w:t xml:space="preserve"> to supporting the full spectrum of care services and provision, from early intervention and prevention through to acute and crisis response forms of care</w:t>
      </w:r>
    </w:p>
    <w:p w14:paraId="329CA71D" w14:textId="77777777" w:rsidR="008C7AC8" w:rsidRDefault="008C7AC8" w:rsidP="008C7AC8">
      <w:pPr>
        <w:pStyle w:val="ListParagraph"/>
        <w:numPr>
          <w:ilvl w:val="0"/>
          <w:numId w:val="12"/>
        </w:numPr>
        <w:spacing w:before="120" w:after="0" w:line="264" w:lineRule="auto"/>
        <w:rPr>
          <w:bCs/>
        </w:rPr>
      </w:pPr>
      <w:r w:rsidRPr="0020247A">
        <w:rPr>
          <w:b/>
        </w:rPr>
        <w:t>Refocus policy reforms</w:t>
      </w:r>
      <w:r w:rsidRPr="0044647E">
        <w:rPr>
          <w:bCs/>
        </w:rPr>
        <w:t xml:space="preserve"> on investing in prevention and early intervention services</w:t>
      </w:r>
    </w:p>
    <w:p w14:paraId="3EC3C446" w14:textId="77777777" w:rsidR="008C7AC8" w:rsidRPr="0020247A" w:rsidRDefault="008C7AC8" w:rsidP="008C7AC8">
      <w:pPr>
        <w:pStyle w:val="ListParagraph"/>
        <w:numPr>
          <w:ilvl w:val="0"/>
          <w:numId w:val="12"/>
        </w:numPr>
        <w:spacing w:before="120" w:after="0" w:line="264" w:lineRule="auto"/>
        <w:rPr>
          <w:b/>
        </w:rPr>
      </w:pPr>
      <w:r w:rsidRPr="0020247A">
        <w:rPr>
          <w:b/>
        </w:rPr>
        <w:t>Urgently reform social supports and the social security payment system</w:t>
      </w:r>
    </w:p>
    <w:p w14:paraId="774D88DE" w14:textId="77777777" w:rsidR="008C7AC8" w:rsidRDefault="008C7AC8" w:rsidP="008C7AC8">
      <w:pPr>
        <w:pStyle w:val="ListParagraph"/>
        <w:numPr>
          <w:ilvl w:val="0"/>
          <w:numId w:val="12"/>
        </w:numPr>
        <w:spacing w:before="120" w:after="0" w:line="264" w:lineRule="auto"/>
        <w:rPr>
          <w:b/>
        </w:rPr>
      </w:pPr>
      <w:r w:rsidRPr="0020247A">
        <w:rPr>
          <w:b/>
        </w:rPr>
        <w:t>Invest in the First Nations-led care sector</w:t>
      </w:r>
      <w:r>
        <w:rPr>
          <w:b/>
        </w:rPr>
        <w:t>.</w:t>
      </w:r>
    </w:p>
    <w:p w14:paraId="07036AB1" w14:textId="77777777" w:rsidR="00CD49D5" w:rsidRDefault="00CD49D5" w:rsidP="008C7AC8">
      <w:pPr>
        <w:rPr>
          <w:bCs/>
          <w:i/>
          <w:iCs/>
        </w:rPr>
      </w:pPr>
    </w:p>
    <w:p w14:paraId="7488ABE0" w14:textId="6BE72B06" w:rsidR="008C7AC8" w:rsidRPr="00A93C60" w:rsidRDefault="008C7AC8" w:rsidP="008C7AC8">
      <w:pPr>
        <w:rPr>
          <w:i/>
          <w:iCs/>
        </w:rPr>
      </w:pPr>
      <w:r w:rsidRPr="00A93C60">
        <w:rPr>
          <w:bCs/>
          <w:i/>
          <w:iCs/>
        </w:rPr>
        <w:t xml:space="preserve">The submission also defines specific challenges and approaches to overcome them </w:t>
      </w:r>
      <w:r w:rsidRPr="00A93C60">
        <w:rPr>
          <w:i/>
          <w:iCs/>
        </w:rPr>
        <w:t xml:space="preserve">in section 4: Reforming the social support systems (page </w:t>
      </w:r>
      <w:r w:rsidRPr="00A93C60">
        <w:rPr>
          <w:i/>
          <w:iCs/>
        </w:rPr>
        <w:fldChar w:fldCharType="begin"/>
      </w:r>
      <w:r w:rsidRPr="00A93C60">
        <w:rPr>
          <w:i/>
          <w:iCs/>
        </w:rPr>
        <w:instrText xml:space="preserve"> PAGEREF _Ref166135178 \h </w:instrText>
      </w:r>
      <w:r w:rsidRPr="00A93C60">
        <w:rPr>
          <w:i/>
          <w:iCs/>
        </w:rPr>
      </w:r>
      <w:r w:rsidRPr="00A93C60">
        <w:rPr>
          <w:i/>
          <w:iCs/>
        </w:rPr>
        <w:fldChar w:fldCharType="separate"/>
      </w:r>
      <w:r w:rsidR="00A4070E">
        <w:rPr>
          <w:i/>
          <w:iCs/>
          <w:noProof/>
        </w:rPr>
        <w:t>29</w:t>
      </w:r>
      <w:r w:rsidRPr="00A93C60">
        <w:rPr>
          <w:i/>
          <w:iCs/>
        </w:rPr>
        <w:fldChar w:fldCharType="end"/>
      </w:r>
      <w:r w:rsidRPr="00A93C60">
        <w:rPr>
          <w:i/>
          <w:iCs/>
        </w:rPr>
        <w:t>)</w:t>
      </w:r>
      <w:r>
        <w:rPr>
          <w:i/>
          <w:iCs/>
        </w:rPr>
        <w:t>. These are</w:t>
      </w:r>
      <w:r w:rsidRPr="00A93C60">
        <w:rPr>
          <w:i/>
          <w:iCs/>
        </w:rPr>
        <w:t>:</w:t>
      </w:r>
    </w:p>
    <w:p w14:paraId="3A369AB3" w14:textId="77777777" w:rsidR="008C7AC8" w:rsidRDefault="008C7AC8" w:rsidP="008C7AC8">
      <w:pPr>
        <w:pStyle w:val="ListParagraph"/>
        <w:numPr>
          <w:ilvl w:val="0"/>
          <w:numId w:val="2"/>
        </w:numPr>
        <w:spacing w:before="120" w:after="0" w:line="264" w:lineRule="auto"/>
      </w:pPr>
      <w:r>
        <w:t>Embedding a systems reform approach in policy and practice to adequately respond to the needs of unpaid carers</w:t>
      </w:r>
    </w:p>
    <w:p w14:paraId="5BD99546" w14:textId="77777777" w:rsidR="008C7AC8" w:rsidRDefault="008C7AC8" w:rsidP="008C7AC8">
      <w:pPr>
        <w:pStyle w:val="ListParagraph"/>
        <w:numPr>
          <w:ilvl w:val="0"/>
          <w:numId w:val="2"/>
        </w:numPr>
        <w:spacing w:before="120" w:after="0" w:line="264" w:lineRule="auto"/>
      </w:pPr>
      <w:r>
        <w:t>Refocusing policy interventions on prevention and early intervention to mitigate downstream challenges</w:t>
      </w:r>
    </w:p>
    <w:p w14:paraId="45408CE0" w14:textId="77777777" w:rsidR="008C7AC8" w:rsidRDefault="008C7AC8" w:rsidP="008C7AC8">
      <w:pPr>
        <w:pStyle w:val="ListParagraph"/>
        <w:numPr>
          <w:ilvl w:val="0"/>
          <w:numId w:val="2"/>
        </w:numPr>
        <w:spacing w:before="120" w:after="0" w:line="264" w:lineRule="auto"/>
      </w:pPr>
      <w:r>
        <w:t>Reforming social support systems to support the true extent of First Nations women’s work and break the ‘poverty trap’</w:t>
      </w:r>
    </w:p>
    <w:p w14:paraId="58693D2C" w14:textId="77777777" w:rsidR="008C7AC8" w:rsidRPr="00A93C60" w:rsidRDefault="008C7AC8" w:rsidP="008C7AC8">
      <w:pPr>
        <w:pStyle w:val="ListParagraph"/>
        <w:numPr>
          <w:ilvl w:val="0"/>
          <w:numId w:val="2"/>
        </w:numPr>
        <w:spacing w:before="120" w:after="0" w:line="264" w:lineRule="auto"/>
      </w:pPr>
      <w:r>
        <w:t>Strengthening the foundations of the care and support economy by investing in the First Nations-led care sector. In the ACT this incudes development of more Aboriginal community controlled organisations, especially in relation to disability care, and care of people with drug and alcohol issues.</w:t>
      </w:r>
    </w:p>
    <w:p w14:paraId="585CABFB" w14:textId="77777777" w:rsidR="008C7AC8" w:rsidRDefault="008C7AC8" w:rsidP="008C7AC8">
      <w:pPr>
        <w:rPr>
          <w:i/>
          <w:iCs/>
        </w:rPr>
      </w:pPr>
      <w:r w:rsidRPr="00EE29BB">
        <w:rPr>
          <w:b/>
          <w:bCs/>
        </w:rPr>
        <w:t>Wiyi Yani U Thangani Change Agenda for First Nations Gender Justice (2024)</w:t>
      </w:r>
      <w:r>
        <w:rPr>
          <w:b/>
          <w:bCs/>
        </w:rPr>
        <w:t xml:space="preserve"> - </w:t>
      </w:r>
      <w:r>
        <w:rPr>
          <w:i/>
          <w:iCs/>
        </w:rPr>
        <w:t>The ACT Government can provide support through a collective and sustained focus on the following outcomes and their associated actions:</w:t>
      </w:r>
    </w:p>
    <w:p w14:paraId="763EA4B5" w14:textId="77777777" w:rsidR="008C7AC8" w:rsidRPr="0020247A" w:rsidRDefault="008C7AC8" w:rsidP="008C7AC8">
      <w:pPr>
        <w:pStyle w:val="ListParagraph"/>
        <w:numPr>
          <w:ilvl w:val="0"/>
          <w:numId w:val="12"/>
        </w:numPr>
        <w:spacing w:before="120" w:after="0" w:line="264" w:lineRule="auto"/>
        <w:rPr>
          <w:b/>
          <w:bCs/>
        </w:rPr>
      </w:pPr>
      <w:r w:rsidRPr="0020247A">
        <w:rPr>
          <w:b/>
          <w:bCs/>
        </w:rPr>
        <w:t>Our Care work is central to the redefining and functioning of systems</w:t>
      </w:r>
    </w:p>
    <w:p w14:paraId="5C419C81" w14:textId="77777777" w:rsidR="008C7AC8" w:rsidRDefault="008C7AC8" w:rsidP="008C7AC8">
      <w:pPr>
        <w:pStyle w:val="ListParagraph"/>
        <w:numPr>
          <w:ilvl w:val="1"/>
          <w:numId w:val="12"/>
        </w:numPr>
        <w:spacing w:before="120" w:after="0" w:line="264" w:lineRule="auto"/>
      </w:pPr>
      <w:r>
        <w:t xml:space="preserve">defining and measuring the full spectrum of care work </w:t>
      </w:r>
    </w:p>
    <w:p w14:paraId="5C1DD84E" w14:textId="77777777" w:rsidR="008C7AC8" w:rsidRDefault="008C7AC8" w:rsidP="008C7AC8">
      <w:pPr>
        <w:pStyle w:val="ListParagraph"/>
        <w:numPr>
          <w:ilvl w:val="1"/>
          <w:numId w:val="12"/>
        </w:numPr>
        <w:spacing w:before="120" w:after="0" w:line="264" w:lineRule="auto"/>
      </w:pPr>
      <w:r>
        <w:t xml:space="preserve">constructing economic models that are informed by, support and remunerate care work </w:t>
      </w:r>
    </w:p>
    <w:p w14:paraId="00000135" w14:textId="77777777" w:rsidR="008C7AC8" w:rsidRDefault="008C7AC8" w:rsidP="008C7AC8">
      <w:pPr>
        <w:pStyle w:val="ListParagraph"/>
        <w:numPr>
          <w:ilvl w:val="1"/>
          <w:numId w:val="12"/>
        </w:numPr>
        <w:spacing w:before="120" w:after="0" w:line="264" w:lineRule="auto"/>
      </w:pPr>
      <w:r>
        <w:t>(re)defining mainstream care services as culturally and gender responsive</w:t>
      </w:r>
    </w:p>
    <w:p w14:paraId="1B3AEBB4" w14:textId="77777777" w:rsidR="008C7AC8" w:rsidRPr="0020247A" w:rsidRDefault="008C7AC8" w:rsidP="008C7AC8">
      <w:pPr>
        <w:pStyle w:val="ListParagraph"/>
        <w:numPr>
          <w:ilvl w:val="0"/>
          <w:numId w:val="12"/>
        </w:numPr>
        <w:spacing w:before="120" w:after="0" w:line="264" w:lineRule="auto"/>
        <w:rPr>
          <w:b/>
          <w:bCs/>
        </w:rPr>
      </w:pPr>
      <w:r w:rsidRPr="0020247A">
        <w:rPr>
          <w:b/>
          <w:bCs/>
        </w:rPr>
        <w:t>We are financially secure, safe, free, living and working within meaningful economies</w:t>
      </w:r>
    </w:p>
    <w:p w14:paraId="3E711AA1" w14:textId="77777777" w:rsidR="008C7AC8" w:rsidRDefault="008C7AC8" w:rsidP="008C7AC8">
      <w:pPr>
        <w:pStyle w:val="ListParagraph"/>
        <w:numPr>
          <w:ilvl w:val="1"/>
          <w:numId w:val="12"/>
        </w:numPr>
        <w:spacing w:before="120" w:after="0" w:line="264" w:lineRule="auto"/>
      </w:pPr>
      <w:r>
        <w:t>redesigning financial and social systems that elevate and centre us and our communities</w:t>
      </w:r>
    </w:p>
    <w:p w14:paraId="141769A2" w14:textId="77777777" w:rsidR="008C7AC8" w:rsidRDefault="008C7AC8" w:rsidP="008C7AC8">
      <w:pPr>
        <w:pStyle w:val="ListParagraph"/>
        <w:numPr>
          <w:ilvl w:val="1"/>
          <w:numId w:val="12"/>
        </w:numPr>
        <w:spacing w:before="120" w:after="0" w:line="264" w:lineRule="auto"/>
      </w:pPr>
      <w:r>
        <w:t xml:space="preserve">growing sustainable Country and culture-based economies </w:t>
      </w:r>
    </w:p>
    <w:p w14:paraId="613C28D7" w14:textId="77777777" w:rsidR="008C7AC8" w:rsidRDefault="008C7AC8" w:rsidP="008C7AC8">
      <w:pPr>
        <w:pStyle w:val="ListParagraph"/>
        <w:numPr>
          <w:ilvl w:val="1"/>
          <w:numId w:val="12"/>
        </w:numPr>
        <w:spacing w:before="120" w:after="0" w:line="264" w:lineRule="auto"/>
      </w:pPr>
      <w:r>
        <w:t xml:space="preserve">targeting of systemic inequality and poverty </w:t>
      </w:r>
    </w:p>
    <w:p w14:paraId="5BF7BAC3" w14:textId="77777777" w:rsidR="008C7AC8" w:rsidRDefault="008C7AC8" w:rsidP="008C7AC8">
      <w:pPr>
        <w:pStyle w:val="ListParagraph"/>
        <w:numPr>
          <w:ilvl w:val="1"/>
          <w:numId w:val="12"/>
        </w:numPr>
        <w:spacing w:before="120" w:after="0" w:line="264" w:lineRule="auto"/>
      </w:pPr>
      <w:r>
        <w:t>investing in culturally-appropriate financial literacy education and knowledge sharing</w:t>
      </w:r>
    </w:p>
    <w:p w14:paraId="49C4B1F1" w14:textId="77777777" w:rsidR="008C7AC8" w:rsidRPr="0020247A" w:rsidRDefault="008C7AC8" w:rsidP="008C7AC8">
      <w:pPr>
        <w:pStyle w:val="ListParagraph"/>
        <w:numPr>
          <w:ilvl w:val="0"/>
          <w:numId w:val="12"/>
        </w:numPr>
        <w:spacing w:before="120" w:after="0" w:line="264" w:lineRule="auto"/>
        <w:rPr>
          <w:b/>
          <w:bCs/>
        </w:rPr>
      </w:pPr>
      <w:r w:rsidRPr="0020247A">
        <w:rPr>
          <w:b/>
          <w:bCs/>
        </w:rPr>
        <w:t>Systems are caring, safe and enabling across all Countries</w:t>
      </w:r>
    </w:p>
    <w:p w14:paraId="19EB41FF" w14:textId="77777777" w:rsidR="008C7AC8" w:rsidRDefault="008C7AC8" w:rsidP="008C7AC8">
      <w:pPr>
        <w:pStyle w:val="ListParagraph"/>
        <w:numPr>
          <w:ilvl w:val="1"/>
          <w:numId w:val="12"/>
        </w:numPr>
        <w:spacing w:before="120" w:after="0" w:line="264" w:lineRule="auto"/>
      </w:pPr>
      <w:r>
        <w:t xml:space="preserve">reforming social policies to ensure economic, social and cultural wellbeing </w:t>
      </w:r>
    </w:p>
    <w:p w14:paraId="714F8623" w14:textId="77777777" w:rsidR="008C7AC8" w:rsidRDefault="008C7AC8" w:rsidP="008C7AC8">
      <w:pPr>
        <w:pStyle w:val="ListParagraph"/>
        <w:numPr>
          <w:ilvl w:val="1"/>
          <w:numId w:val="12"/>
        </w:numPr>
        <w:spacing w:before="120" w:after="0" w:line="264" w:lineRule="auto"/>
      </w:pPr>
      <w:r>
        <w:t xml:space="preserve">supporting infrastructure and investment for on Country and culture-based economies </w:t>
      </w:r>
    </w:p>
    <w:p w14:paraId="12D9D6E4" w14:textId="77777777" w:rsidR="008C7AC8" w:rsidRDefault="008C7AC8" w:rsidP="008C7AC8">
      <w:pPr>
        <w:pStyle w:val="ListParagraph"/>
        <w:numPr>
          <w:ilvl w:val="1"/>
          <w:numId w:val="12"/>
        </w:numPr>
        <w:spacing w:before="120" w:after="0" w:line="264" w:lineRule="auto"/>
      </w:pPr>
      <w:r>
        <w:t xml:space="preserve">developing alternative approaches to punitive interventions </w:t>
      </w:r>
    </w:p>
    <w:p w14:paraId="4A15AB24" w14:textId="77777777" w:rsidR="008C7AC8" w:rsidRPr="0044647E" w:rsidRDefault="008C7AC8" w:rsidP="008C7AC8">
      <w:pPr>
        <w:pStyle w:val="ListParagraph"/>
        <w:numPr>
          <w:ilvl w:val="1"/>
          <w:numId w:val="12"/>
        </w:numPr>
        <w:spacing w:before="120" w:after="0" w:line="264" w:lineRule="auto"/>
      </w:pPr>
      <w:r>
        <w:t>sustainably fund models of healing and care work i.e. effectively funding community-controlled models of healing within the ACT such as the Ngunnawal Bush Healing Farm</w:t>
      </w:r>
    </w:p>
    <w:p w14:paraId="69492205" w14:textId="77777777" w:rsidR="00CD49D5" w:rsidRDefault="00CD49D5" w:rsidP="008C7AC8">
      <w:pPr>
        <w:rPr>
          <w:b/>
          <w:bCs/>
        </w:rPr>
      </w:pPr>
    </w:p>
    <w:p w14:paraId="7F96690C" w14:textId="77777777" w:rsidR="00CD49D5" w:rsidRDefault="00CD49D5" w:rsidP="008C7AC8">
      <w:pPr>
        <w:rPr>
          <w:b/>
          <w:bCs/>
        </w:rPr>
      </w:pPr>
    </w:p>
    <w:p w14:paraId="2F262D21" w14:textId="77777777" w:rsidR="00CD49D5" w:rsidRDefault="00CD49D5" w:rsidP="008C7AC8">
      <w:pPr>
        <w:rPr>
          <w:b/>
          <w:bCs/>
        </w:rPr>
      </w:pPr>
    </w:p>
    <w:p w14:paraId="3C535467" w14:textId="4848E280" w:rsidR="008C7AC8" w:rsidRPr="00F47977" w:rsidRDefault="008C7AC8" w:rsidP="008C7AC8">
      <w:pPr>
        <w:rPr>
          <w:i/>
          <w:iCs/>
        </w:rPr>
      </w:pPr>
      <w:r w:rsidRPr="00EE29BB">
        <w:rPr>
          <w:b/>
          <w:bCs/>
        </w:rPr>
        <w:t>Wiyi Yani U Thangani Implementation Framework (2022)</w:t>
      </w:r>
      <w:r>
        <w:rPr>
          <w:b/>
          <w:bCs/>
        </w:rPr>
        <w:t xml:space="preserve"> - </w:t>
      </w:r>
      <w:r>
        <w:rPr>
          <w:i/>
          <w:iCs/>
        </w:rPr>
        <w:t>The ACT Government can support unpaid workers/carers by:</w:t>
      </w:r>
    </w:p>
    <w:p w14:paraId="63D9C277" w14:textId="77777777" w:rsidR="008C7AC8" w:rsidRPr="003A4976" w:rsidRDefault="008C7AC8" w:rsidP="008C7AC8">
      <w:pPr>
        <w:pStyle w:val="ListParagraph"/>
        <w:numPr>
          <w:ilvl w:val="0"/>
          <w:numId w:val="12"/>
        </w:numPr>
        <w:spacing w:before="120" w:after="0" w:line="264" w:lineRule="auto"/>
      </w:pPr>
      <w:r w:rsidRPr="0020247A">
        <w:rPr>
          <w:b/>
          <w:bCs/>
        </w:rPr>
        <w:t>Forming the conditions and policy architecture</w:t>
      </w:r>
      <w:r w:rsidRPr="003A4976">
        <w:t xml:space="preserve"> to enable the (re)assertion and preservation of women’s antenatal care, collective child-rearing practices and kinship responsibilities</w:t>
      </w:r>
    </w:p>
    <w:p w14:paraId="34064146" w14:textId="77777777" w:rsidR="008C7AC8" w:rsidRPr="003A4976" w:rsidRDefault="008C7AC8" w:rsidP="008C7AC8">
      <w:pPr>
        <w:pStyle w:val="ListParagraph"/>
        <w:numPr>
          <w:ilvl w:val="0"/>
          <w:numId w:val="12"/>
        </w:numPr>
        <w:spacing w:before="120" w:after="0" w:line="264" w:lineRule="auto"/>
      </w:pPr>
      <w:r w:rsidRPr="0020247A">
        <w:rPr>
          <w:b/>
          <w:bCs/>
        </w:rPr>
        <w:t>Reforming child protection systems</w:t>
      </w:r>
      <w:r w:rsidRPr="003A4976">
        <w:t xml:space="preserve"> to ensure continuation of care and connection to kin and culture for young people, including: accountability mechanisms to ensure authorities comply with the Aboriginal and Torres Strait Islander Child Placement Principle; greater transparency around placement decision-making; replacing legal orders for permanent adoption with investment into community-controlled reunification services; and reforming carer assessment processes</w:t>
      </w:r>
      <w:r>
        <w:rPr>
          <w:rStyle w:val="FootnoteReference"/>
        </w:rPr>
        <w:footnoteReference w:id="16"/>
      </w:r>
    </w:p>
    <w:p w14:paraId="6F02DF70" w14:textId="77777777" w:rsidR="008C7AC8" w:rsidRPr="003A4976" w:rsidRDefault="008C7AC8" w:rsidP="008C7AC8">
      <w:pPr>
        <w:pStyle w:val="ListParagraph"/>
        <w:numPr>
          <w:ilvl w:val="0"/>
          <w:numId w:val="12"/>
        </w:numPr>
        <w:spacing w:before="120" w:after="0" w:line="264" w:lineRule="auto"/>
      </w:pPr>
      <w:r w:rsidRPr="0020247A">
        <w:rPr>
          <w:b/>
          <w:bCs/>
        </w:rPr>
        <w:t>Guarantee resources for communities</w:t>
      </w:r>
      <w:r>
        <w:t xml:space="preserve"> </w:t>
      </w:r>
      <w:r w:rsidRPr="003A4976">
        <w:t>to design and deliver a continuum of care from intervention to recovery, alongside prevention and diversion initiatives</w:t>
      </w:r>
      <w:r>
        <w:t xml:space="preserve"> - </w:t>
      </w:r>
      <w:r w:rsidRPr="003A4976">
        <w:t>Including gender-sensitive rehabilitation, mental health supports, family violence prevention and supports, and youth and adult diversion</w:t>
      </w:r>
    </w:p>
    <w:p w14:paraId="5C42B0B0" w14:textId="77777777" w:rsidR="008C7AC8" w:rsidRPr="003A4976" w:rsidRDefault="008C7AC8" w:rsidP="008C7AC8">
      <w:pPr>
        <w:pStyle w:val="ListParagraph"/>
        <w:numPr>
          <w:ilvl w:val="0"/>
          <w:numId w:val="12"/>
        </w:numPr>
        <w:spacing w:before="120" w:after="0" w:line="264" w:lineRule="auto"/>
      </w:pPr>
      <w:r w:rsidRPr="0020247A">
        <w:rPr>
          <w:b/>
          <w:bCs/>
        </w:rPr>
        <w:t>Re-designing the social safety net and childcare system</w:t>
      </w:r>
      <w:r w:rsidRPr="003A4976">
        <w:t xml:space="preserve"> to guarantee access to universal culturally-safe free early childhood education and care, and ensure adequate non-punitive social </w:t>
      </w:r>
      <w:r>
        <w:t>policy and programs</w:t>
      </w:r>
      <w:r w:rsidRPr="003A4976">
        <w:t xml:space="preserve"> that keep women and children safe and together</w:t>
      </w:r>
    </w:p>
    <w:p w14:paraId="05814A73" w14:textId="77777777" w:rsidR="008C7AC8" w:rsidRPr="003A4976" w:rsidRDefault="008C7AC8" w:rsidP="008C7AC8">
      <w:pPr>
        <w:pStyle w:val="ListParagraph"/>
        <w:numPr>
          <w:ilvl w:val="0"/>
          <w:numId w:val="12"/>
        </w:numPr>
        <w:spacing w:before="120" w:after="0" w:line="264" w:lineRule="auto"/>
      </w:pPr>
      <w:r w:rsidRPr="0020247A">
        <w:rPr>
          <w:b/>
          <w:bCs/>
        </w:rPr>
        <w:t>Ending carer and motherhood penalties</w:t>
      </w:r>
      <w:r w:rsidRPr="003A4976">
        <w:t xml:space="preserve"> - The care and education provided to children by women is critical to the functioning of a healthy society and must be supported by ensuring access to basic needs and affordable services such as housing, food and child and health care</w:t>
      </w:r>
    </w:p>
    <w:p w14:paraId="4C11D094" w14:textId="77777777" w:rsidR="008C7AC8" w:rsidRPr="003A4976" w:rsidRDefault="008C7AC8" w:rsidP="008C7AC8">
      <w:pPr>
        <w:pStyle w:val="ListParagraph"/>
        <w:numPr>
          <w:ilvl w:val="0"/>
          <w:numId w:val="12"/>
        </w:numPr>
        <w:spacing w:before="120" w:after="0" w:line="264" w:lineRule="auto"/>
      </w:pPr>
      <w:r w:rsidRPr="0020247A">
        <w:rPr>
          <w:b/>
          <w:bCs/>
        </w:rPr>
        <w:t xml:space="preserve">Investing in women’s training in and beyond care work </w:t>
      </w:r>
      <w:r w:rsidRPr="003A4976">
        <w:t>- Ensure access to training and skills-development for women across all sectors and outside formal employment, with appropriate wrap-around supports. This also includes supports for women providing unpaid work and, if interested, pathways to qualifications and employment</w:t>
      </w:r>
    </w:p>
    <w:p w14:paraId="627B9D73" w14:textId="77777777" w:rsidR="008C7AC8" w:rsidRPr="003A4976" w:rsidRDefault="008C7AC8" w:rsidP="008C7AC8">
      <w:pPr>
        <w:pStyle w:val="ListParagraph"/>
        <w:numPr>
          <w:ilvl w:val="0"/>
          <w:numId w:val="12"/>
        </w:numPr>
        <w:spacing w:before="120" w:after="0" w:line="264" w:lineRule="auto"/>
      </w:pPr>
      <w:r w:rsidRPr="0020247A">
        <w:rPr>
          <w:b/>
          <w:bCs/>
        </w:rPr>
        <w:t>Creating comprehensive gender-focused culturally-safe workplace policies</w:t>
      </w:r>
      <w:r w:rsidRPr="003A4976">
        <w:t>—for instance, by providing childcare within workplaces, family violence leave, cultural leave and flexible working arrangements</w:t>
      </w:r>
    </w:p>
    <w:p w14:paraId="3B541CE5" w14:textId="77777777" w:rsidR="008C7AC8" w:rsidRPr="003A4976" w:rsidRDefault="008C7AC8" w:rsidP="008C7AC8">
      <w:pPr>
        <w:pStyle w:val="ListParagraph"/>
        <w:numPr>
          <w:ilvl w:val="0"/>
          <w:numId w:val="12"/>
        </w:numPr>
        <w:spacing w:before="120" w:after="0" w:line="264" w:lineRule="auto"/>
      </w:pPr>
      <w:r w:rsidRPr="0020247A">
        <w:rPr>
          <w:b/>
          <w:bCs/>
        </w:rPr>
        <w:t>Recognising care work in and beyond GDP measurements</w:t>
      </w:r>
      <w:r w:rsidRPr="003A4976">
        <w:t xml:space="preserve"> </w:t>
      </w:r>
      <w:r>
        <w:t xml:space="preserve">- </w:t>
      </w:r>
      <w:r w:rsidRPr="003A4976">
        <w:t>Capture the full spectrum of women’s care work, including care for Country and cultural maintenance and record and measure its value to supporting the health, wellbeing and prosperity of society and the national economy.</w:t>
      </w:r>
    </w:p>
    <w:p w14:paraId="24E5480C" w14:textId="77777777" w:rsidR="008C7AC8" w:rsidRPr="003A4976" w:rsidRDefault="008C7AC8" w:rsidP="008C7AC8">
      <w:pPr>
        <w:pStyle w:val="ListParagraph"/>
        <w:numPr>
          <w:ilvl w:val="0"/>
          <w:numId w:val="12"/>
        </w:numPr>
        <w:spacing w:before="120" w:after="0" w:line="264" w:lineRule="auto"/>
      </w:pPr>
      <w:r w:rsidRPr="0020247A">
        <w:rPr>
          <w:b/>
          <w:bCs/>
        </w:rPr>
        <w:t>Guaranteeing care for those with disabilities</w:t>
      </w:r>
      <w:r w:rsidRPr="003A4976">
        <w:t xml:space="preserve"> - Invest in accessible services for all First Nations people with disabilities and health concerns requiring care and provide adequate income and wrap-around services—including respite—for caregivers who provide disability support and health care</w:t>
      </w:r>
    </w:p>
    <w:p w14:paraId="0B09B972" w14:textId="77777777" w:rsidR="008C7AC8" w:rsidRPr="003A4976" w:rsidRDefault="008C7AC8" w:rsidP="008C7AC8">
      <w:pPr>
        <w:pStyle w:val="ListParagraph"/>
        <w:numPr>
          <w:ilvl w:val="0"/>
          <w:numId w:val="12"/>
        </w:numPr>
        <w:spacing w:before="120" w:after="0" w:line="264" w:lineRule="auto"/>
      </w:pPr>
      <w:r w:rsidRPr="0020247A">
        <w:rPr>
          <w:b/>
          <w:bCs/>
        </w:rPr>
        <w:t>Ensuring safe, engaged and dignified elder care</w:t>
      </w:r>
      <w:r w:rsidRPr="003A4976">
        <w:t xml:space="preserve"> - Ensure access and sustainable investment into safe and culturally-appropriate aged care facilities and services, alongside fair income supports and resources for women caring for elders in their homes and on Country.</w:t>
      </w:r>
    </w:p>
    <w:p w14:paraId="0F1C1007" w14:textId="77777777" w:rsidR="008C7AC8" w:rsidRPr="003A4976" w:rsidRDefault="008C7AC8" w:rsidP="008C7AC8">
      <w:pPr>
        <w:pStyle w:val="ListParagraph"/>
        <w:numPr>
          <w:ilvl w:val="0"/>
          <w:numId w:val="12"/>
        </w:numPr>
        <w:spacing w:before="120" w:after="0" w:line="264" w:lineRule="auto"/>
      </w:pPr>
      <w:r w:rsidRPr="0020247A">
        <w:rPr>
          <w:b/>
          <w:bCs/>
        </w:rPr>
        <w:t>Providing the supports for intimate time on Country</w:t>
      </w:r>
      <w:r w:rsidRPr="003A4976">
        <w:t xml:space="preserve"> - Ensure women can spend intimate time on Country to provide critical care to Country and care for their families through the practice of culture and the active transference of knowledge</w:t>
      </w:r>
    </w:p>
    <w:p w14:paraId="429F8634" w14:textId="77777777" w:rsidR="008C7AC8" w:rsidRPr="003A4976" w:rsidRDefault="00AC16AD" w:rsidP="008C7AC8">
      <w:pPr>
        <w:rPr>
          <w:i/>
          <w:iCs/>
        </w:rPr>
      </w:pPr>
      <w:hyperlink r:id="rId23" w:history="1">
        <w:r w:rsidR="008C7AC8" w:rsidRPr="0020247A">
          <w:rPr>
            <w:rStyle w:val="Hyperlink"/>
            <w:rFonts w:eastAsiaTheme="majorEastAsia"/>
            <w:i/>
            <w:iCs/>
          </w:rPr>
          <w:t>Major priority 9 of the Implementation Framework</w:t>
        </w:r>
      </w:hyperlink>
      <w:r w:rsidR="008C7AC8" w:rsidRPr="003A4976">
        <w:rPr>
          <w:i/>
          <w:iCs/>
        </w:rPr>
        <w:t xml:space="preserve"> focuses specifically on care and unpaid work.</w:t>
      </w:r>
    </w:p>
    <w:p w14:paraId="7CEC526D" w14:textId="77777777" w:rsidR="008C7AC8" w:rsidRDefault="008C7AC8" w:rsidP="008C7AC8">
      <w:pPr>
        <w:pStyle w:val="Heading1"/>
      </w:pPr>
      <w:bookmarkStart w:id="22" w:name="_Toc166172087"/>
      <w:bookmarkStart w:id="23" w:name="_Toc168655814"/>
      <w:r>
        <w:t>Conclusion</w:t>
      </w:r>
      <w:bookmarkEnd w:id="22"/>
      <w:bookmarkEnd w:id="23"/>
    </w:p>
    <w:p w14:paraId="11232220" w14:textId="77777777" w:rsidR="008C7AC8" w:rsidRDefault="008C7AC8" w:rsidP="008C7AC8">
      <w:r>
        <w:t>Ultimately, the devaluing of care work is something that affects all Australian women, but also Australian and global society as a whole. The structures needed to create enabling conditions for Aboriginal and Torres Strait Islander women and girls, where they are empowered, safe, and supported to provide care for their families, communities and Countries are missing. We know, as articulated by Aboriginal and Torres Strait Islander women and girls, that systems change can happen when women’s voices are heard and responded to with reciprocity.</w:t>
      </w:r>
    </w:p>
    <w:p w14:paraId="0BE0E94A" w14:textId="6EDC5BED" w:rsidR="008C7AC8" w:rsidRPr="00C47089" w:rsidRDefault="008C7AC8" w:rsidP="008C7AC8">
      <w:r>
        <w:t>W</w:t>
      </w:r>
      <w:r w:rsidRPr="00C47089">
        <w:t xml:space="preserve">hile this submission reflects the experiences of </w:t>
      </w:r>
      <w:r>
        <w:t>Aboriginal and Torres Strait Islander</w:t>
      </w:r>
      <w:r w:rsidRPr="00C47089">
        <w:t xml:space="preserve"> women</w:t>
      </w:r>
      <w:r>
        <w:t xml:space="preserve">, </w:t>
      </w:r>
      <w:r w:rsidRPr="00C47089">
        <w:t xml:space="preserve">many aspects of these experiences are shared by others. Culturally and linguistically diverse women, including migrants and refugees experience much of the same exclusion and challenges navigating care and support systems as </w:t>
      </w:r>
      <w:r>
        <w:t>Aboriginal and Torres Strait Islander</w:t>
      </w:r>
      <w:r w:rsidRPr="00C47089">
        <w:t xml:space="preserve"> providers and receivers of care. Similarly, men and boys are also impacted by the care economy in diverse ways and these experiences should not be lost within discussions of the care economy. By acknowledging and embracing </w:t>
      </w:r>
      <w:r>
        <w:t>Aboriginal and Torres Strait Islander</w:t>
      </w:r>
      <w:r w:rsidRPr="00C47089">
        <w:t xml:space="preserve"> women’s perspective on care and their experiences and barriers within the care sector, there is an opportunity to develop more effective and sustainable caring infrastructure that can positively impact the wider Australian society.</w:t>
      </w:r>
    </w:p>
    <w:p w14:paraId="4E62702F" w14:textId="77777777" w:rsidR="008C7AC8" w:rsidRDefault="008C7AC8" w:rsidP="008C7AC8">
      <w:r>
        <w:t xml:space="preserve">In the Wiyi Yani U Thangani 2020 Report: </w:t>
      </w:r>
      <w:r>
        <w:rPr>
          <w:i/>
          <w:iCs/>
        </w:rPr>
        <w:t>Securing our Rights, Securing our Future</w:t>
      </w:r>
      <w:r>
        <w:t xml:space="preserve"> women describe their caring roles as a major source of strength, but also as a challenge. Ongoing work, supported by all systems actors, including this inquiry by the ACT government, provide a step in the right direction towards eliminating the challenges and highlighting the strengths of Aboriginal and Torres Strait Islander women’s care work. We note that short-term policy changes that seek to support care work must be complemented by more transformational and long-term action that shifts systems away from being punitive and unsafe to enabling, holistic and caring.</w:t>
      </w:r>
    </w:p>
    <w:p w14:paraId="31768CAC" w14:textId="77777777" w:rsidR="008C7AC8" w:rsidRDefault="008C7AC8" w:rsidP="008C7AC8">
      <w:r>
        <w:t>Again, we commend the ACT Government for initiating this inquiry into unpaid care, and are hopeful towards seeing meaningful action towards recognising Aboriginal and Torres Strait Islander women’s care work. We see this work as fundamental to the realisation of First Nations gender justice, and responding to the needs of women, gender-diverse peoples and all people experiencing marginalisation and vulnerability across Australia.</w:t>
      </w:r>
    </w:p>
    <w:p w14:paraId="2BFF74E8" w14:textId="77777777" w:rsidR="008C7AC8" w:rsidRDefault="008C7AC8" w:rsidP="008C7AC8">
      <w:pPr>
        <w:rPr>
          <w:rFonts w:asciiTheme="majorHAnsi" w:eastAsiaTheme="majorEastAsia" w:hAnsiTheme="majorHAnsi" w:cs="Times New Roman (Headings CS)"/>
          <w:color w:val="68318E" w:themeColor="accent1"/>
          <w:sz w:val="36"/>
          <w:szCs w:val="32"/>
        </w:rPr>
      </w:pPr>
      <w:r>
        <w:t xml:space="preserve">We look forward to following the outcomes of the Inquiry and seeing meaningful change to support unpaid care in the ACT. </w:t>
      </w:r>
      <w:r>
        <w:br w:type="page"/>
      </w:r>
    </w:p>
    <w:p w14:paraId="0234BAA2" w14:textId="77777777" w:rsidR="008C7AC8" w:rsidRDefault="008C7AC8" w:rsidP="008C7AC8">
      <w:pPr>
        <w:pStyle w:val="Heading1"/>
      </w:pPr>
      <w:bookmarkStart w:id="24" w:name="_Toc166172088"/>
      <w:bookmarkStart w:id="25" w:name="_Toc168655815"/>
      <w:r>
        <w:t>Appendix</w:t>
      </w:r>
      <w:bookmarkEnd w:id="24"/>
      <w:bookmarkEnd w:id="25"/>
    </w:p>
    <w:p w14:paraId="3BE87DDE" w14:textId="77777777" w:rsidR="008C7AC8" w:rsidRDefault="008C7AC8" w:rsidP="008C7AC8">
      <w:pPr>
        <w:pStyle w:val="Heading2"/>
      </w:pPr>
      <w:bookmarkStart w:id="26" w:name="_Toc165967673"/>
      <w:bookmarkStart w:id="27" w:name="_Toc166172089"/>
      <w:bookmarkStart w:id="28" w:name="_Toc168655816"/>
      <w:r>
        <w:t>Australian Human Rights Commission, Submission to the Department of Prime Minister and Cabinet on the draft National Care and Support Economy Strategy 2023 (10 July 2023)</w:t>
      </w:r>
      <w:bookmarkEnd w:id="26"/>
      <w:bookmarkEnd w:id="27"/>
      <w:bookmarkEnd w:id="28"/>
    </w:p>
    <w:p w14:paraId="61317D26" w14:textId="26B90522" w:rsidR="008C7AC8" w:rsidRPr="00297B90" w:rsidRDefault="008C7AC8" w:rsidP="008C7AC8">
      <w:pPr>
        <w:pStyle w:val="Heading3"/>
      </w:pPr>
      <w:bookmarkStart w:id="29" w:name="_Toc207761830"/>
      <w:bookmarkStart w:id="30" w:name="_Toc209578266"/>
      <w:bookmarkStart w:id="31" w:name="_Toc209941766"/>
      <w:bookmarkStart w:id="32" w:name="_Toc137633295"/>
      <w:bookmarkStart w:id="33" w:name="_Toc138754666"/>
      <w:bookmarkStart w:id="34" w:name="_Toc166172090"/>
      <w:bookmarkStart w:id="35" w:name="_Toc168655817"/>
      <w:r>
        <w:t xml:space="preserve">1. </w:t>
      </w:r>
      <w:r w:rsidRPr="00297B90">
        <w:t>Introduction</w:t>
      </w:r>
      <w:bookmarkStart w:id="36" w:name="_Toc138754667"/>
      <w:bookmarkEnd w:id="29"/>
      <w:bookmarkEnd w:id="30"/>
      <w:bookmarkEnd w:id="31"/>
      <w:bookmarkEnd w:id="32"/>
      <w:bookmarkEnd w:id="33"/>
      <w:bookmarkEnd w:id="34"/>
      <w:bookmarkEnd w:id="35"/>
      <w:bookmarkEnd w:id="36"/>
    </w:p>
    <w:p w14:paraId="429B00EF" w14:textId="77777777" w:rsidR="008C7AC8" w:rsidRPr="00297B90" w:rsidRDefault="008C7AC8" w:rsidP="008C7AC8">
      <w:r w:rsidRPr="00297B90">
        <w:t>The Australian Human Rights Commission (the Commission) welcomes the opportunity to make this submission to the Department of the Prime Minister and Cabinet on the draft National Care and Support Economy Strategy 2023 (Strategy). The draft Strategy is an important means to open a national conversation about care, particularly as the need for care increases as the general population ages. The past three years since the advent of COVID-19 have thrown the importance of a well-supported care economy into sharp relief, and we commend the attention given to this critical issue.</w:t>
      </w:r>
    </w:p>
    <w:p w14:paraId="4F7F9A67" w14:textId="77777777" w:rsidR="008C7AC8" w:rsidRPr="00297B90" w:rsidRDefault="008C7AC8" w:rsidP="008C7AC8">
      <w:r w:rsidRPr="00297B90">
        <w:t>The Commission acknowledges the draft Strategy’s engagement with the Wiyi Yani U Thangani Report (2020) (WYUT Report) in drafting this document. Although the Commission holds a number of portfolios that broadly engage with the care and support economy, including disability discrimination, age discrimination, and children’s rights, this submission focuses on furthering the evidence provided in the Wiyi Yani U Thangani project. This submission also presents research led by the Australian National University</w:t>
      </w:r>
      <w:r w:rsidRPr="00297B90">
        <w:rPr>
          <w:vertAlign w:val="superscript"/>
        </w:rPr>
        <w:footnoteReference w:id="17"/>
      </w:r>
      <w:r w:rsidRPr="00297B90">
        <w:t xml:space="preserve"> which was developed based on and in ongoing collaboration with the Wiyi Yani U Thangani project. </w:t>
      </w:r>
    </w:p>
    <w:p w14:paraId="6D53497E" w14:textId="77777777" w:rsidR="008C7AC8" w:rsidRPr="00297B90" w:rsidRDefault="008C7AC8" w:rsidP="008C7AC8">
      <w:r w:rsidRPr="00297B90">
        <w:t>Recognising the value and extent of care and support performed by First Nations women and girls is central to the Wiyi Yani U Thangani project as they are deeply involved in care. They carry knowledge about sustaining existence, they do the backbone work of society – caring for children, family and Country – and are at the forefront of driving economic and social change.</w:t>
      </w:r>
      <w:r w:rsidRPr="00297B90">
        <w:rPr>
          <w:vertAlign w:val="superscript"/>
        </w:rPr>
        <w:endnoteReference w:id="2"/>
      </w:r>
      <w:r w:rsidRPr="00297B90">
        <w:t xml:space="preserve"> Recognising this economy of care and investing in the services, goods and resources to ensure women are supported, healthy and self-determined, is vital to advancing societal health and wellbeing.</w:t>
      </w:r>
    </w:p>
    <w:p w14:paraId="2F374C14" w14:textId="77777777" w:rsidR="008C7AC8" w:rsidRPr="00297B90" w:rsidRDefault="008C7AC8" w:rsidP="008C7AC8">
      <w:r w:rsidRPr="00297B90">
        <w:t xml:space="preserve">The Commission also commends the Australian Government’s recently announced Inquiry into the recognition of unpaid carers, and commitment to reform the </w:t>
      </w:r>
      <w:r w:rsidRPr="00297B90">
        <w:rPr>
          <w:i/>
          <w:iCs/>
        </w:rPr>
        <w:t>Carer Recognition Act 2010</w:t>
      </w:r>
      <w:r w:rsidRPr="00297B90">
        <w:t>. We commend the explicit commitment to understanding the needs of First Nations carers among other specific cohorts, and to ensure a focus on gender equity in reforming the Act. It is critical that these reforms recognise the true scope and complexity of care through a First Nations women’s lens so that unpaid care can be accurately measured and adequately funded. In conjunction with the draft Strategy, it is hoped that action</w:t>
      </w:r>
      <w:r w:rsidRPr="00297B90">
        <w:rPr>
          <w:i/>
          <w:iCs/>
        </w:rPr>
        <w:t xml:space="preserve"> </w:t>
      </w:r>
      <w:r w:rsidRPr="00297B90">
        <w:t>will emerge to reconstruct the care and support economy into a system that truly values the full extent of care work, and which ends cycles of harm and disadvantage that unsustainable levels of unpaid and informal care place on the lives of women and girls.</w:t>
      </w:r>
    </w:p>
    <w:p w14:paraId="776E64EB" w14:textId="77777777" w:rsidR="008C7AC8" w:rsidRPr="00297B90" w:rsidRDefault="008C7AC8" w:rsidP="008C7AC8">
      <w:r w:rsidRPr="00297B90">
        <w:t xml:space="preserve">Although the draft Strategy identifies some of the key elements to improving the care and support economy, it falls short of the vision set out in the Wiyi Yani U Thangani project to effectively recognise and value the full spectrum of women’s care work. This approach considers the development and establishment of comprehensive wrap-around care infrastructure that promotes collective wellbeing and empowers First Nations women in line with a First Nations holistic understanding of care. The draft Strategy makes a valuable attempt to recognise the unique role of First Nations people and their conceptions of care but it does not go far enough and, as such, risks underserving an extremely vulnerable population. Continuing to marginalise First Nations women’s care work and knowledges perpetuates discrimination and systemic harms, with downstream consequences of increased negative experiences in the child protection, justice and health sectors. </w:t>
      </w:r>
    </w:p>
    <w:p w14:paraId="61227A6A" w14:textId="66EAAAFD" w:rsidR="008C7AC8" w:rsidRPr="00297B90" w:rsidRDefault="008C7AC8" w:rsidP="008C7AC8">
      <w:r w:rsidRPr="00297B90">
        <w:t>Care and support are essential to supporting human rights in Australia, as Klein describes, ‘care is an essential part of life; it grows peoples, nourishes peoples, and no one can live without it’.</w:t>
      </w:r>
      <w:r w:rsidRPr="00297B90">
        <w:rPr>
          <w:vertAlign w:val="superscript"/>
        </w:rPr>
        <w:endnoteReference w:id="3"/>
      </w:r>
      <w:r w:rsidRPr="00297B90">
        <w:t xml:space="preserve"> We must, therefore, continue to ensure respect for the full spectrum of human rights – which are all interconnected – </w:t>
      </w:r>
      <w:r w:rsidR="00244443">
        <w:t>i</w:t>
      </w:r>
      <w:r w:rsidRPr="00297B90">
        <w:t>n order to create the supportive and enabling environment necessary for every individual to live a dignified life. When individuals and communities are supported and listened to, they are in turn able to participate in the economy and the economic benefits for all of society are multiple and widespread.</w:t>
      </w:r>
      <w:r w:rsidRPr="00297B90">
        <w:rPr>
          <w:vertAlign w:val="superscript"/>
        </w:rPr>
        <w:endnoteReference w:id="4"/>
      </w:r>
    </w:p>
    <w:p w14:paraId="02BF15D8" w14:textId="77777777" w:rsidR="008C7AC8" w:rsidRPr="00297B90" w:rsidRDefault="008C7AC8" w:rsidP="008C7AC8">
      <w:bookmarkStart w:id="37" w:name="_Toc138754668"/>
      <w:r w:rsidRPr="00297B90">
        <w:t xml:space="preserve">To adequately capture this understanding of care, systemic change work needs to take place immediately, reflecting and responding to lived experiences of First Nations women and adapting to change. Key to this change is a reorientation of the Strategy away from a market-based approach to care to a holistic understanding that centres individual and collective experiences of care. </w:t>
      </w:r>
    </w:p>
    <w:p w14:paraId="77B5B111" w14:textId="77777777" w:rsidR="008C7AC8" w:rsidRPr="00297B90" w:rsidRDefault="008C7AC8" w:rsidP="008C7AC8">
      <w:r w:rsidRPr="00297B90">
        <w:rPr>
          <w:bCs/>
        </w:rPr>
        <w:t xml:space="preserve">The draft Strategy raises points across a range of areas relevant to the Wiyi Yani U Thangani project. This submission will focus on several salient areas which emerged through our national consultation processes, presenting the following key arguments to address gaps in the draft Strategy and refocus care and support on the full spectrum of care, as articulated by First Nations women and girls: </w:t>
      </w:r>
    </w:p>
    <w:p w14:paraId="1056E2D3" w14:textId="77777777" w:rsidR="008C7AC8" w:rsidRPr="00A12527" w:rsidRDefault="008C7AC8" w:rsidP="00A12527">
      <w:pPr>
        <w:pStyle w:val="ListParagraph"/>
        <w:numPr>
          <w:ilvl w:val="0"/>
          <w:numId w:val="15"/>
        </w:numPr>
      </w:pPr>
      <w:r w:rsidRPr="00A12527">
        <w:t>Investing in care and support as a safeguard of human rights presents economic benefits in addition to positive social, cultural and environmental outcomes. Strengthening supports for a productive and adequate care and support economy provides greater possibility of realising rights to health, education, safety, and cultural rights, among others. Through adequate measures that alleviate barriers to accessing care promotes rights to non-discrimination and equality. The realisation of these rights creates the foundations for a healthy and strong society and economy.</w:t>
      </w:r>
    </w:p>
    <w:p w14:paraId="7048769E" w14:textId="14C8C9ED" w:rsidR="008C7AC8" w:rsidRPr="00A12527" w:rsidRDefault="008C7AC8" w:rsidP="00A12527">
      <w:pPr>
        <w:pStyle w:val="ListParagraph"/>
        <w:numPr>
          <w:ilvl w:val="0"/>
          <w:numId w:val="15"/>
        </w:numPr>
      </w:pPr>
      <w:r w:rsidRPr="00A12527">
        <w:t xml:space="preserve">Expanding the concept of care in the draft Strategy to include First Nations women’s holistic understanding of collective care would produce a more productive and sustainable care and support economy. Systemic invisibility and ongoing reluctance by policy-makers to see and understand First Nations peoples’ unpaid and informal care work limits the ability of the draft Strategy to produce a productive and sustainable care and support economy. This exclusion must be addressed for the strategy to be equitable, to avoid expropriation of First Nations women’s labour and to reflect a commitment to First Nations rights. </w:t>
      </w:r>
      <w:r w:rsidR="00A12527" w:rsidRPr="00A12527">
        <w:br/>
      </w:r>
    </w:p>
    <w:p w14:paraId="26FB6D8E" w14:textId="77777777" w:rsidR="008C7AC8" w:rsidRPr="00A12527" w:rsidRDefault="008C7AC8" w:rsidP="00A12527">
      <w:pPr>
        <w:pStyle w:val="ListParagraph"/>
        <w:numPr>
          <w:ilvl w:val="0"/>
          <w:numId w:val="15"/>
        </w:numPr>
      </w:pPr>
      <w:r w:rsidRPr="00A12527">
        <w:t>A sustainable and functional care and support economy requires systemic reform refocusing on the experiences and needs of First Nations women. Building strong foundations for the care and support economy through local investment in the people who are already performing care, and who deeply understand the needs of their communities, mitigates downstream issues. This reflects the draft Strategy’s goal of shifting unpaid care workers into the formal economy and supports the informal economy to function sustainably and productively to the benefit of (and beyond) the formal economy.</w:t>
      </w:r>
    </w:p>
    <w:p w14:paraId="16A6B8A1" w14:textId="23BA6641" w:rsidR="008C7AC8" w:rsidRPr="00297B90" w:rsidRDefault="008C7AC8" w:rsidP="008C7AC8">
      <w:r w:rsidRPr="00297B90">
        <w:t>While the evidence provided for this submission reflects the experiences of First Nations women, as was the focus of the WYUT Report, many aspects of these experiences are shared by others. Culturally and linguistically diverse women, including migrants and refugees experience much of the same exclusion and challenges navigating care and support systems as First Nations providers and receivers of care. Similarly, men and boys are also impacted by the care economy in diverse ways and these experiences should not be lost within discussions of the care economy. By acknowledging and embracing First Nations women’s perspective on care and their experiences and barriers within the care sector, there is an opportunity to develop more effective and sustainable models of caring infrastructure that can positively impact the wider Australian society.</w:t>
      </w:r>
    </w:p>
    <w:p w14:paraId="1505BC60" w14:textId="77777777" w:rsidR="008C7AC8" w:rsidRPr="00297B90" w:rsidRDefault="008C7AC8" w:rsidP="008C7AC8">
      <w:pPr>
        <w:pStyle w:val="Heading4"/>
      </w:pPr>
      <w:r w:rsidRPr="00297B90">
        <w:t>Recommendations</w:t>
      </w:r>
    </w:p>
    <w:p w14:paraId="18187815" w14:textId="77777777" w:rsidR="008C7AC8" w:rsidRPr="00297B90" w:rsidRDefault="008C7AC8" w:rsidP="008C7AC8">
      <w:r w:rsidRPr="00297B90">
        <w:t>The following recommendations will enable the draft Strategy to meet its goals and objectives more effectively and build a care and support economy that is responsive to the needs and experiences of all people across Australia. The recommendations relate to tangible areas within the current draft Strategy that can be actioned or strengthened.</w:t>
      </w:r>
    </w:p>
    <w:p w14:paraId="7DC382DC" w14:textId="77777777" w:rsidR="008C7AC8" w:rsidRPr="00297B90" w:rsidRDefault="008C7AC8" w:rsidP="008C7AC8">
      <w:pPr>
        <w:rPr>
          <w:b/>
        </w:rPr>
      </w:pPr>
      <w:r w:rsidRPr="00297B90">
        <w:rPr>
          <w:b/>
          <w:bCs/>
        </w:rPr>
        <w:t>Recommendation 1: Recognise the central role of informal care arrangements on the care economy, particularly for First Nations people, by broadening the definition of care to reflect First Nations conceptions of care</w:t>
      </w:r>
    </w:p>
    <w:p w14:paraId="50802BD4" w14:textId="77777777" w:rsidR="008C7AC8" w:rsidRPr="00297B90" w:rsidRDefault="008C7AC8" w:rsidP="008C7AC8">
      <w:r w:rsidRPr="00297B90">
        <w:t>The Strategy should:</w:t>
      </w:r>
    </w:p>
    <w:p w14:paraId="601E523C" w14:textId="77777777" w:rsidR="008C7AC8" w:rsidRPr="00297B90" w:rsidRDefault="008C7AC8" w:rsidP="008C7AC8">
      <w:pPr>
        <w:numPr>
          <w:ilvl w:val="1"/>
          <w:numId w:val="3"/>
        </w:numPr>
        <w:spacing w:before="240" w:after="0" w:line="264" w:lineRule="auto"/>
      </w:pPr>
      <w:r w:rsidRPr="00297B90">
        <w:t>Broaden the definition of carer and support worker and recognise the full spectrum of care, including collective care models, performed by women across the informal and formal economy, and consider building on this work through the development of a dedicated First Nations action plans.</w:t>
      </w:r>
    </w:p>
    <w:p w14:paraId="0645A90F" w14:textId="77777777" w:rsidR="008C7AC8" w:rsidRPr="00297B90" w:rsidRDefault="008C7AC8" w:rsidP="008C7AC8">
      <w:pPr>
        <w:numPr>
          <w:ilvl w:val="1"/>
          <w:numId w:val="3"/>
        </w:numPr>
        <w:spacing w:before="240" w:after="0" w:line="264" w:lineRule="auto"/>
      </w:pPr>
      <w:r w:rsidRPr="00297B90">
        <w:t xml:space="preserve">Include actions that work towards broadening the definition of care applied in relevant legislation including the Carer Recognition Act 2010 (Cth), Sex Discrimination Act 1984 (Cth) and the Fair Work Act 2009 (Cth) to encompass carers and support workers that are unpaid, perform collective caring and support responsibilities and those informally recognised in the economy, including domestic work and duties performed by paid carers that go beyond their formal duties. </w:t>
      </w:r>
    </w:p>
    <w:p w14:paraId="39734F16" w14:textId="77777777" w:rsidR="008C7AC8" w:rsidRPr="00297B90" w:rsidRDefault="008C7AC8" w:rsidP="008C7AC8">
      <w:r w:rsidRPr="00297B90">
        <w:t>The Department of the Prime Minister and Cabinet in coordinating the Strategy should:</w:t>
      </w:r>
    </w:p>
    <w:p w14:paraId="17ADC008" w14:textId="77777777" w:rsidR="008C7AC8" w:rsidRPr="00297B90" w:rsidRDefault="008C7AC8" w:rsidP="008C7AC8">
      <w:pPr>
        <w:numPr>
          <w:ilvl w:val="1"/>
          <w:numId w:val="3"/>
        </w:numPr>
        <w:spacing w:before="240" w:after="0" w:line="264" w:lineRule="auto"/>
      </w:pPr>
      <w:r w:rsidRPr="00297B90">
        <w:t>Collaborate with the emerging research and expertise from Australian National and forthcoming Wiyi Yani U Thangani First Nations Gender Justice Institute and draw on this knowledge in the care and support space to inform effective policy.</w:t>
      </w:r>
    </w:p>
    <w:p w14:paraId="7FACBFDB" w14:textId="77777777" w:rsidR="008C7AC8" w:rsidRPr="00297B90" w:rsidRDefault="008C7AC8" w:rsidP="008C7AC8">
      <w:pPr>
        <w:rPr>
          <w:b/>
        </w:rPr>
      </w:pPr>
      <w:r w:rsidRPr="00297B90">
        <w:rPr>
          <w:b/>
          <w:bCs/>
        </w:rPr>
        <w:t xml:space="preserve">Recommendation 2: </w:t>
      </w:r>
      <w:r w:rsidRPr="00297B90">
        <w:rPr>
          <w:b/>
        </w:rPr>
        <w:t>Develop tools and strategies to measure care using this broader definition</w:t>
      </w:r>
    </w:p>
    <w:p w14:paraId="2149234E" w14:textId="77777777" w:rsidR="008C7AC8" w:rsidRPr="00297B90" w:rsidRDefault="008C7AC8" w:rsidP="008C7AC8">
      <w:r w:rsidRPr="00297B90">
        <w:t>The Strategy should:</w:t>
      </w:r>
    </w:p>
    <w:p w14:paraId="0DDC2CCC" w14:textId="77777777" w:rsidR="008C7AC8" w:rsidRPr="00297B90" w:rsidRDefault="008C7AC8" w:rsidP="008C7AC8">
      <w:pPr>
        <w:numPr>
          <w:ilvl w:val="1"/>
          <w:numId w:val="4"/>
        </w:numPr>
        <w:spacing w:before="240" w:after="0" w:line="264" w:lineRule="auto"/>
      </w:pPr>
      <w:r w:rsidRPr="00297B90">
        <w:t>In its evaluation, measurement and governance frameworks, broaden measurement of care through the use of qualitative indicators that go beyond market logic to include values that express the lived experiences, needs and aspirations of First Nations women, communities and families.</w:t>
      </w:r>
    </w:p>
    <w:p w14:paraId="52AF5032" w14:textId="77777777" w:rsidR="008C7AC8" w:rsidRPr="00297B90" w:rsidRDefault="008C7AC8" w:rsidP="008C7AC8">
      <w:pPr>
        <w:numPr>
          <w:ilvl w:val="1"/>
          <w:numId w:val="4"/>
        </w:numPr>
        <w:spacing w:before="240" w:after="0" w:line="264" w:lineRule="auto"/>
      </w:pPr>
      <w:r w:rsidRPr="00297B90">
        <w:t xml:space="preserve">Use existing mechanisms such as the Census, ABS time use survey, National Disability Data Asset and Disability Strategy Outcomes Framework to better capture the full spectrum of care and support undertaken by First Nations women and communities. Disaggregate this data to understand the lived experiences of carers, including by age, education, socio-economic status, and disability. </w:t>
      </w:r>
    </w:p>
    <w:p w14:paraId="2AA46FF2" w14:textId="77777777" w:rsidR="008C7AC8" w:rsidRPr="00297B90" w:rsidRDefault="008C7AC8" w:rsidP="008C7AC8">
      <w:pPr>
        <w:numPr>
          <w:ilvl w:val="1"/>
          <w:numId w:val="4"/>
        </w:numPr>
        <w:spacing w:before="240" w:after="0" w:line="264" w:lineRule="auto"/>
      </w:pPr>
      <w:r w:rsidRPr="00297B90">
        <w:t>Include actions that work towards increasing award wages and reform superannuation schemes for all formal and informal care workers, ensuring that all care workers are appropriately remunerated for the value of work produced.</w:t>
      </w:r>
    </w:p>
    <w:p w14:paraId="01677255" w14:textId="77777777" w:rsidR="008C7AC8" w:rsidRPr="00297B90" w:rsidRDefault="008C7AC8" w:rsidP="008C7AC8">
      <w:pPr>
        <w:numPr>
          <w:ilvl w:val="1"/>
          <w:numId w:val="4"/>
        </w:numPr>
        <w:spacing w:before="240" w:after="0" w:line="264" w:lineRule="auto"/>
      </w:pPr>
      <w:r w:rsidRPr="00297B90">
        <w:t>Use a human rights-based approach, emphasising the value that safeguarding human rights have in building a strong and productive economy and healthy society.</w:t>
      </w:r>
    </w:p>
    <w:p w14:paraId="7899CB11" w14:textId="77777777" w:rsidR="008C7AC8" w:rsidRPr="00297B90" w:rsidRDefault="008C7AC8" w:rsidP="008C7AC8">
      <w:r w:rsidRPr="00297B90">
        <w:t>The Department of the Prime Minister and Cabinet in coordinating the Strategy should:</w:t>
      </w:r>
    </w:p>
    <w:p w14:paraId="3F10411D" w14:textId="77777777" w:rsidR="008C7AC8" w:rsidRPr="00297B90" w:rsidRDefault="008C7AC8" w:rsidP="008C7AC8">
      <w:pPr>
        <w:numPr>
          <w:ilvl w:val="1"/>
          <w:numId w:val="4"/>
        </w:numPr>
        <w:spacing w:before="240" w:after="0" w:line="264" w:lineRule="auto"/>
      </w:pPr>
      <w:r w:rsidRPr="00297B90">
        <w:t>Ensure that development of monitoring and evaluation frameworks are co-designed with multiple stakeholders and communities including peak organisations such as SNAICC.</w:t>
      </w:r>
    </w:p>
    <w:p w14:paraId="6D9ED72A" w14:textId="77777777" w:rsidR="008C7AC8" w:rsidRPr="00297B90" w:rsidRDefault="008C7AC8" w:rsidP="008C7AC8">
      <w:pPr>
        <w:numPr>
          <w:ilvl w:val="1"/>
          <w:numId w:val="4"/>
        </w:numPr>
        <w:spacing w:before="240" w:after="0" w:line="264" w:lineRule="auto"/>
      </w:pPr>
      <w:r w:rsidRPr="00297B90">
        <w:t>Engage with current research and expertise, including the WYUT project, to understand what a system of effective remuneration and support of care may look like so that measurement and evaluation adequately captures the full extent of care performed across the formal and informal economy.</w:t>
      </w:r>
    </w:p>
    <w:p w14:paraId="01B15A1A" w14:textId="77777777" w:rsidR="008C7AC8" w:rsidRPr="00297B90" w:rsidRDefault="008C7AC8" w:rsidP="008C7AC8">
      <w:pPr>
        <w:rPr>
          <w:b/>
        </w:rPr>
      </w:pPr>
      <w:r w:rsidRPr="00297B90">
        <w:rPr>
          <w:b/>
          <w:bCs/>
        </w:rPr>
        <w:t xml:space="preserve">Recommendation 3: </w:t>
      </w:r>
      <w:r w:rsidRPr="00297B90">
        <w:rPr>
          <w:b/>
        </w:rPr>
        <w:t>Take a systems mapping and systems change approach to supporting the full spectrum of care services and provision, from early intervention and prevention through to acute and crisis response forms of care</w:t>
      </w:r>
    </w:p>
    <w:p w14:paraId="0BDA4408" w14:textId="77777777" w:rsidR="008C7AC8" w:rsidRPr="00297B90" w:rsidRDefault="008C7AC8" w:rsidP="008C7AC8">
      <w:r w:rsidRPr="00297B90">
        <w:t>The Strategy should:</w:t>
      </w:r>
    </w:p>
    <w:p w14:paraId="4F709D4E" w14:textId="77777777" w:rsidR="008C7AC8" w:rsidRPr="00297B90" w:rsidRDefault="008C7AC8" w:rsidP="008C7AC8">
      <w:pPr>
        <w:numPr>
          <w:ilvl w:val="1"/>
          <w:numId w:val="5"/>
        </w:numPr>
        <w:spacing w:before="240" w:after="0" w:line="264" w:lineRule="auto"/>
      </w:pPr>
      <w:r w:rsidRPr="00297B90">
        <w:t xml:space="preserve">Draw on existing systems mapping approaches (as discussed in section 4.1) to map the complex systems around care, and draw on this evidence to identify priorities for policy change and funding. </w:t>
      </w:r>
    </w:p>
    <w:p w14:paraId="2E4FA53A" w14:textId="77777777" w:rsidR="008C7AC8" w:rsidRPr="00297B90" w:rsidRDefault="008C7AC8" w:rsidP="008C7AC8">
      <w:pPr>
        <w:numPr>
          <w:ilvl w:val="1"/>
          <w:numId w:val="5"/>
        </w:numPr>
        <w:spacing w:before="240" w:after="0" w:line="264" w:lineRule="auto"/>
      </w:pPr>
      <w:r w:rsidRPr="00297B90">
        <w:t xml:space="preserve">Align and cooperate with other policy frameworks, specifically First Nations policy, including Closing the Gap, Aboriginal and Torres Strait Islander actions plans across National Strategies, the Wiyi Yani U Thangani Implementation Framework and the Wiyi Yani U Thangani Framework for Action (in development) to achieve collective goals and priorities. The Gender Equality framework should also be prioritised. </w:t>
      </w:r>
    </w:p>
    <w:p w14:paraId="40825BD7" w14:textId="77777777" w:rsidR="008C7AC8" w:rsidRPr="00297B90" w:rsidRDefault="008C7AC8" w:rsidP="008C7AC8">
      <w:pPr>
        <w:numPr>
          <w:ilvl w:val="1"/>
          <w:numId w:val="5"/>
        </w:numPr>
        <w:spacing w:before="240" w:after="0" w:line="264" w:lineRule="auto"/>
      </w:pPr>
      <w:r w:rsidRPr="00297B90">
        <w:t xml:space="preserve">Engage with the Wiyi Yani U Thangani Implementation Framework, drawing on the systems change approach, as well as the actions and recommendations to move systems from punitive and uncaring to effective and supportive care services. </w:t>
      </w:r>
    </w:p>
    <w:p w14:paraId="640A22AA" w14:textId="77777777" w:rsidR="008C7AC8" w:rsidRPr="00297B90" w:rsidRDefault="008C7AC8" w:rsidP="008C7AC8">
      <w:pPr>
        <w:rPr>
          <w:b/>
        </w:rPr>
      </w:pPr>
      <w:r w:rsidRPr="00297B90">
        <w:rPr>
          <w:b/>
          <w:bCs/>
        </w:rPr>
        <w:t>Recommendation 4: Refocus policy reforms on investing in prevention and early intervention services</w:t>
      </w:r>
    </w:p>
    <w:p w14:paraId="73E0D29C" w14:textId="77777777" w:rsidR="008C7AC8" w:rsidRPr="00297B90" w:rsidRDefault="008C7AC8" w:rsidP="008C7AC8">
      <w:r w:rsidRPr="00297B90">
        <w:t>The Strategy should:</w:t>
      </w:r>
    </w:p>
    <w:p w14:paraId="12FC985F" w14:textId="77777777" w:rsidR="008C7AC8" w:rsidRPr="00297B90" w:rsidRDefault="008C7AC8" w:rsidP="008C7AC8">
      <w:pPr>
        <w:numPr>
          <w:ilvl w:val="1"/>
          <w:numId w:val="6"/>
        </w:numPr>
        <w:spacing w:before="240" w:after="0" w:line="264" w:lineRule="auto"/>
      </w:pPr>
      <w:r w:rsidRPr="00297B90">
        <w:t xml:space="preserve">Include actions to invest in respite and vicarious trauma supports and counselling for women and other community members leading trauma recovery and healing work.      </w:t>
      </w:r>
    </w:p>
    <w:p w14:paraId="7F6E24FD" w14:textId="77777777" w:rsidR="008C7AC8" w:rsidRPr="00297B90" w:rsidRDefault="008C7AC8" w:rsidP="008C7AC8">
      <w:pPr>
        <w:numPr>
          <w:ilvl w:val="1"/>
          <w:numId w:val="6"/>
        </w:numPr>
        <w:spacing w:before="240" w:after="0" w:line="264" w:lineRule="auto"/>
      </w:pPr>
      <w:r w:rsidRPr="00297B90">
        <w:t xml:space="preserve">Include actions to increase coverage and capacity across Australia of First Nations women, children and family specialist services and community-controlled holistic approaches and programs to support access to care and support, and employ carers and support workers in their local communities. </w:t>
      </w:r>
    </w:p>
    <w:p w14:paraId="3F8DEBC1" w14:textId="77777777" w:rsidR="008C7AC8" w:rsidRPr="00297B90" w:rsidRDefault="008C7AC8" w:rsidP="008C7AC8">
      <w:pPr>
        <w:numPr>
          <w:ilvl w:val="1"/>
          <w:numId w:val="6"/>
        </w:numPr>
        <w:spacing w:before="240" w:after="0" w:line="264" w:lineRule="auto"/>
      </w:pPr>
      <w:r w:rsidRPr="00297B90">
        <w:t>Increase the spread of care and support services across Australia, ensuring that regional and remote areas are adequately supported.</w:t>
      </w:r>
    </w:p>
    <w:p w14:paraId="7371B3DD" w14:textId="77777777" w:rsidR="00A12527" w:rsidRDefault="00A12527" w:rsidP="008C7AC8">
      <w:pPr>
        <w:rPr>
          <w:b/>
          <w:bCs/>
        </w:rPr>
      </w:pPr>
    </w:p>
    <w:p w14:paraId="75BB3E6A" w14:textId="77777777" w:rsidR="00A12527" w:rsidRDefault="00A12527" w:rsidP="008C7AC8">
      <w:pPr>
        <w:rPr>
          <w:b/>
          <w:bCs/>
        </w:rPr>
      </w:pPr>
    </w:p>
    <w:p w14:paraId="429A300B" w14:textId="6C0E2556" w:rsidR="008C7AC8" w:rsidRPr="00297B90" w:rsidRDefault="008C7AC8" w:rsidP="008C7AC8">
      <w:pPr>
        <w:rPr>
          <w:b/>
        </w:rPr>
      </w:pPr>
      <w:r w:rsidRPr="00297B90">
        <w:rPr>
          <w:b/>
          <w:bCs/>
        </w:rPr>
        <w:t xml:space="preserve">Recommendation 5: </w:t>
      </w:r>
      <w:r w:rsidRPr="00297B90">
        <w:rPr>
          <w:b/>
        </w:rPr>
        <w:t>Urgently reform social supports and the social security payment system</w:t>
      </w:r>
    </w:p>
    <w:p w14:paraId="3031E32C" w14:textId="77777777" w:rsidR="008C7AC8" w:rsidRPr="00297B90" w:rsidRDefault="008C7AC8" w:rsidP="008C7AC8">
      <w:r w:rsidRPr="00297B90">
        <w:t>The Strategy should:</w:t>
      </w:r>
    </w:p>
    <w:p w14:paraId="04E4EC46" w14:textId="77777777" w:rsidR="008C7AC8" w:rsidRPr="00297B90" w:rsidRDefault="008C7AC8" w:rsidP="008C7AC8">
      <w:pPr>
        <w:numPr>
          <w:ilvl w:val="1"/>
          <w:numId w:val="7"/>
        </w:numPr>
        <w:spacing w:before="240" w:after="0" w:line="264" w:lineRule="auto"/>
      </w:pPr>
      <w:r w:rsidRPr="00297B90">
        <w:t xml:space="preserve">Include actions that work towards ending and replacing all punitive social security, including burdensome reporting requirements for childcare and parenting payments, with enabling financial supports that simplify eligibility and reporting ensuring no women are left out. Ensure that these changes apply to new support payment programs such the voluntary replacement program for ParentsNext in July 2024. </w:t>
      </w:r>
    </w:p>
    <w:p w14:paraId="5D48F260" w14:textId="77777777" w:rsidR="008C7AC8" w:rsidRPr="00297B90" w:rsidRDefault="008C7AC8" w:rsidP="008C7AC8">
      <w:pPr>
        <w:numPr>
          <w:ilvl w:val="1"/>
          <w:numId w:val="7"/>
        </w:numPr>
        <w:spacing w:before="240" w:after="0" w:line="264" w:lineRule="auto"/>
      </w:pPr>
      <w:r w:rsidRPr="00297B90">
        <w:t>Include actions that work towards amending the Social Security Act to include mandatory application of an intersectional gender and trauma-informed lens to account for factors such as family violence, the needs of women and children with disabilities, remoteness and access to services.</w:t>
      </w:r>
    </w:p>
    <w:p w14:paraId="52872883" w14:textId="77777777" w:rsidR="008C7AC8" w:rsidRPr="00297B90" w:rsidRDefault="008C7AC8" w:rsidP="008C7AC8">
      <w:pPr>
        <w:numPr>
          <w:ilvl w:val="1"/>
          <w:numId w:val="7"/>
        </w:numPr>
        <w:spacing w:before="240" w:after="0" w:line="264" w:lineRule="auto"/>
      </w:pPr>
      <w:r w:rsidRPr="00297B90">
        <w:t xml:space="preserve">Include actions that work towards ensure new remote community programs, building on the outcomes of the New Jobs Program trial provide adequate recognition and support of the full extent and complexity of care work perform across communities, including collective care. </w:t>
      </w:r>
    </w:p>
    <w:p w14:paraId="262A090D" w14:textId="77777777" w:rsidR="008C7AC8" w:rsidRPr="00297B90" w:rsidRDefault="008C7AC8" w:rsidP="008C7AC8">
      <w:r w:rsidRPr="00297B90">
        <w:t>The Department of the Prime Minister and Cabinet in coordinating the Strategy should:</w:t>
      </w:r>
    </w:p>
    <w:p w14:paraId="35A9FAEF" w14:textId="77777777" w:rsidR="008C7AC8" w:rsidRPr="00297B90" w:rsidRDefault="008C7AC8" w:rsidP="008C7AC8">
      <w:pPr>
        <w:numPr>
          <w:ilvl w:val="1"/>
          <w:numId w:val="7"/>
        </w:numPr>
        <w:spacing w:before="240" w:after="0" w:line="264" w:lineRule="auto"/>
      </w:pPr>
      <w:r w:rsidRPr="00297B90">
        <w:t xml:space="preserve">Ensure First Nations women and girls are central to economic policy reform related to care work with a view to shifting policies from neglecting women’s needs and creating burdens on their lives to supporting them and investing in their capabilities. </w:t>
      </w:r>
    </w:p>
    <w:p w14:paraId="550C7A0A" w14:textId="77777777" w:rsidR="008C7AC8" w:rsidRPr="00297B90" w:rsidRDefault="008C7AC8" w:rsidP="008C7AC8">
      <w:pPr>
        <w:rPr>
          <w:b/>
        </w:rPr>
      </w:pPr>
      <w:r w:rsidRPr="00297B90">
        <w:rPr>
          <w:b/>
          <w:bCs/>
        </w:rPr>
        <w:t xml:space="preserve">Recommendation 6: </w:t>
      </w:r>
      <w:r w:rsidRPr="00297B90">
        <w:rPr>
          <w:b/>
        </w:rPr>
        <w:t>Invest in the First Nations led care sector</w:t>
      </w:r>
    </w:p>
    <w:p w14:paraId="5AB2BBF4" w14:textId="77777777" w:rsidR="008C7AC8" w:rsidRPr="00297B90" w:rsidRDefault="008C7AC8" w:rsidP="008C7AC8">
      <w:r w:rsidRPr="00297B90">
        <w:t>The Strategy should:</w:t>
      </w:r>
    </w:p>
    <w:p w14:paraId="15E1762E" w14:textId="77777777" w:rsidR="008C7AC8" w:rsidRPr="00297B90" w:rsidRDefault="008C7AC8" w:rsidP="008C7AC8">
      <w:pPr>
        <w:numPr>
          <w:ilvl w:val="1"/>
          <w:numId w:val="8"/>
        </w:numPr>
        <w:spacing w:before="240" w:after="0" w:line="264" w:lineRule="auto"/>
      </w:pPr>
      <w:r w:rsidRPr="00297B90">
        <w:t>Appropriately acknowledge a culturally-safe and responsive continuum of training through to employment in both the community controlled sector and mainstream care services. In parallel to training pathways the community-controlled sector must be invested into both provide training and employ First Nations people.</w:t>
      </w:r>
    </w:p>
    <w:p w14:paraId="057F83D4" w14:textId="77777777" w:rsidR="008C7AC8" w:rsidRPr="00297B90" w:rsidRDefault="008C7AC8" w:rsidP="008C7AC8">
      <w:pPr>
        <w:numPr>
          <w:ilvl w:val="1"/>
          <w:numId w:val="8"/>
        </w:numPr>
        <w:spacing w:before="240" w:after="0" w:line="264" w:lineRule="auto"/>
      </w:pPr>
      <w:r w:rsidRPr="00297B90">
        <w:t>Include actions that support access to training and skills-development for women across all sectors and outside formal employment, with appropriate wrap-around supports. This also includes supports for women providing unpaid work and, if interested, pathways to qualifications and employment.</w:t>
      </w:r>
    </w:p>
    <w:p w14:paraId="07F10993" w14:textId="77777777" w:rsidR="008C7AC8" w:rsidRPr="00297B90" w:rsidRDefault="008C7AC8" w:rsidP="008C7AC8">
      <w:pPr>
        <w:numPr>
          <w:ilvl w:val="1"/>
          <w:numId w:val="8"/>
        </w:numPr>
        <w:spacing w:before="240" w:after="0" w:line="264" w:lineRule="auto"/>
      </w:pPr>
      <w:r w:rsidRPr="00297B90">
        <w:t>Include actions that enhance provisions for workplaces to create culturally-safe and empowering environments engaged in proactive recruitment and promotion that offer women flexible work, training, education and career opportunities and uphold principles of anti-discrimination and inclusivity. This should include building First Nations gender justice principles, as defined in the Wiyi Yani U Thangani project into workplace policy</w:t>
      </w:r>
    </w:p>
    <w:p w14:paraId="450910A9" w14:textId="77777777" w:rsidR="008C7AC8" w:rsidRPr="00297B90" w:rsidRDefault="008C7AC8" w:rsidP="008C7AC8">
      <w:pPr>
        <w:numPr>
          <w:ilvl w:val="1"/>
          <w:numId w:val="8"/>
        </w:numPr>
        <w:spacing w:before="240" w:after="0" w:line="264" w:lineRule="auto"/>
      </w:pPr>
      <w:r w:rsidRPr="00297B90">
        <w:t xml:space="preserve">Adequately and sustainability invest in Aboriginal and Torres Strait Islander community-controlled services and programs, and expand the coverage across Australia of programs enabling cultural reconnection and strengthening identity. </w:t>
      </w:r>
    </w:p>
    <w:p w14:paraId="07D10F72" w14:textId="77777777" w:rsidR="008C7AC8" w:rsidRPr="00297B90" w:rsidRDefault="008C7AC8" w:rsidP="008C7AC8">
      <w:pPr>
        <w:numPr>
          <w:ilvl w:val="1"/>
          <w:numId w:val="8"/>
        </w:numPr>
        <w:spacing w:before="240" w:after="0" w:line="264" w:lineRule="auto"/>
      </w:pPr>
      <w:r w:rsidRPr="00297B90">
        <w:t>Include actions to improve preferencing of Aboriginal community-controlled organisations (ACCOs) in funding processes, and remove regulatory requirements that make ACCOs unable to compete in funding processes.</w:t>
      </w:r>
    </w:p>
    <w:p w14:paraId="7A4A390A" w14:textId="77777777" w:rsidR="008C7AC8" w:rsidRPr="00297B90" w:rsidRDefault="008C7AC8" w:rsidP="008C7AC8">
      <w:pPr>
        <w:numPr>
          <w:ilvl w:val="1"/>
          <w:numId w:val="8"/>
        </w:numPr>
        <w:spacing w:before="240" w:after="0" w:line="264" w:lineRule="auto"/>
      </w:pPr>
      <w:r w:rsidRPr="00297B90">
        <w:t xml:space="preserve">Include actions to develop mechanisms to support women’s leadership in delivering care and support across communities, and to address issues of community-wide harms, family violence and those pertaining to child protection.  </w:t>
      </w:r>
    </w:p>
    <w:p w14:paraId="0C7B306B" w14:textId="77777777" w:rsidR="008C7AC8" w:rsidRPr="00297B90" w:rsidRDefault="008C7AC8" w:rsidP="008C7AC8">
      <w:pPr>
        <w:numPr>
          <w:ilvl w:val="1"/>
          <w:numId w:val="8"/>
        </w:numPr>
        <w:spacing w:before="240" w:after="0" w:line="264" w:lineRule="auto"/>
      </w:pPr>
      <w:r w:rsidRPr="00297B90">
        <w:t xml:space="preserve">Action recommendations in SNAICC’s </w:t>
      </w:r>
      <w:r w:rsidRPr="00297B90">
        <w:rPr>
          <w:i/>
          <w:iCs/>
        </w:rPr>
        <w:t xml:space="preserve">Stronger ACCOs, Stronger families </w:t>
      </w:r>
      <w:r w:rsidRPr="00297B90">
        <w:t>report and the Wiyi Yani U Thangani Implementation Framework to support and strengthen ACCOS within the child and family sector, extending across the care and support economy.</w:t>
      </w:r>
    </w:p>
    <w:p w14:paraId="6CFD2F0B" w14:textId="77777777" w:rsidR="008C7AC8" w:rsidRPr="00297B90" w:rsidRDefault="008C7AC8" w:rsidP="008C7AC8">
      <w:r w:rsidRPr="00297B90">
        <w:t>The Department of the Prime Minister and Cabinet in coordinating the Strategy should:</w:t>
      </w:r>
    </w:p>
    <w:p w14:paraId="48029F59" w14:textId="774B6DA6" w:rsidR="008C7AC8" w:rsidRPr="00297B90" w:rsidRDefault="008C7AC8" w:rsidP="008C7AC8">
      <w:pPr>
        <w:numPr>
          <w:ilvl w:val="1"/>
          <w:numId w:val="8"/>
        </w:numPr>
        <w:spacing w:before="240" w:after="0" w:line="264" w:lineRule="auto"/>
      </w:pPr>
      <w:r w:rsidRPr="00297B90">
        <w:t>Engage with First Nations women and leadership to design appropriate caring and carer support models.</w:t>
      </w:r>
    </w:p>
    <w:p w14:paraId="27A7F7F8" w14:textId="77777777" w:rsidR="008C7AC8" w:rsidRPr="00297B90" w:rsidRDefault="008C7AC8" w:rsidP="008C7AC8">
      <w:pPr>
        <w:pStyle w:val="Heading3"/>
      </w:pPr>
      <w:bookmarkStart w:id="38" w:name="_Ref166134297"/>
      <w:bookmarkStart w:id="39" w:name="_Toc166172091"/>
      <w:bookmarkStart w:id="40" w:name="_Toc168655818"/>
      <w:r>
        <w:t xml:space="preserve">2. </w:t>
      </w:r>
      <w:r w:rsidRPr="00297B90">
        <w:t>Care as a Human Right</w:t>
      </w:r>
      <w:bookmarkStart w:id="41" w:name="_Toc138754669"/>
      <w:bookmarkEnd w:id="37"/>
      <w:bookmarkEnd w:id="38"/>
      <w:bookmarkEnd w:id="39"/>
      <w:bookmarkEnd w:id="40"/>
      <w:bookmarkEnd w:id="41"/>
    </w:p>
    <w:p w14:paraId="71E0A860" w14:textId="77777777" w:rsidR="008C7AC8" w:rsidRPr="00297B90" w:rsidRDefault="008C7AC8" w:rsidP="008C7AC8">
      <w:bookmarkStart w:id="42" w:name="_Toc138754670"/>
      <w:r w:rsidRPr="00297B90">
        <w:t>Human rights are universal legal guarantees which protect individuals and groups, regardless of their background and circumstances to ensure fundamental freedoms, entitlements and human dignity. All human rights are indivisible and interdependent, meaning that the exercise of one cannot fully be recognised without the support of others.</w:t>
      </w:r>
      <w:r w:rsidRPr="00297B90">
        <w:rPr>
          <w:vertAlign w:val="superscript"/>
        </w:rPr>
        <w:endnoteReference w:id="5"/>
      </w:r>
      <w:r w:rsidRPr="00297B90">
        <w:t xml:space="preserve"> </w:t>
      </w:r>
    </w:p>
    <w:p w14:paraId="52A86F6C" w14:textId="77777777" w:rsidR="008C7AC8" w:rsidRPr="00297B90" w:rsidRDefault="008C7AC8" w:rsidP="008C7AC8">
      <w:r w:rsidRPr="00297B90">
        <w:t xml:space="preserve">The Commission encourages the use of a human rights approach to support a well-functioning care and support economy. </w:t>
      </w:r>
      <w:r w:rsidRPr="00297B90">
        <w:rPr>
          <w:lang w:val="en-GB"/>
        </w:rPr>
        <w:t>Given the Strategy’s awareness of the importance of non-discrimination in accessing services and equality of access, a human rights-based approach would strengthen these commitments and help to realise them.</w:t>
      </w:r>
    </w:p>
    <w:p w14:paraId="22C76883" w14:textId="77777777" w:rsidR="008C7AC8" w:rsidRPr="00297B90" w:rsidRDefault="008C7AC8" w:rsidP="008C7AC8">
      <w:r w:rsidRPr="00297B90">
        <w:t>Specifically, developing a resilient care and support economy and infrastructure is vital to safeguard the right to health contained within a number of human rights instruments to which Australia is party.</w:t>
      </w:r>
      <w:r w:rsidRPr="00297B90">
        <w:rPr>
          <w:vertAlign w:val="superscript"/>
        </w:rPr>
        <w:endnoteReference w:id="6"/>
      </w:r>
      <w:r w:rsidRPr="00297B90">
        <w:t xml:space="preserve"> The United Nations Declaration on Human Rights describes the right to health as:</w:t>
      </w:r>
      <w:r w:rsidRPr="00297B90">
        <w:rPr>
          <w:vertAlign w:val="superscript"/>
        </w:rPr>
        <w:endnoteReference w:id="7"/>
      </w:r>
    </w:p>
    <w:p w14:paraId="5701411B" w14:textId="77777777" w:rsidR="008C7AC8" w:rsidRPr="00297B90" w:rsidRDefault="008C7AC8" w:rsidP="006802FE">
      <w:pPr>
        <w:pStyle w:val="Quote"/>
      </w:pPr>
      <w:r w:rsidRPr="00297B90">
        <w:t xml:space="preserve">the right to a standard of living adequate for the health and wellbeing of himself and of his family, including food, clothing, housing and medical care and necessary social services, and the right to security in the event of unemployment, sickness, disability, widowhood, old age of lack of livelihood in circumstances beyond his control. </w:t>
      </w:r>
    </w:p>
    <w:p w14:paraId="662B88A4" w14:textId="77777777" w:rsidR="008C7AC8" w:rsidRPr="00297B90" w:rsidRDefault="008C7AC8" w:rsidP="008C7AC8">
      <w:r w:rsidRPr="00297B90">
        <w:t>The United Nations Committee on Economic Social and Cultural Rights states that the right to health is a fundamental human right that is indispensable to the achievement of other human rights.</w:t>
      </w:r>
      <w:r w:rsidRPr="00297B90">
        <w:rPr>
          <w:vertAlign w:val="superscript"/>
        </w:rPr>
        <w:endnoteReference w:id="8"/>
      </w:r>
      <w:r w:rsidRPr="00297B90">
        <w:t xml:space="preserve"> The Committee states that in order to attain this right, it is important that state parties promote equal access to public health and health care programs, services, facilities and goods that meet the needs of individuals, including those which are specialised for marginalised and disadvantaged populations, including women, children, First Nations peoples, people with disabilities, older people and people from culturally and linguistically diverse backgrounds, including migrants and refugees. It defines access to the right to health through four criteria:</w:t>
      </w:r>
      <w:r w:rsidRPr="00297B90">
        <w:rPr>
          <w:vertAlign w:val="superscript"/>
        </w:rPr>
        <w:endnoteReference w:id="9"/>
      </w:r>
    </w:p>
    <w:p w14:paraId="2F25E1A2" w14:textId="77777777" w:rsidR="008C7AC8" w:rsidRPr="00297B90" w:rsidRDefault="008C7AC8" w:rsidP="008C7AC8">
      <w:pPr>
        <w:numPr>
          <w:ilvl w:val="0"/>
          <w:numId w:val="9"/>
        </w:numPr>
        <w:spacing w:before="240" w:after="0" w:line="264" w:lineRule="auto"/>
      </w:pPr>
      <w:r w:rsidRPr="00297B90">
        <w:rPr>
          <w:b/>
          <w:bCs/>
        </w:rPr>
        <w:t>Availability</w:t>
      </w:r>
      <w:r w:rsidRPr="00297B90">
        <w:t>: Public health and medical organisations, goods and services should be in sufficient quantity.</w:t>
      </w:r>
    </w:p>
    <w:p w14:paraId="5B4DC676" w14:textId="77777777" w:rsidR="008C7AC8" w:rsidRPr="00297B90" w:rsidRDefault="008C7AC8" w:rsidP="008C7AC8">
      <w:pPr>
        <w:numPr>
          <w:ilvl w:val="0"/>
          <w:numId w:val="9"/>
        </w:numPr>
        <w:spacing w:before="240" w:after="0" w:line="264" w:lineRule="auto"/>
      </w:pPr>
      <w:r w:rsidRPr="00297B90">
        <w:rPr>
          <w:b/>
          <w:bCs/>
        </w:rPr>
        <w:t>Accessibility</w:t>
      </w:r>
      <w:r w:rsidRPr="00297B90">
        <w:t>: Medical organisations and health services should be accessible to all without any discrimination. Accessibility is assessed by four criteria: non-discrimination, physical accessibility, economic accessibility, access to information.</w:t>
      </w:r>
    </w:p>
    <w:p w14:paraId="51C38910" w14:textId="77777777" w:rsidR="008C7AC8" w:rsidRPr="00297B90" w:rsidRDefault="008C7AC8" w:rsidP="008C7AC8">
      <w:pPr>
        <w:numPr>
          <w:ilvl w:val="0"/>
          <w:numId w:val="9"/>
        </w:numPr>
        <w:spacing w:before="240" w:after="0" w:line="264" w:lineRule="auto"/>
      </w:pPr>
      <w:r w:rsidRPr="00297B90">
        <w:rPr>
          <w:b/>
          <w:bCs/>
        </w:rPr>
        <w:t>Acceptability</w:t>
      </w:r>
      <w:r w:rsidRPr="00297B90">
        <w:t xml:space="preserve">: All medical organisations, goods and services must comply with the principles of medical ethics, take into account cultural characteristics, gender and age requirements, confidentiality. </w:t>
      </w:r>
    </w:p>
    <w:p w14:paraId="556E0FBD" w14:textId="77777777" w:rsidR="008C7AC8" w:rsidRPr="00297B90" w:rsidRDefault="008C7AC8" w:rsidP="008C7AC8">
      <w:pPr>
        <w:numPr>
          <w:ilvl w:val="0"/>
          <w:numId w:val="9"/>
        </w:numPr>
        <w:spacing w:before="240" w:after="0" w:line="264" w:lineRule="auto"/>
      </w:pPr>
      <w:r w:rsidRPr="00297B90">
        <w:rPr>
          <w:b/>
          <w:bCs/>
        </w:rPr>
        <w:t>Quality</w:t>
      </w:r>
      <w:r w:rsidRPr="00297B90">
        <w:t>: Medical organisations, goods and services must be of adequate quality.</w:t>
      </w:r>
    </w:p>
    <w:p w14:paraId="7A5EB932" w14:textId="77777777" w:rsidR="008C7AC8" w:rsidRPr="00297B90" w:rsidRDefault="008C7AC8" w:rsidP="008C7AC8">
      <w:r w:rsidRPr="00297B90">
        <w:t>The United Nations Declaration on the Rights of Indigenous Peoples (UNDRIP) further states that access to care and support must be culturally appropriate and include the right to practice health care that incorporates traditional knowledges and practices.</w:t>
      </w:r>
      <w:r w:rsidRPr="00297B90">
        <w:rPr>
          <w:vertAlign w:val="superscript"/>
        </w:rPr>
        <w:endnoteReference w:id="10"/>
      </w:r>
      <w:r w:rsidRPr="00297B90">
        <w:t xml:space="preserve"> For First Nations peoples across Australia, care and support extends beyond the person, to Country and community, as respecting of Indigenous traditional ways of knowing, doing and being.</w:t>
      </w:r>
      <w:r w:rsidRPr="00297B90">
        <w:rPr>
          <w:vertAlign w:val="superscript"/>
        </w:rPr>
        <w:endnoteReference w:id="11"/>
      </w:r>
      <w:r w:rsidRPr="00297B90">
        <w:t xml:space="preserve"> The provision of First Nations-led services, goods and programs that provide this care and support is integral to the rights to self-determination, identity and continuation of culture and language.</w:t>
      </w:r>
      <w:r w:rsidRPr="00297B90">
        <w:rPr>
          <w:vertAlign w:val="superscript"/>
        </w:rPr>
        <w:endnoteReference w:id="12"/>
      </w:r>
      <w:r w:rsidRPr="00297B90">
        <w:t xml:space="preserve"> The rights to access culture and community organisations also applies to culturally and linguistically diverse communities where culture, language and religion are central to their identity.</w:t>
      </w:r>
      <w:r w:rsidRPr="00297B90">
        <w:rPr>
          <w:vertAlign w:val="superscript"/>
        </w:rPr>
        <w:endnoteReference w:id="13"/>
      </w:r>
      <w:r w:rsidRPr="00297B90">
        <w:t xml:space="preserve"> </w:t>
      </w:r>
    </w:p>
    <w:p w14:paraId="1EF3B6D1" w14:textId="387B3418" w:rsidR="008C7AC8" w:rsidRPr="00297B90" w:rsidRDefault="008C7AC8" w:rsidP="008C7AC8">
      <w:r w:rsidRPr="00297B90">
        <w:t xml:space="preserve">These criteria, in addition to the rights established in UNDRIP, provide a useful human rights-based framework that can be utilised by the Strategy to promote access to care and support services, facilities, and goods that </w:t>
      </w:r>
      <w:r w:rsidR="002E73A2">
        <w:t>are</w:t>
      </w:r>
      <w:r w:rsidRPr="00297B90">
        <w:t xml:space="preserve"> culturally safe and appropriate. Without the provision of adequate care and support services and goods, these rights are unable to be realised for population groups facing barriers through disability, age, language or other circumstances. Promoting these rights prompts the need for investment into Indigenous-led service delivery – requiring accessible and appropriate training, education and employment of Indigenous peoples in the care and support economy; and strengthening the role of community-controlled organisations providing culturally safe care and support. It may also give strength </w:t>
      </w:r>
      <w:r w:rsidR="00F706A1">
        <w:t xml:space="preserve">to </w:t>
      </w:r>
      <w:r w:rsidRPr="00297B90">
        <w:t xml:space="preserve">the Strategy’s accountability and evaluation frameworks in that adhering to these criteria provides the basis for services to function soundly. </w:t>
      </w:r>
    </w:p>
    <w:p w14:paraId="06B928F3" w14:textId="77777777" w:rsidR="008C7AC8" w:rsidRPr="00297B90" w:rsidRDefault="008C7AC8" w:rsidP="008C7AC8">
      <w:r w:rsidRPr="00297B90">
        <w:t xml:space="preserve">Furthermore, a raft of human rights instruments, including the Convention on the Elimination of Discrimination against Women, the Convention on the Rights of the Child, and the Convention on the Rights of Persons with Disabilities emphasis the essential right to non-discrimination, equality and safety in accessing services and supports for a healthy life. These instruments call for measures to be taken for the full realisation of these rights, ensuring that those receiving and providing care are protected. As the Strategy acknowledges, insufficient, unsafe, and exclusionary workplaces hinder staff retention and undermine quality of care. </w:t>
      </w:r>
    </w:p>
    <w:p w14:paraId="0864AE86" w14:textId="530EBBE7" w:rsidR="008C7AC8" w:rsidRPr="00297B90" w:rsidRDefault="008C7AC8" w:rsidP="008C7AC8">
      <w:r w:rsidRPr="00297B90">
        <w:t>Although Australia is party to human rights architecture, these rights may be limited to be respected in principle rather than in Australian law. The Commission encourages the use of a human rights-based approach to strengthen policy and action to improve the wellbeing of all people in Australia. As the United Nations Human Rights Office of the High Commissioner states, good governance and human rights are mutually reinforcing.</w:t>
      </w:r>
      <w:r w:rsidRPr="00297B90">
        <w:rPr>
          <w:vertAlign w:val="superscript"/>
        </w:rPr>
        <w:endnoteReference w:id="14"/>
      </w:r>
      <w:r w:rsidRPr="00297B90">
        <w:t xml:space="preserve"> Human rights provide a framework for which governments and governance institutions can act in the best interests of their constituents. Conversely, without good governance, human rights are unable to be respected or safeguarded in any meaningful way. By recognising and taking steps towards the realisation of human rights provides a framework in which to direct the Strategy’s objectives and actions towards positive and sustainable outcomes.</w:t>
      </w:r>
    </w:p>
    <w:p w14:paraId="1987FFA8" w14:textId="77777777" w:rsidR="008C7AC8" w:rsidRPr="00297B90" w:rsidRDefault="008C7AC8" w:rsidP="008C7AC8">
      <w:pPr>
        <w:pStyle w:val="Heading3"/>
      </w:pPr>
      <w:bookmarkStart w:id="43" w:name="_Toc166172092"/>
      <w:bookmarkStart w:id="44" w:name="_Toc168655819"/>
      <w:r>
        <w:t xml:space="preserve">3. </w:t>
      </w:r>
      <w:r w:rsidRPr="00297B90">
        <w:t>The First Nations Care Economy</w:t>
      </w:r>
      <w:bookmarkStart w:id="45" w:name="_Toc138754671"/>
      <w:bookmarkEnd w:id="42"/>
      <w:bookmarkEnd w:id="43"/>
      <w:bookmarkEnd w:id="44"/>
      <w:bookmarkEnd w:id="45"/>
    </w:p>
    <w:p w14:paraId="1167939F" w14:textId="77777777" w:rsidR="008C7AC8" w:rsidRPr="00297B90" w:rsidRDefault="008C7AC8" w:rsidP="008C7AC8">
      <w:pPr>
        <w:pStyle w:val="Heading4"/>
      </w:pPr>
      <w:r w:rsidRPr="00297B90">
        <w:t>Broaden the definition of ‘care and support’ to recognise the true breadth of First Nations care work</w:t>
      </w:r>
    </w:p>
    <w:p w14:paraId="4D96E818" w14:textId="77777777" w:rsidR="008C7AC8" w:rsidRPr="00297B90" w:rsidRDefault="008C7AC8" w:rsidP="008C7AC8">
      <w:r w:rsidRPr="00297B90">
        <w:t>The draft Strategy largely excludes First Nations concepts of care. In doing so, it renders the majority of First Nations women’s care work invisible and therefore outside the scope of support systems. The draft Strategy must broaden its focus to include the ‘informal’ care work undertaken by First Nations women, including care for culture and Country, so that this significant part of the care economy is recognised, can be measured, evidence-based policy can be formed and the care work of First Nations people and non-indigenous people within the informal care economy can be adequately supported.</w:t>
      </w:r>
    </w:p>
    <w:p w14:paraId="3152B670" w14:textId="5911E171" w:rsidR="008C7AC8" w:rsidRPr="00297B90" w:rsidRDefault="008C7AC8" w:rsidP="008C7AC8">
      <w:r w:rsidRPr="00297B90">
        <w:t>First Nations conceptions of care and support are far more holistic and intersectional than what is traditionally considered care and support in the western world. The term ‘collective care’ is used to describe the shared responsibility of caring for family, community, and Country, and signifies that the act of care is a means to intergenerationally transfer knowledge and culture. In this way, care and support do not only exist within the formal paid economy, but also encompass culturally grounded practices and customs that enable communities to be safe, happy and connected through kinship and Country. In many ways, th</w:t>
      </w:r>
      <w:r w:rsidR="009023DD">
        <w:t>is</w:t>
      </w:r>
      <w:r w:rsidRPr="00297B90">
        <w:t xml:space="preserve"> understanding of care is treated as an ethic or value that is held by community to give and receive love, kindness and support, rather than an obligation or occupation. In addition to person-centred care, caring for Country is a vital element of the care and support economy threaded through practices of culture and knowledge sharing.</w:t>
      </w:r>
    </w:p>
    <w:p w14:paraId="4D2DB8BC" w14:textId="77777777" w:rsidR="008C7AC8" w:rsidRPr="00297B90" w:rsidRDefault="008C7AC8" w:rsidP="008C7AC8">
      <w:r w:rsidRPr="00297B90">
        <w:t>There is limited published research into collective care beyond First Nations scholars, reflecting the invisibility of First Nations peoples’ experiences, knowledge and values in the mainstream arena. It is significant, however, that experiences within formal, paid care services are not a key theme in the national Wiyi Yani U Thangani consultations – which were open-ended and led by the women who participated – whereas informal collective care was a major theme and central to women’s lived experiences. This reflects the extent to which First Nations women’s experiences of providing care fall outside, or are marginalised, by the mainstream formal economy. However, the systemic invisibility to this reality means that care work is experienced predominantly as unpaid labour with insufficient social and economic support from formal systems. It is critical that the draft Strategy shifts this focus if it is to genuinely respond to the care needs of First Nations women.</w:t>
      </w:r>
    </w:p>
    <w:p w14:paraId="6E14DA2A" w14:textId="77777777" w:rsidR="008C7AC8" w:rsidRPr="00297B90" w:rsidRDefault="008C7AC8" w:rsidP="008C7AC8">
      <w:r w:rsidRPr="00297B90">
        <w:t>The Commission acknowledges that the Strategy seeks to focus predominantly on the ‘formal’ care economy by developing supports to maintain the existing workforce and bring informal carers into the formal economy. To describe the work performed by individuals who are unpaid and not formally employed in the care and support sector, the draft Strategy uses the term ‘informal carer’, which it defines as ‘a family member, friend or community member who, without remuneration, provides care to someone within an existing relationship’.</w:t>
      </w:r>
      <w:r w:rsidRPr="00297B90">
        <w:rPr>
          <w:vertAlign w:val="superscript"/>
        </w:rPr>
        <w:endnoteReference w:id="15"/>
      </w:r>
      <w:r w:rsidRPr="00297B90">
        <w:t xml:space="preserve"> The draft Strategy also refers to this economy of care as one which ‘sustain[s] the viability of the [formal] care and support economy’, effectively positioning it as a support for the formal economy. However, this does not reflect the reality for First Nations communities, where the vast majority of care work is undertaken by ‘informal’ unpaid carers – either because formal care is not available, but often because informal care supports are the preferred approach over formal care arrangements. </w:t>
      </w:r>
    </w:p>
    <w:p w14:paraId="31025D3E" w14:textId="77777777" w:rsidR="008C7AC8" w:rsidRPr="00297B90" w:rsidRDefault="008C7AC8" w:rsidP="008C7AC8">
      <w:r w:rsidRPr="00297B90">
        <w:t>This approach sidelines the unpaid care work – the collective care work – which makes up the majority of the care economy in First Nations communities. The ’informal’ economy is a productive and creative industry of workers, albeit, without economic security, remuneration or protection, that has a significant role in shaping and strengthening how society functions. However, this economy can only function sustainably as long as those undertaking the responsibility are without burden or harm. Intergenerational trauma, lateral violence, and challenges accessing the formal care sector have forced First Nations women to take on complex and heavy care loads that place stress on their wellbeing. Additionally, many First Nations carers work across both the informal and formal system whereby they take on additional care loads on top of their paid care employment to support the needs of family and communities, again often at the detriment of their wellbeing. As one woman expressed of her experience as a carer:</w:t>
      </w:r>
    </w:p>
    <w:p w14:paraId="42BFE139" w14:textId="77777777" w:rsidR="008C7AC8" w:rsidRPr="00297B90" w:rsidRDefault="008C7AC8" w:rsidP="008D38C0">
      <w:pPr>
        <w:pStyle w:val="Quote"/>
      </w:pPr>
      <w:r w:rsidRPr="00297B90">
        <w:t>Carer responsibilities – I brought this issue up, because I am a main carer and I have a lot of carer responsibilities. Where I work, I’m not able to access proper caring services on a regular basis. So anytime I have to take time off for my health or when I have to take care of my kids or my sister with a chronic disease, I have exhausted all my leave entitlements. So now I have an option between getting paid or fulfilling my kinship responsibilities, so for me that is a real challenge. The flow-on effect for me is it affects my work and my work ethic – I don't put in as much effort as what I should be putting in. It affects my family and my relationships, and then everything becomes a half-arsed effort and it affects my own wellbeing I have to make sacrifices and choose. I have to go to work today or stay home.</w:t>
      </w:r>
    </w:p>
    <w:p w14:paraId="56302F68" w14:textId="35F354F3" w:rsidR="008C7AC8" w:rsidRPr="00297B90" w:rsidRDefault="008C7AC8" w:rsidP="008C7AC8">
      <w:r w:rsidRPr="00297B90">
        <w:t xml:space="preserve">Given the holistic understanding of care, encompassing not only health but cultural connection and connection to Country, the draft Strategy’s focus on improving the formal care services may not be seen as suitable or desirable for First Nations peoples. A significant portion of the care work performed by First Nations women, particularly in remote areas, will therefore continue to fall outside the formal markets discussed under Goal 3 of the draft Strategy. If First Nations women continue to be marginalised by these policies, the harm they experience from not receiving adequate supports will be perpetuated. It is therefore vital to take a broader view of care work in the Strategy and to begin taking the necessary steps to recognise First Nations women’s care work. </w:t>
      </w:r>
    </w:p>
    <w:p w14:paraId="1197919C" w14:textId="77777777" w:rsidR="008C7AC8" w:rsidRPr="00297B90" w:rsidRDefault="008C7AC8" w:rsidP="008C7AC8">
      <w:pPr>
        <w:pStyle w:val="Heading4"/>
      </w:pPr>
      <w:r w:rsidRPr="00297B90">
        <w:t>Develop tools and strategies to accurately measure the extent of First Nations women’s care work</w:t>
      </w:r>
    </w:p>
    <w:p w14:paraId="7EB9C591" w14:textId="77777777" w:rsidR="008C7AC8" w:rsidRPr="00297B90" w:rsidRDefault="008C7AC8" w:rsidP="008C7AC8">
      <w:r w:rsidRPr="00297B90">
        <w:t>To accurately recognise the extent and complexity of First Nations women’s care work requires tools and strategies to record and measure its value and contribution. Metrics must capture the full spectrum of care work as understood through a First Nations worldview, and recognise the significant economic contribution this makes. The deep interconnectedness of care systems and other systems, including education, health and justice, must also be considered in the approach to accounting for this work. By accurately measuring care work through this lens also provides opportunity to better understand different types of care conducted across Australia, including by girls, elders, carers with a disability and CALD carers, and recognise and respond to their lived experiences.</w:t>
      </w:r>
    </w:p>
    <w:p w14:paraId="37DD38D9" w14:textId="77777777" w:rsidR="008C7AC8" w:rsidRPr="00297B90" w:rsidRDefault="008C7AC8" w:rsidP="008C7AC8">
      <w:r w:rsidRPr="00297B90">
        <w:t>Klein points to widespread ‘expropriation’ – where a government capitalises upon unwaged, uncontracted labour to generate services without reimbursement – through women’s care work, which has traditionally been positioned within the private sphere and therefore outside the formal economy.</w:t>
      </w:r>
      <w:r w:rsidRPr="00297B90">
        <w:rPr>
          <w:vertAlign w:val="superscript"/>
        </w:rPr>
        <w:endnoteReference w:id="16"/>
      </w:r>
      <w:r w:rsidRPr="00297B90">
        <w:t xml:space="preserve"> In a forthcoming Australian National University (ANU) publication, authors detail the extent of expropriation of First Nations women’s labour through the colonising process in Australia. It is therefore imperative that this informal care work is made visible, and appropriate and sufficient supports are put in place to ensure that First Nations women who perform care are not trapped in the poverty cycle as a result.</w:t>
      </w:r>
    </w:p>
    <w:p w14:paraId="3CDAA956" w14:textId="77777777" w:rsidR="008C7AC8" w:rsidRPr="00297B90" w:rsidRDefault="008C7AC8" w:rsidP="008C7AC8">
      <w:r w:rsidRPr="00297B90">
        <w:t xml:space="preserve">Attempts to recognise the value of care and support undertaken by informal carers have been made by the Government in recent years. As the draft Strategy outlines, the value of unpaid work is estimated at $77.9 billion. This estimate highlights the considerable weight unpaid work contributes to the national economy. Recognising this value, the Commission commends the Government’s latest commitment to invest $868 million over four years in supports for informal carers. However, based on the above estimation of value produced by unpaid carers, this investment is far below what could quantitatively be considered a reasonable investment in the economy to address the true load of care disproportionately falling on the shoulders of First Nations women and girls. </w:t>
      </w:r>
    </w:p>
    <w:p w14:paraId="2B9F0D2E" w14:textId="77777777" w:rsidR="008C7AC8" w:rsidRPr="00297B90" w:rsidRDefault="008C7AC8" w:rsidP="008C7AC8">
      <w:bookmarkStart w:id="46" w:name="_Toc138754672"/>
      <w:r w:rsidRPr="00297B90">
        <w:t>Measurement and evaluation outcomes should also be made publicly available to increase transparency and accountability with the use of public funds. These views were further substantiated by the Productivity Commission, which in 2012 looked at the critical role of effective evaluation in Aboriginal and Torres Strait Islander policy.</w:t>
      </w:r>
      <w:r w:rsidRPr="00297B90">
        <w:rPr>
          <w:vertAlign w:val="superscript"/>
        </w:rPr>
        <w:endnoteReference w:id="17"/>
      </w:r>
      <w:r w:rsidRPr="00297B90">
        <w:t xml:space="preserve"> Participants in this work stressed the importance of having a ‘coherent framework for evaluating Indigenous policies and programs and that evaluation plans should be embedded (and funded) in the design of programs’. They also noted that this should be a common practice in policy-making, but due to the lack of assessment or evaluation, not only has this ‘resulted in significant gaps in the Australian evidence base but has also contributed to a litany of poor policies being recycled’. </w:t>
      </w:r>
    </w:p>
    <w:p w14:paraId="0FC95563" w14:textId="139E2B64" w:rsidR="008C7AC8" w:rsidRPr="00297B90" w:rsidRDefault="008C7AC8" w:rsidP="008C7AC8">
      <w:pPr>
        <w:rPr>
          <w:b/>
          <w:bCs/>
        </w:rPr>
      </w:pPr>
      <w:r w:rsidRPr="00297B90">
        <w:t>Forthcoming research from the ANU, developed in partnership with the Wiyi Yani U Thangani project, seeks to support this measurement work. It estimates the market value for women’s care work as equivalent to an annual salary (without loadings and pre-tax) of between $81,175.64 and $118,921.40. Noting that majority of this work is unremunerated, women are missing out on a living wage—likely being engaged in little to no formal employment as their time and resources are spent on unpaid care work.</w:t>
      </w:r>
      <w:r w:rsidRPr="00297B90">
        <w:rPr>
          <w:vertAlign w:val="superscript"/>
        </w:rPr>
        <w:endnoteReference w:id="18"/>
      </w:r>
      <w:r w:rsidRPr="00297B90">
        <w:t xml:space="preserve"> The Commission encourages the Australian Government to draw upon the outcomes of this research to support its approach to measurement. The Commission looks forward to seeing this progress and welcomes further discussion and collaboration in this space.</w:t>
      </w:r>
    </w:p>
    <w:p w14:paraId="39DD68DE" w14:textId="77777777" w:rsidR="008C7AC8" w:rsidRPr="00297B90" w:rsidRDefault="008C7AC8" w:rsidP="008C7AC8">
      <w:pPr>
        <w:pStyle w:val="Heading3"/>
      </w:pPr>
      <w:bookmarkStart w:id="47" w:name="_Ref166135178"/>
      <w:bookmarkStart w:id="48" w:name="_Toc166172093"/>
      <w:bookmarkStart w:id="49" w:name="_Toc168655820"/>
      <w:r>
        <w:t xml:space="preserve">4. </w:t>
      </w:r>
      <w:r w:rsidRPr="00297B90">
        <w:t>Reforming the social support system</w:t>
      </w:r>
      <w:bookmarkStart w:id="50" w:name="_Toc138754674"/>
      <w:bookmarkStart w:id="51" w:name="_Toc137804525"/>
      <w:bookmarkStart w:id="52" w:name="_Toc137824221"/>
      <w:bookmarkStart w:id="53" w:name="_Toc137824544"/>
      <w:bookmarkStart w:id="54" w:name="_Toc137824618"/>
      <w:bookmarkStart w:id="55" w:name="_Toc137824708"/>
      <w:bookmarkStart w:id="56" w:name="_Toc137824748"/>
      <w:bookmarkStart w:id="57" w:name="_Toc137824788"/>
      <w:bookmarkStart w:id="58" w:name="_Toc137824828"/>
      <w:bookmarkStart w:id="59" w:name="_Toc137824866"/>
      <w:bookmarkStart w:id="60" w:name="_Toc137825787"/>
      <w:bookmarkStart w:id="61" w:name="_Toc137565912"/>
      <w:bookmarkStart w:id="62" w:name="_Toc137565913"/>
      <w:bookmarkStart w:id="63" w:name="_Toc137565914"/>
      <w:bookmarkStart w:id="64" w:name="_Toc137565915"/>
      <w:bookmarkStart w:id="65" w:name="_Toc137565916"/>
      <w:bookmarkStart w:id="66" w:name="_Toc137565917"/>
      <w:bookmarkStart w:id="67" w:name="_Toc137565918"/>
      <w:bookmarkStart w:id="68" w:name="_Toc137565919"/>
      <w:bookmarkStart w:id="69" w:name="_Toc137565920"/>
      <w:bookmarkStart w:id="70" w:name="_Toc137565921"/>
      <w:bookmarkStart w:id="71" w:name="_Toc137565922"/>
      <w:bookmarkStart w:id="72" w:name="_Toc137565923"/>
      <w:bookmarkStart w:id="73" w:name="_Toc137565924"/>
      <w:bookmarkStart w:id="74" w:name="_Toc137565925"/>
      <w:bookmarkStart w:id="75" w:name="_Toc137565926"/>
      <w:bookmarkStart w:id="76" w:name="_Toc137565927"/>
      <w:bookmarkStart w:id="77" w:name="_Toc137565928"/>
      <w:bookmarkStart w:id="78" w:name="_Toc137565929"/>
      <w:bookmarkStart w:id="79" w:name="_Toc137565930"/>
      <w:bookmarkStart w:id="80" w:name="_Toc137565931"/>
      <w:bookmarkStart w:id="81" w:name="_Toc137565932"/>
      <w:bookmarkStart w:id="82" w:name="_Toc137565933"/>
      <w:bookmarkStart w:id="83" w:name="_Toc137565934"/>
      <w:bookmarkStart w:id="84" w:name="_Toc137565935"/>
      <w:bookmarkStart w:id="85" w:name="_Toc137565936"/>
      <w:bookmarkStart w:id="86" w:name="_Toc137565937"/>
      <w:bookmarkStart w:id="87" w:name="_Toc137565938"/>
      <w:bookmarkStart w:id="88" w:name="_Toc137565939"/>
      <w:bookmarkStart w:id="89" w:name="_Toc137804552"/>
      <w:bookmarkStart w:id="90" w:name="_Toc13875484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E0CE56F" w14:textId="77777777" w:rsidR="008C7AC8" w:rsidRPr="00297B90" w:rsidRDefault="008C7AC8" w:rsidP="008C7AC8">
      <w:pPr>
        <w:pStyle w:val="Heading4"/>
      </w:pPr>
      <w:r w:rsidRPr="00297B90">
        <w:t>A systems reform approach to adequately respond to care and support needs</w:t>
      </w:r>
    </w:p>
    <w:p w14:paraId="4FCADCE4" w14:textId="77777777" w:rsidR="008C7AC8" w:rsidRPr="00297B90" w:rsidRDefault="008C7AC8" w:rsidP="008C7AC8">
      <w:r w:rsidRPr="00297B90">
        <w:t xml:space="preserve">A systems reform approach that acknowledges and responds to the full spectrum of care is necessary for delivering the draft Strategy’s vision of a ‘sustainable and productive care and support economy’. Systems thinking requires refocusing attention on the power dynamics, relationships and actors, institutions and structural settings that influence how the care and support economy functions. This also includes how attitudes, behaviours and cultural norms and perceptions shape the way we perceive, receive, and provide care and support. By understanding these core influences, provides an avenue to challenge aspects of the system that are not working effectively or have downstream negative consequences. </w:t>
      </w:r>
    </w:p>
    <w:p w14:paraId="3489038D" w14:textId="77777777" w:rsidR="008C7AC8" w:rsidRPr="00297B90" w:rsidRDefault="008C7AC8" w:rsidP="008C7AC8">
      <w:r w:rsidRPr="00297B90">
        <w:t xml:space="preserve">In addition, a strengths-based view of practising this approach considers how, looking at the system through this lens, mechanisms and tools can be engaged to empower and strengthen those receiving and providing all forms of care and support. Reforming the system from the ground up can drive self-determined and sustainable change in communities by ensuring that no one is left behind or made invisible. Recognising how this system functions and treats First Nations peoples, and providing tools and mechanisms to mitigate harms, is necessary to making real change. This requires placing First Nations people’s needs and experiences as a priority at the decision-making table and embracing co-design tools, ensuring they have adequate supports and resources (including access to social welfare) so as not to be overburdened by care, and investing in the community-led sector – through education, training and local employment and service delivery – to strengthen the foundations of the system and ensure sustainability. </w:t>
      </w:r>
    </w:p>
    <w:p w14:paraId="075A0135" w14:textId="77777777" w:rsidR="008C7AC8" w:rsidRPr="00297B90" w:rsidRDefault="008C7AC8" w:rsidP="008C7AC8">
      <w:r w:rsidRPr="00297B90">
        <w:t>The experiences shared by First Nations peoples shows that despite millennia of functional care systems in First Nations communities, experiences of colonisation and discriminatory and unjust policies in Australia have led to intergenerational trauma and entrenched poverty, alongside punitive welfare, incarceration and child protection systems, which have compounded care requirements and placed strains on carers.</w:t>
      </w:r>
      <w:r w:rsidRPr="00297B90">
        <w:rPr>
          <w:vertAlign w:val="superscript"/>
        </w:rPr>
        <w:endnoteReference w:id="19"/>
      </w:r>
      <w:r w:rsidRPr="00297B90">
        <w:t xml:space="preserve"> A visual representation of this context is illustrated by The Orange Compass and Early Years Catalyst systems mapping project providing 31 intersecting feedback loops reflecting the ‘current state’ of the child and family system.</w:t>
      </w:r>
      <w:r w:rsidRPr="00297B90">
        <w:rPr>
          <w:vertAlign w:val="superscript"/>
        </w:rPr>
        <w:endnoteReference w:id="20"/>
      </w:r>
      <w:r w:rsidRPr="00297B90">
        <w:t xml:space="preserve"> An example of how this system compounds First Nations trauma is provided in Figure 1. </w:t>
      </w:r>
    </w:p>
    <w:p w14:paraId="22ECFE96" w14:textId="1C94C3CF" w:rsidR="008C7AC8" w:rsidRPr="00297B90" w:rsidRDefault="008C7AC8" w:rsidP="008C7AC8">
      <w:pPr>
        <w:rPr>
          <w:i/>
          <w:iCs/>
        </w:rPr>
      </w:pPr>
      <w:r w:rsidRPr="00297B90">
        <w:rPr>
          <w:i/>
          <w:iCs/>
        </w:rPr>
        <w:t xml:space="preserve">Figure </w:t>
      </w:r>
      <w:r w:rsidRPr="00297B90">
        <w:rPr>
          <w:i/>
          <w:iCs/>
        </w:rPr>
        <w:fldChar w:fldCharType="begin"/>
      </w:r>
      <w:r w:rsidRPr="00297B90">
        <w:rPr>
          <w:i/>
          <w:iCs/>
        </w:rPr>
        <w:instrText xml:space="preserve"> SEQ Figure \* ARABIC </w:instrText>
      </w:r>
      <w:r w:rsidRPr="00297B90">
        <w:rPr>
          <w:i/>
          <w:iCs/>
        </w:rPr>
        <w:fldChar w:fldCharType="separate"/>
      </w:r>
      <w:r w:rsidR="00A4070E">
        <w:rPr>
          <w:i/>
          <w:iCs/>
          <w:noProof/>
        </w:rPr>
        <w:t>1</w:t>
      </w:r>
      <w:r w:rsidRPr="00297B90">
        <w:fldChar w:fldCharType="end"/>
      </w:r>
      <w:r w:rsidRPr="00297B90">
        <w:rPr>
          <w:i/>
          <w:iCs/>
        </w:rPr>
        <w:t>: Orange Compass and Early Years Catalyst: Systems Mapping Report, ’A system that compounds First Nations trauma'</w:t>
      </w:r>
    </w:p>
    <w:p w14:paraId="78EF7A09" w14:textId="77777777" w:rsidR="008C7AC8" w:rsidRPr="00297B90" w:rsidRDefault="008C7AC8" w:rsidP="008C7AC8">
      <w:r w:rsidRPr="00297B90">
        <w:rPr>
          <w:i/>
          <w:iCs/>
          <w:noProof/>
        </w:rPr>
        <w:drawing>
          <wp:inline distT="0" distB="0" distL="0" distR="0" wp14:anchorId="1188D5BE" wp14:editId="497C85DB">
            <wp:extent cx="5765800" cy="3937000"/>
            <wp:effectExtent l="0" t="0" r="0" b="25400"/>
            <wp:docPr id="613691101"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629984B" w14:textId="77777777" w:rsidR="008C7AC8" w:rsidRPr="00297B90" w:rsidRDefault="008C7AC8" w:rsidP="008C7AC8">
      <w:r w:rsidRPr="00297B90">
        <w:t>This mapping offers a useful way forward. Mapping the relevant issues and identifying these feedback loops where they occur is key to identifying the best interventions to break these cycles. A holistic understanding of how the care and support economy functions, acknowledging the full spectrum of care, and the value placed upon care by communities, provides an opportunity to break cycles of harm and create the necessary conditions for a caring and sustainable economy.</w:t>
      </w:r>
    </w:p>
    <w:p w14:paraId="54C433CF" w14:textId="70B1BDCD" w:rsidR="008C7AC8" w:rsidRPr="00297B90" w:rsidRDefault="008C7AC8" w:rsidP="008C7AC8">
      <w:r w:rsidRPr="00297B90">
        <w:t>Further discussion of the experiences of First Nations women and their families interacting with the care and support system is provided in the WYUT Report. Decades of exclusion from the mainstream economy, overcrowding, poor income support and unemployment, have left First Nations peoples more likely to experience poor health and wellbeing outcomes, mental health issues, addiction, and unemployment</w:t>
      </w:r>
      <w:r w:rsidR="00CB1927">
        <w:t>.</w:t>
      </w:r>
      <w:r w:rsidRPr="00297B90">
        <w:t xml:space="preserve"> These experiences are creating a ‘poverty trap’ for First Nations women and their families, as insufficient income for carers and their families creates the risk of further harm to health and wellbeing, which redoubles the load of care and thus further exacerbates the vulnerability of carers and their families.</w:t>
      </w:r>
    </w:p>
    <w:p w14:paraId="06047FBE" w14:textId="77777777" w:rsidR="008C7AC8" w:rsidRPr="00297B90" w:rsidRDefault="008C7AC8" w:rsidP="008C7AC8">
      <w:r w:rsidRPr="00297B90">
        <w:t>These conditions additionally make First Nations women vulnerable to violence. The United Nations Special Rapporteur on violence against women, Reem Alsalem, reported that Indigenous women are disproportionately impacted by gender-based violence as a result of experiences of intersecting discriminations, marginalisation and punitive systems maintained by the legacy of colonisation.</w:t>
      </w:r>
      <w:r w:rsidRPr="00297B90">
        <w:rPr>
          <w:vertAlign w:val="superscript"/>
        </w:rPr>
        <w:endnoteReference w:id="21"/>
      </w:r>
      <w:r w:rsidRPr="00297B90">
        <w:t xml:space="preserve"> This context has created significant gaps in opportunities available to Indigenous women, placing them at the forefront or as carers for women and children who are suffering from violence – which as a result entrench violence and trauma as common to their lives. </w:t>
      </w:r>
    </w:p>
    <w:p w14:paraId="75A552F1" w14:textId="77777777" w:rsidR="008C7AC8" w:rsidRPr="00297B90" w:rsidRDefault="008C7AC8" w:rsidP="008C7AC8">
      <w:r w:rsidRPr="00297B90">
        <w:t xml:space="preserve">Interacting with current care systems and institutional arrangements, First Nations women describe these environments as punitive and damaging. The clearest examples provided in the WYUT report are experiences with youth detention and child protection. A high percentage of young people engaged in these systems are likely to have neurodevelopmental disorders, trauma and Foetal Alcohol Syndrome Disorder (FASD). However, rather than being provided with care and support services for disability and mental health, these children are criminalised or institutionalised away from their families in settings that we know compound trauma and do little to address their needs. </w:t>
      </w:r>
    </w:p>
    <w:p w14:paraId="626BED39" w14:textId="77777777" w:rsidR="008C7AC8" w:rsidRPr="00297B90" w:rsidRDefault="008C7AC8" w:rsidP="008C7AC8">
      <w:r w:rsidRPr="00297B90">
        <w:t>Numerous other examples in the report, consistent with research, emphasise how the system is structured to reinforce harm by becoming more difficult to navigate and less adaptable to individual needs:</w:t>
      </w:r>
      <w:r w:rsidRPr="00297B90">
        <w:rPr>
          <w:vertAlign w:val="superscript"/>
        </w:rPr>
        <w:endnoteReference w:id="22"/>
      </w:r>
    </w:p>
    <w:p w14:paraId="61787F58" w14:textId="77777777" w:rsidR="008C7AC8" w:rsidRPr="00297B90" w:rsidRDefault="008C7AC8" w:rsidP="008C7AC8">
      <w:pPr>
        <w:numPr>
          <w:ilvl w:val="0"/>
          <w:numId w:val="2"/>
        </w:numPr>
        <w:spacing w:before="240" w:after="0" w:line="264" w:lineRule="auto"/>
      </w:pPr>
      <w:r w:rsidRPr="00297B90">
        <w:t>lack of coordination and leadership in service delivery, including overreliance on centralised navigation tools (such as Carers Gateway and MyAgedCare) and fly-in-fly-out services</w:t>
      </w:r>
    </w:p>
    <w:p w14:paraId="66BA326D" w14:textId="77777777" w:rsidR="008C7AC8" w:rsidRPr="00297B90" w:rsidRDefault="008C7AC8" w:rsidP="008C7AC8">
      <w:pPr>
        <w:numPr>
          <w:ilvl w:val="0"/>
          <w:numId w:val="2"/>
        </w:numPr>
        <w:spacing w:before="240" w:after="0" w:line="264" w:lineRule="auto"/>
      </w:pPr>
      <w:r w:rsidRPr="00297B90">
        <w:t xml:space="preserve">government preferencing new investment (rather than rolling over contracts), sub-contracting (away from community to for-profit providers) and mainstreaming service delivery (rather than place-based) minimising community decision-making and flexibility </w:t>
      </w:r>
    </w:p>
    <w:p w14:paraId="102D692D" w14:textId="77777777" w:rsidR="008C7AC8" w:rsidRPr="00297B90" w:rsidRDefault="008C7AC8" w:rsidP="008C7AC8">
      <w:pPr>
        <w:numPr>
          <w:ilvl w:val="0"/>
          <w:numId w:val="2"/>
        </w:numPr>
        <w:spacing w:before="240" w:after="0" w:line="264" w:lineRule="auto"/>
      </w:pPr>
      <w:r w:rsidRPr="00297B90">
        <w:t>mainstream services being limited to metropolitan areas, coupled with a lack of investment in rural and remote services</w:t>
      </w:r>
    </w:p>
    <w:p w14:paraId="39289434" w14:textId="77777777" w:rsidR="008C7AC8" w:rsidRPr="00297B90" w:rsidRDefault="008C7AC8" w:rsidP="008C7AC8">
      <w:pPr>
        <w:numPr>
          <w:ilvl w:val="0"/>
          <w:numId w:val="2"/>
        </w:numPr>
        <w:spacing w:before="240" w:after="0" w:line="264" w:lineRule="auto"/>
      </w:pPr>
      <w:r w:rsidRPr="00297B90">
        <w:t>applying a deficit and crisis response model to address Indigenous disadvantage, as a result propping up external businesses that profit from the apparent service gap in First Nations communities</w:t>
      </w:r>
    </w:p>
    <w:p w14:paraId="64CA52D9" w14:textId="77777777" w:rsidR="008C7AC8" w:rsidRPr="00297B90" w:rsidRDefault="008C7AC8" w:rsidP="008C7AC8">
      <w:pPr>
        <w:numPr>
          <w:ilvl w:val="0"/>
          <w:numId w:val="2"/>
        </w:numPr>
        <w:spacing w:before="240" w:after="0" w:line="264" w:lineRule="auto"/>
      </w:pPr>
      <w:r w:rsidRPr="00297B90">
        <w:t>‘regulatory ritualism’ – a theory in which the government prefers to operate in a strict regulatory environment – which as a result, loses track of achieving the substantive goals of what it aims to achieve</w:t>
      </w:r>
    </w:p>
    <w:p w14:paraId="40D9455E" w14:textId="77777777" w:rsidR="008C7AC8" w:rsidRPr="00297B90" w:rsidRDefault="008C7AC8" w:rsidP="008C7AC8">
      <w:pPr>
        <w:numPr>
          <w:ilvl w:val="0"/>
          <w:numId w:val="2"/>
        </w:numPr>
        <w:spacing w:before="240" w:after="0" w:line="264" w:lineRule="auto"/>
      </w:pPr>
      <w:r w:rsidRPr="00297B90">
        <w:t xml:space="preserve">experiences of overt racism in contact with mainstream services, as well as experiences of structural racism and discrimination whereby service systems have entrenched biases and can be exclusionary of First Nations peoples </w:t>
      </w:r>
    </w:p>
    <w:p w14:paraId="6A470E9F" w14:textId="77777777" w:rsidR="008C7AC8" w:rsidRPr="00297B90" w:rsidRDefault="008C7AC8" w:rsidP="008C7AC8">
      <w:pPr>
        <w:numPr>
          <w:ilvl w:val="0"/>
          <w:numId w:val="2"/>
        </w:numPr>
        <w:spacing w:before="240" w:after="0" w:line="264" w:lineRule="auto"/>
      </w:pPr>
      <w:r w:rsidRPr="00297B90">
        <w:t>with limited access to appropriate care and support services, resources and facilities in communities, First Nations families are forced to travel, often long distances, to access the support they need – in addition to difficulties in locating services and booking appointments appropriate to their needs, this can reinforce the trauma experienced by many First Nations peoples being removed from their Country, families and communities.</w:t>
      </w:r>
    </w:p>
    <w:p w14:paraId="4308E40B" w14:textId="77777777" w:rsidR="008C7AC8" w:rsidRPr="00297B90" w:rsidRDefault="008C7AC8" w:rsidP="008C7AC8">
      <w:r w:rsidRPr="00297B90">
        <w:t xml:space="preserve">Women as carers are left to deal with the consequences of these institutional interventions and deficiencies, which are experienced as harmful and traumatising rather than as care and support. Given a First Nations holistic understanding of care, encompassing not only health but cultural connection and connection to Country, external services which silo care services may not be seen as suitable or desirable. This leaves women at the frontline of supporting trauma recovery caused by these systems, increasing the care load. </w:t>
      </w:r>
    </w:p>
    <w:p w14:paraId="4721649E" w14:textId="77777777" w:rsidR="008C7AC8" w:rsidRPr="00297B90" w:rsidRDefault="008C7AC8" w:rsidP="008C7AC8">
      <w:r w:rsidRPr="00297B90">
        <w:t xml:space="preserve">Addressing the gaps and dysfunction in the present care economy requires systemic reform, while also putting the supports in place for First Nations communities to heal from the damages of these systems and gradually reduce the burden of this trauma care. The structural nature of this crisis demands the formation of national plans that can deliver transformational generational change. When First Nations women are invested in, and their lives, roles and knowledges are recognised and reflected in surrounding systems, children thrive, economies grow, communities are cohesive, and harms and violence are minimised. </w:t>
      </w:r>
    </w:p>
    <w:p w14:paraId="671DED71" w14:textId="14E4A662" w:rsidR="008C7AC8" w:rsidRPr="00297B90" w:rsidRDefault="008C7AC8" w:rsidP="008C7AC8">
      <w:r w:rsidRPr="00297B90">
        <w:t xml:space="preserve">This rethinking of how policy responds to the experiences of First Nations women and how care is performed across Australia also requires framing measurement and outcomes away from a reactive economic methodology, to one that values social and cultural outputs. In doing so, measurement needs to focus on qualitative indicators and outcomes in addition to quantitative. This provides an opportunity to listen and respect the views of First Nations peoples and moves towards accepting and incorporating the value of collective care in policy and regulatory frameworks – developing trust and accountability in a system that has historically treated First Nations peoples with indifference. </w:t>
      </w:r>
    </w:p>
    <w:p w14:paraId="022B0569" w14:textId="77777777" w:rsidR="008C7AC8" w:rsidRPr="00297B90" w:rsidRDefault="008C7AC8" w:rsidP="008C7AC8">
      <w:pPr>
        <w:pStyle w:val="Heading4"/>
      </w:pPr>
      <w:r w:rsidRPr="00297B90">
        <w:t>Refocusing policy interventions on prevention and early intervention to mitigate downstream challenges</w:t>
      </w:r>
    </w:p>
    <w:p w14:paraId="477B3C33" w14:textId="77777777" w:rsidR="008C7AC8" w:rsidRPr="00297B90" w:rsidRDefault="008C7AC8" w:rsidP="008C7AC8">
      <w:r w:rsidRPr="00297B90">
        <w:t>To effectively avoid downstream impacts resulting from trauma, poverty and violence that require crisis responses and which bottleneck the care and support sector requires investment into prevention and early intervention. Prevention and early intervention programs, resources and facilities include both an economic and healing element – resourcing communities to provide care and support that is financially stable and sustainably resourced, and culturally and trauma-informed. Economic modelling by Berry Street and Social Ventures Australia in 2022, shows significant returns on investment as a result of targeted early intervention into child and family services, both in financial savings and in preventing the need for tertiary services over time – including justice, health and homelessness services.</w:t>
      </w:r>
      <w:r w:rsidRPr="00297B90">
        <w:rPr>
          <w:vertAlign w:val="superscript"/>
        </w:rPr>
        <w:endnoteReference w:id="23"/>
      </w:r>
      <w:r w:rsidRPr="00297B90">
        <w:t xml:space="preserve"> </w:t>
      </w:r>
    </w:p>
    <w:p w14:paraId="5DC14D11" w14:textId="77777777" w:rsidR="008C7AC8" w:rsidRPr="00297B90" w:rsidRDefault="008C7AC8" w:rsidP="008C7AC8">
      <w:r w:rsidRPr="00297B90">
        <w:t>This approach also requires investment directly into communities, providing social supports and resources – such as adequate access to social welfare that alleviates the burden of unpaid care – and investing in First Nations people’s education, training, employment and leadership to run services. Many women in the WYUT Report, however, noted that the First Nations-led care and support sector should be complementary to the western system, not a replacement. Creating a care economy that enables knowledge, practices and values to be shared between western-led and Indigenous-led service, enables and empowers all care and support workers to provide quality, inclusive and safe care. This follows what many women in the consultations argued about exercising their right to self-determination – having their voices heard to direct where investment goes, exercising personal choice in what service providers to use, and being a part of the care system both in accessing and providing care. As Commissioner Oscar observed throughout consultations:</w:t>
      </w:r>
    </w:p>
    <w:p w14:paraId="5BB65C2B" w14:textId="77777777" w:rsidR="008C7AC8" w:rsidRPr="00297B90" w:rsidRDefault="008C7AC8" w:rsidP="008C7AC8">
      <w:r w:rsidRPr="00297B90">
        <w:t>Everywhere I heard how our women and girls are the nurturers and teachers providing care to children, families and communities. Simultaneously, I heard how this deep commitment to our society drives women to become leaders in fighting for a better existence for all our people.</w:t>
      </w:r>
      <w:r w:rsidRPr="00297B90">
        <w:rPr>
          <w:vertAlign w:val="superscript"/>
        </w:rPr>
        <w:t xml:space="preserve"> </w:t>
      </w:r>
      <w:r w:rsidRPr="00297B90">
        <w:rPr>
          <w:vertAlign w:val="superscript"/>
        </w:rPr>
        <w:endnoteReference w:id="24"/>
      </w:r>
      <w:r w:rsidRPr="00297B90">
        <w:t xml:space="preserve">       </w:t>
      </w:r>
    </w:p>
    <w:p w14:paraId="7DFAB309" w14:textId="22CFA949" w:rsidR="008C7AC8" w:rsidRPr="00297B90" w:rsidRDefault="008C7AC8" w:rsidP="008C7AC8">
      <w:r w:rsidRPr="00297B90">
        <w:t>Much of the wraparound support for First Nations families is provided by First Nations organisations, particularly women’s organisations. However, these supports are often unrecognised and unfunded because they are holistic services providing healing, care and support work across communities, rather than providing specific programs with targeted funding. Much of this work is also seamlessly integrated with activities of everyday life – visiting Country, practicing culture and sharing knowledge. Nonetheless, it is these community-led local services that First Nations women identify as the most supportive and functional services available to them.</w:t>
      </w:r>
      <w:r w:rsidRPr="00297B90">
        <w:rPr>
          <w:vertAlign w:val="superscript"/>
        </w:rPr>
        <w:endnoteReference w:id="25"/>
      </w:r>
      <w:r w:rsidRPr="00297B90">
        <w:t xml:space="preserve"> With respect to the care and support economy, and drawing upon the holistic First Nations concept of care, the draft Strategy could significantly improve the lives of carers, families and communities through stronger investment in the First Nations-led care sector.</w:t>
      </w:r>
    </w:p>
    <w:p w14:paraId="15B3632C" w14:textId="77777777" w:rsidR="008C7AC8" w:rsidRPr="00297B90" w:rsidRDefault="008C7AC8" w:rsidP="008C7AC8">
      <w:pPr>
        <w:pStyle w:val="Heading4"/>
      </w:pPr>
      <w:r w:rsidRPr="00297B90">
        <w:t>Reforming social support systems to support the true extent of First Nations women’s work and break the ‘poverty trap’</w:t>
      </w:r>
    </w:p>
    <w:p w14:paraId="1DF04F0D" w14:textId="77777777" w:rsidR="008C7AC8" w:rsidRPr="00297B90" w:rsidRDefault="008C7AC8" w:rsidP="008C7AC8">
      <w:r w:rsidRPr="00297B90">
        <w:t xml:space="preserve">Providing sufficient, appropriate, and accessible social security is critical to alleviating poverty and supporting First Nations women’s care work. This is a key area for improvement via the Strategy and Action Plans. </w:t>
      </w:r>
    </w:p>
    <w:p w14:paraId="271564D0" w14:textId="77777777" w:rsidR="008C7AC8" w:rsidRPr="00297B90" w:rsidRDefault="008C7AC8" w:rsidP="008C7AC8">
      <w:r w:rsidRPr="00297B90">
        <w:t>Currently, access to social security to alleviate the pressure of unpaid care on First Nations women presents challenges. The current mutual obligation approach to support payments is experienced as a punitive system that compounds existing stresses. Contemporary experiences in social support services reflect ongoing experiences of discrimination and trauma when seeking access to care and support. Gibson notes that the income support Community Development Program (CDP) was likened to ‘going back to the ration days’.</w:t>
      </w:r>
      <w:r w:rsidRPr="00297B90">
        <w:rPr>
          <w:vertAlign w:val="superscript"/>
        </w:rPr>
        <w:endnoteReference w:id="26"/>
      </w:r>
      <w:r w:rsidRPr="00297B90">
        <w:t xml:space="preserve"> Women who had survived domestic violence also reported their experiences of ParentsNext as similar to an abusive relationship due to the conditionality of payments.</w:t>
      </w:r>
      <w:r w:rsidRPr="00297B90">
        <w:rPr>
          <w:vertAlign w:val="superscript"/>
        </w:rPr>
        <w:endnoteReference w:id="27"/>
      </w:r>
      <w:r w:rsidRPr="00297B90">
        <w:t xml:space="preserve"> Although these programs are undergoing changes – conditionality requirements on ParentsNext are paused and the program will be replaced in July 2024; and the CDP is undergoing reform in 2023, starting with the New Jobs Program Trail – evaluation and ongoing development of successor programs will need to better respond to the lived experiences of First Nations women, and incorporate First Nations conceptions of care.</w:t>
      </w:r>
      <w:r w:rsidRPr="00297B90">
        <w:rPr>
          <w:vertAlign w:val="superscript"/>
        </w:rPr>
        <w:endnoteReference w:id="28"/>
      </w:r>
      <w:r w:rsidRPr="00297B90">
        <w:t xml:space="preserve">  </w:t>
      </w:r>
    </w:p>
    <w:p w14:paraId="7AC95727" w14:textId="77777777" w:rsidR="008C7AC8" w:rsidRPr="00297B90" w:rsidRDefault="008C7AC8" w:rsidP="008C7AC8">
      <w:r w:rsidRPr="00297B90">
        <w:t>Recognising that First Nations peoples are more likely than non-Indigenous peoples to have disability, or care for someone with a disability, alleviating barriers to access the disability support pension and the National Disability Insurance Scheme (NDIS) is also critical to a functioning support system.</w:t>
      </w:r>
      <w:r w:rsidRPr="00297B90">
        <w:rPr>
          <w:vertAlign w:val="superscript"/>
        </w:rPr>
        <w:endnoteReference w:id="29"/>
      </w:r>
      <w:r w:rsidRPr="00297B90">
        <w:t xml:space="preserve"> Reforms are needed to ensure these systems are culturally appropriate and safe, respectful, and responsive to First Nations lived experiences, values and needs.</w:t>
      </w:r>
      <w:r w:rsidRPr="00297B90">
        <w:rPr>
          <w:vertAlign w:val="superscript"/>
        </w:rPr>
        <w:endnoteReference w:id="30"/>
      </w:r>
      <w:r w:rsidRPr="00297B90">
        <w:t xml:space="preserve"> For the NDIS to be accessible for First Nations communities, also requires stronger market stewardship to ensure services are available in rural and remote locations where there is often limited access to supports.  </w:t>
      </w:r>
    </w:p>
    <w:p w14:paraId="192159F9" w14:textId="77777777" w:rsidR="008C7AC8" w:rsidRPr="00297B90" w:rsidRDefault="008C7AC8" w:rsidP="008C7AC8">
      <w:r w:rsidRPr="00297B90">
        <w:t>Klein argues that welfare conditionality targeted at women, including non-Indigenous women, reinforces and intensifies the expropriation of their unpaid care work.</w:t>
      </w:r>
      <w:r w:rsidRPr="00297B90">
        <w:rPr>
          <w:vertAlign w:val="superscript"/>
        </w:rPr>
        <w:endnoteReference w:id="31"/>
      </w:r>
      <w:r w:rsidRPr="00297B90">
        <w:t xml:space="preserve"> This is closely linked to issues of structural racism in social welfare systems: care arrangements that do not neatly fit the (white, nuclear family) template around which many support services are designed are more likely to be deemed ineligible, even when these care arrangements are grounded in cultural models of care. For example, First Nations women may provide care for a large number of people, each with a low level of need, under collective models of care. Carer support payments generally assume care for only one person with high needs, excluding these women from eligibility for supports, despite their significant care loads. First Nations women are also more likely to have their own disabilities or chronic illnesses on top of their carer responsibilities for others;</w:t>
      </w:r>
      <w:r w:rsidRPr="00297B90">
        <w:rPr>
          <w:vertAlign w:val="superscript"/>
        </w:rPr>
        <w:endnoteReference w:id="32"/>
      </w:r>
      <w:r w:rsidRPr="00297B90">
        <w:t xml:space="preserve"> and although care for Country and culture are fundamental to the holistic concept of care for First Nations people social security systems do not presently recognise or support this care work and the time it takes.</w:t>
      </w:r>
    </w:p>
    <w:p w14:paraId="2F856107" w14:textId="600E2886" w:rsidR="008C7AC8" w:rsidRPr="00297B90" w:rsidRDefault="008C7AC8" w:rsidP="008C7AC8">
      <w:r w:rsidRPr="00297B90">
        <w:t xml:space="preserve">Providing adequate and appropriate carer supports to First Nations women which do not require fulfilment of arduous obligations has the potential to lift families out of poverty, remove financial stressors, and enable communities to thrive. The Commission strongly encourages the Australian Government to work collaboratively with stakeholder organisations and individuals to reform this system of social security payments and entitlements in a way that meets First Nations women’s caring work and responsibilities, aspirations and needs. </w:t>
      </w:r>
    </w:p>
    <w:p w14:paraId="2AE80C88" w14:textId="77777777" w:rsidR="008C7AC8" w:rsidRPr="00297B90" w:rsidRDefault="008C7AC8" w:rsidP="008C7AC8">
      <w:pPr>
        <w:pStyle w:val="Heading4"/>
      </w:pPr>
      <w:r w:rsidRPr="00297B90">
        <w:t xml:space="preserve">Strengthening the foundations of the care and support economy by investing in the First Nations-led care sector </w:t>
      </w:r>
    </w:p>
    <w:p w14:paraId="23357FB8" w14:textId="77777777" w:rsidR="008C7AC8" w:rsidRPr="00297B90" w:rsidRDefault="008C7AC8" w:rsidP="008C7AC8">
      <w:r w:rsidRPr="00297B90">
        <w:t>Research indicates that Aboriginal and Community Controlled Organisations (ACCOs) are best placed to provide care and support that is holistic, accessible and integrated into existing community governance structures.</w:t>
      </w:r>
      <w:r w:rsidRPr="00297B90">
        <w:rPr>
          <w:vertAlign w:val="superscript"/>
        </w:rPr>
        <w:endnoteReference w:id="33"/>
      </w:r>
      <w:r w:rsidRPr="00297B90">
        <w:t xml:space="preserve"> They also provide advocacy and guidance to mainstream organisations on cultural matters and are uniquely placed to lead culturally informed, all-of-community solutions that reflect community priorities and ways of working. As a result, ACCOs and community-led services often outperform non-Indigenous services in delivering policy outcomes and goals for Indigenous wellbeing, health and safety.</w:t>
      </w:r>
      <w:r w:rsidRPr="00297B90">
        <w:rPr>
          <w:vertAlign w:val="superscript"/>
        </w:rPr>
        <w:endnoteReference w:id="34"/>
      </w:r>
    </w:p>
    <w:p w14:paraId="5671862A" w14:textId="77777777" w:rsidR="008C7AC8" w:rsidRPr="00297B90" w:rsidRDefault="008C7AC8" w:rsidP="008C7AC8">
      <w:r w:rsidRPr="00297B90">
        <w:t xml:space="preserve">To enable ACCOs to effectively and sustainably meet the needs of communities requires policy and regulatory reform. This would include preferencing ACCOs in funding processes, removing regulatory requirements that make ACCOs unable to compete in funding processes, and recognising that First Nations communities are capable to oversee service delivery and governance structures to support community needs. Greater systems recognition supports First Nations communities’ trust and meaningful participation in government systems and strengthens self-determination. SNAICC’s </w:t>
      </w:r>
      <w:r w:rsidRPr="00297B90">
        <w:rPr>
          <w:i/>
          <w:iCs/>
        </w:rPr>
        <w:t>Strong Families, Stronger ACCOs</w:t>
      </w:r>
      <w:r w:rsidRPr="00297B90">
        <w:t xml:space="preserve"> report provides detail into policy reform to support ACCOs, recognising opportunities and needs for a thriving care and support economy.</w:t>
      </w:r>
      <w:r w:rsidRPr="00297B90">
        <w:rPr>
          <w:vertAlign w:val="superscript"/>
        </w:rPr>
        <w:endnoteReference w:id="35"/>
      </w:r>
      <w:r w:rsidRPr="00297B90">
        <w:t xml:space="preserve"> </w:t>
      </w:r>
    </w:p>
    <w:p w14:paraId="5C34EEAB" w14:textId="77777777" w:rsidR="008C7AC8" w:rsidRPr="00297B90" w:rsidRDefault="008C7AC8" w:rsidP="008C7AC8">
      <w:r w:rsidRPr="00297B90">
        <w:t xml:space="preserve">A positive example of policy reform strengthening the role of ACCOs in community service delivery is Queensland’s Our Way Strategy. The State’s legislation also remains the most comprehensive throughout Australia in terms of the meaningful participation of Aboriginal and Torres Strait Islander children and families. </w:t>
      </w:r>
    </w:p>
    <w:p w14:paraId="75B50829" w14:textId="77777777" w:rsidR="008C7AC8" w:rsidRPr="00297B90" w:rsidRDefault="008C7AC8" w:rsidP="008C7AC8">
      <w:r w:rsidRPr="00297B90">
        <w:t xml:space="preserve">Additionally, the draft Strategy presents opportunities to improve training, education and employment to create pathways for unpaid carers, should they seek it, to upskill and find appropriate employment, and for workplaces to recognise the skills, experience and knowledge informal carers present. Providing access to formal and accredited training needs to be made available for all First Nations peoples regardless of their circumstances to fill gaps in knowledge and provide opportunities for further skills development, such as leadership and management. This ensures that all knowledges, skills and hands required for a functioning and quality care and support economy can take place locally without relying on external support. </w:t>
      </w:r>
    </w:p>
    <w:p w14:paraId="3D06F844" w14:textId="77777777" w:rsidR="008C7AC8" w:rsidRPr="00297B90" w:rsidRDefault="008C7AC8" w:rsidP="008C7AC8">
      <w:r w:rsidRPr="00297B90">
        <w:t>Training and employment must also be responsive to First Nations women’s needs and interests, recognising that they come with knowledge, skills and experiences that are unique and diverse. This must be a priority of mainstream service providers as well as supporting employment through community-led organisations, enabling women to have opportunities and choices wherever they are. Recent research applying collective impact and co-design models to Aboriginal health service delivery across Aboriginal communities found that local skill development and employment is a mutually reinforcing activity – by promoting local employment builds cultural safety within service delivery and those employed improve health literacy, sharing this knowledge back to communities to improve health practices.</w:t>
      </w:r>
      <w:r w:rsidRPr="00297B90">
        <w:rPr>
          <w:vertAlign w:val="superscript"/>
        </w:rPr>
        <w:endnoteReference w:id="36"/>
      </w:r>
      <w:r w:rsidRPr="00297B90">
        <w:t xml:space="preserve"> Enabling communities to have a role in designing and implementing the health services were also key to community empowerment and self-determination. </w:t>
      </w:r>
    </w:p>
    <w:p w14:paraId="4F6F2DC8" w14:textId="194AA7A5" w:rsidR="008C7AC8" w:rsidRPr="00297B90" w:rsidRDefault="008C7AC8" w:rsidP="008C7AC8">
      <w:r w:rsidRPr="00297B90">
        <w:t>The Wiyi Yani U Thangani Implementation Framework provides a number of actions to expand education, training and employment pathways for First Nations women which can be used and incorporated within the first Action Plans for the draft Strategy that include improving cultural safety, flexibility and adaptability to systems to support women’s needs.</w:t>
      </w:r>
      <w:r w:rsidRPr="00297B90">
        <w:rPr>
          <w:vertAlign w:val="superscript"/>
        </w:rPr>
        <w:endnoteReference w:id="37"/>
      </w:r>
    </w:p>
    <w:p w14:paraId="773C2CC4" w14:textId="77777777" w:rsidR="008C7AC8" w:rsidRPr="00297B90" w:rsidRDefault="008C7AC8" w:rsidP="008C7AC8">
      <w:pPr>
        <w:pStyle w:val="Heading3"/>
      </w:pPr>
      <w:bookmarkStart w:id="91" w:name="_Toc166172094"/>
      <w:bookmarkStart w:id="92" w:name="_Toc168655821"/>
      <w:r>
        <w:t xml:space="preserve">5. </w:t>
      </w:r>
      <w:r w:rsidRPr="00297B90">
        <w:t>Conclusion</w:t>
      </w:r>
      <w:bookmarkEnd w:id="91"/>
      <w:bookmarkEnd w:id="92"/>
    </w:p>
    <w:p w14:paraId="5A8E569C" w14:textId="77777777" w:rsidR="008C7AC8" w:rsidRPr="00297B90" w:rsidRDefault="008C7AC8" w:rsidP="008C7AC8">
      <w:r w:rsidRPr="00297B90">
        <w:t xml:space="preserve">The Draft Strategy represents an important opportunity to discuss care and support work in Australia, and make policy and program changes that better support the realities of carers and the people they care for. </w:t>
      </w:r>
    </w:p>
    <w:p w14:paraId="219D7ECF" w14:textId="77777777" w:rsidR="008C7AC8" w:rsidRPr="00297B90" w:rsidRDefault="008C7AC8" w:rsidP="008C7AC8">
      <w:r w:rsidRPr="00297B90">
        <w:t>The Wiyi Yani U Thangani project has gathered extensive evidence of First Nations women’s experiences of care, which highlight that the majority of care in First Nations communities occurs informally, is unpaid, and is complex and interconnected, reflecting First Nations holistic conceptions of care. Care is a source of strength and connection. Through their care roles, First Nations women are leaders, pass on culture, nurture cohesive families and communities and connect to Country.</w:t>
      </w:r>
    </w:p>
    <w:p w14:paraId="32168066" w14:textId="77777777" w:rsidR="008C7AC8" w:rsidRPr="00297B90" w:rsidRDefault="008C7AC8" w:rsidP="008C7AC8">
      <w:r w:rsidRPr="00297B90">
        <w:t>The present care and social support systems do not encapsulate this experience of care, nor do they provide sufficient, appropriate support for the vast extent of unpaid care labour that First Nations women carry out. The AHRC urges that the Strategy must:</w:t>
      </w:r>
    </w:p>
    <w:p w14:paraId="2448A18C" w14:textId="77777777" w:rsidR="008C7AC8" w:rsidRPr="00297B90" w:rsidRDefault="008C7AC8" w:rsidP="008C7AC8">
      <w:pPr>
        <w:numPr>
          <w:ilvl w:val="0"/>
          <w:numId w:val="10"/>
        </w:numPr>
        <w:spacing w:before="240" w:after="0" w:line="264" w:lineRule="auto"/>
      </w:pPr>
      <w:r w:rsidRPr="00297B90">
        <w:t>Recognise the central role of informal care arrangements on the care economy, particularly for First Nations people, by broadening the definition of care to reflect First Nations conceptions of care.</w:t>
      </w:r>
    </w:p>
    <w:p w14:paraId="116A3F32" w14:textId="77777777" w:rsidR="008C7AC8" w:rsidRPr="00297B90" w:rsidRDefault="008C7AC8" w:rsidP="008C7AC8">
      <w:pPr>
        <w:numPr>
          <w:ilvl w:val="0"/>
          <w:numId w:val="10"/>
        </w:numPr>
        <w:spacing w:before="240" w:after="0" w:line="264" w:lineRule="auto"/>
      </w:pPr>
      <w:r w:rsidRPr="00297B90">
        <w:t>Develop tools and strategies to measure care using this broader definition.</w:t>
      </w:r>
    </w:p>
    <w:p w14:paraId="340711A5" w14:textId="77777777" w:rsidR="008C7AC8" w:rsidRPr="00297B90" w:rsidRDefault="008C7AC8" w:rsidP="008C7AC8">
      <w:pPr>
        <w:numPr>
          <w:ilvl w:val="0"/>
          <w:numId w:val="10"/>
        </w:numPr>
        <w:spacing w:before="240" w:after="0" w:line="264" w:lineRule="auto"/>
      </w:pPr>
      <w:r w:rsidRPr="00297B90">
        <w:t>Take a systems mapping and systems change approach to supporting the full spectrum of care services and provision, from early intervention and prevention through to acute and crisis response forms of care.</w:t>
      </w:r>
    </w:p>
    <w:p w14:paraId="0E3CAE6D" w14:textId="77777777" w:rsidR="008C7AC8" w:rsidRPr="00297B90" w:rsidRDefault="008C7AC8" w:rsidP="008C7AC8">
      <w:pPr>
        <w:numPr>
          <w:ilvl w:val="0"/>
          <w:numId w:val="10"/>
        </w:numPr>
        <w:spacing w:before="240" w:after="0" w:line="264" w:lineRule="auto"/>
      </w:pPr>
      <w:r w:rsidRPr="00297B90">
        <w:t>Refocus policy reforms on investing in prevention and early intervention services.</w:t>
      </w:r>
    </w:p>
    <w:p w14:paraId="48FC4A03" w14:textId="77777777" w:rsidR="008C7AC8" w:rsidRPr="00297B90" w:rsidRDefault="008C7AC8" w:rsidP="008C7AC8">
      <w:pPr>
        <w:numPr>
          <w:ilvl w:val="0"/>
          <w:numId w:val="10"/>
        </w:numPr>
        <w:spacing w:before="240" w:after="0" w:line="264" w:lineRule="auto"/>
      </w:pPr>
      <w:r w:rsidRPr="00297B90">
        <w:t>Urgently reform social supports and the social security payment system.</w:t>
      </w:r>
    </w:p>
    <w:p w14:paraId="11B03AB2" w14:textId="77777777" w:rsidR="008C7AC8" w:rsidRPr="00297B90" w:rsidRDefault="008C7AC8" w:rsidP="008C7AC8">
      <w:pPr>
        <w:numPr>
          <w:ilvl w:val="0"/>
          <w:numId w:val="10"/>
        </w:numPr>
        <w:spacing w:before="240" w:after="0" w:line="264" w:lineRule="auto"/>
      </w:pPr>
      <w:r w:rsidRPr="00297B90">
        <w:t>Invest in the First Nations led care sector.</w:t>
      </w:r>
    </w:p>
    <w:p w14:paraId="30C87DD4" w14:textId="77777777" w:rsidR="008C7AC8" w:rsidRPr="00297B90" w:rsidRDefault="008C7AC8" w:rsidP="008C7AC8">
      <w:r w:rsidRPr="00297B90">
        <w:t>Additional points for how these recommendations can be fully enacted are provided in the opening of this Submission.</w:t>
      </w:r>
    </w:p>
    <w:p w14:paraId="16900C94" w14:textId="1A3596BE" w:rsidR="008C7AC8" w:rsidRDefault="008C7AC8" w:rsidP="008C7AC8">
      <w:r w:rsidRPr="00297B90">
        <w:t xml:space="preserve">The Commission looks forward to seeing this work progress and welcomes further discussion and collaboration. </w:t>
      </w:r>
    </w:p>
    <w:p w14:paraId="2F3F4616" w14:textId="77777777" w:rsidR="008C7AC8" w:rsidRPr="00297B90" w:rsidRDefault="008C7AC8" w:rsidP="008C7AC8">
      <w:pPr>
        <w:pStyle w:val="Heading3"/>
      </w:pPr>
      <w:bookmarkStart w:id="93" w:name="_Toc166172095"/>
      <w:bookmarkStart w:id="94" w:name="_Toc168655822"/>
      <w:r>
        <w:t>6. Endnotes</w:t>
      </w:r>
      <w:bookmarkEnd w:id="93"/>
      <w:bookmarkEnd w:id="94"/>
    </w:p>
    <w:sectPr w:rsidR="008C7AC8" w:rsidRPr="00297B90" w:rsidSect="001211F2">
      <w:headerReference w:type="default" r:id="rId29"/>
      <w:footerReference w:type="default" r:id="rId30"/>
      <w:footerReference w:type="first" r:id="rId31"/>
      <w:pgSz w:w="11906" w:h="16838"/>
      <w:pgMar w:top="1440" w:right="1440" w:bottom="1440" w:left="1440" w:header="68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C0AA1" w14:textId="77777777" w:rsidR="00A81190" w:rsidRDefault="00A81190" w:rsidP="00446F0A">
      <w:r>
        <w:separator/>
      </w:r>
    </w:p>
  </w:endnote>
  <w:endnote w:type="continuationSeparator" w:id="0">
    <w:p w14:paraId="0DAA5041" w14:textId="77777777" w:rsidR="00A81190" w:rsidRDefault="00A81190" w:rsidP="00446F0A">
      <w:r>
        <w:continuationSeparator/>
      </w:r>
    </w:p>
  </w:endnote>
  <w:endnote w:type="continuationNotice" w:id="1">
    <w:p w14:paraId="707DED3D" w14:textId="77777777" w:rsidR="00A81190" w:rsidRDefault="00A81190"/>
  </w:endnote>
  <w:endnote w:id="2">
    <w:p w14:paraId="2BE98C0B"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Human Rights Commission, </w:t>
      </w:r>
      <w:r w:rsidRPr="001667A5">
        <w:rPr>
          <w:rFonts w:ascii="Open Sans" w:hAnsi="Open Sans" w:cs="Open Sans"/>
          <w:i/>
          <w:iCs/>
        </w:rPr>
        <w:t xml:space="preserve">Wiyi Yani U Thangani Implementation framework </w:t>
      </w:r>
      <w:r w:rsidRPr="001667A5">
        <w:rPr>
          <w:rFonts w:ascii="Open Sans" w:hAnsi="Open Sans" w:cs="Open Sans"/>
        </w:rPr>
        <w:t>(Report, 2021).</w:t>
      </w:r>
    </w:p>
  </w:endnote>
  <w:endnote w:id="3">
    <w:p w14:paraId="39AE5099"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Elise Klein, ‘Unpaid care, welfare conditionality and expropriation’ (2021) 28(2) </w:t>
      </w:r>
      <w:r w:rsidRPr="001667A5">
        <w:rPr>
          <w:rFonts w:ascii="Open Sans" w:hAnsi="Open Sans" w:cs="Open Sans"/>
          <w:i/>
          <w:iCs/>
        </w:rPr>
        <w:t xml:space="preserve">Gender, Work &amp; Organisation </w:t>
      </w:r>
      <w:r w:rsidRPr="001667A5">
        <w:rPr>
          <w:rFonts w:ascii="Open Sans" w:hAnsi="Open Sans" w:cs="Open Sans"/>
        </w:rPr>
        <w:t>1475, 1476.</w:t>
      </w:r>
    </w:p>
  </w:endnote>
  <w:endnote w:id="4">
    <w:p w14:paraId="6F56DCD0"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The Danish Institute for Human Rights, </w:t>
      </w:r>
      <w:r w:rsidRPr="001667A5">
        <w:rPr>
          <w:rFonts w:ascii="Open Sans" w:hAnsi="Open Sans" w:cs="Open Sans"/>
          <w:i/>
          <w:iCs/>
        </w:rPr>
        <w:t xml:space="preserve">Human Rights and Economic Growth </w:t>
      </w:r>
      <w:r w:rsidRPr="001667A5">
        <w:rPr>
          <w:rFonts w:ascii="Open Sans" w:hAnsi="Open Sans" w:cs="Open Sans"/>
        </w:rPr>
        <w:t>(Report, 7 March 2017) &lt;</w:t>
      </w:r>
      <w:hyperlink r:id="rId1" w:history="1">
        <w:r w:rsidRPr="001667A5">
          <w:rPr>
            <w:rStyle w:val="Hyperlink"/>
            <w:rFonts w:ascii="Open Sans" w:hAnsi="Open Sans" w:cs="Open Sans"/>
          </w:rPr>
          <w:t>https://www.humanrights.dk/publications/human-rights-economic-growth</w:t>
        </w:r>
      </w:hyperlink>
      <w:r w:rsidRPr="001667A5">
        <w:rPr>
          <w:rFonts w:ascii="Open Sans" w:hAnsi="Open Sans" w:cs="Open Sans"/>
        </w:rPr>
        <w:t xml:space="preserve">&gt;; Basah Baglayan et al., </w:t>
      </w:r>
      <w:r w:rsidRPr="001667A5">
        <w:rPr>
          <w:rFonts w:ascii="Open Sans" w:hAnsi="Open Sans" w:cs="Open Sans"/>
          <w:i/>
          <w:iCs/>
        </w:rPr>
        <w:t xml:space="preserve">Good Business: The Economic case for protecting human rights </w:t>
      </w:r>
      <w:r w:rsidRPr="001667A5">
        <w:rPr>
          <w:rFonts w:ascii="Open Sans" w:hAnsi="Open Sans" w:cs="Open Sans"/>
        </w:rPr>
        <w:t>(Report, December 2018).</w:t>
      </w:r>
    </w:p>
  </w:endnote>
  <w:endnote w:id="5">
    <w:p w14:paraId="72621298" w14:textId="77777777" w:rsidR="008C7AC8" w:rsidRPr="001667A5" w:rsidRDefault="008C7AC8" w:rsidP="001667A5">
      <w:pPr>
        <w:pStyle w:val="EndnoteText"/>
        <w:ind w:left="720" w:hanging="720"/>
        <w:rPr>
          <w:rFonts w:ascii="Open Sans" w:hAnsi="Open Sans" w:cs="Open Sans"/>
          <w:lang w:val="fr-FR"/>
        </w:rPr>
      </w:pPr>
      <w:r w:rsidRPr="001667A5">
        <w:rPr>
          <w:rStyle w:val="EndnoteReference"/>
          <w:rFonts w:ascii="Open Sans" w:hAnsi="Open Sans" w:cs="Open Sans"/>
        </w:rPr>
        <w:endnoteRef/>
      </w:r>
      <w:r w:rsidRPr="001667A5">
        <w:rPr>
          <w:rFonts w:ascii="Open Sans" w:hAnsi="Open Sans" w:cs="Open Sans"/>
        </w:rPr>
        <w:t xml:space="preserve"> United Nations Human Rights Office of the Hugh Commissioner, ‘What are human rights? </w:t>
      </w:r>
      <w:r w:rsidRPr="001667A5">
        <w:rPr>
          <w:rFonts w:ascii="Open Sans" w:hAnsi="Open Sans" w:cs="Open Sans"/>
          <w:lang w:val="fr-FR"/>
        </w:rPr>
        <w:t>(Webpage) &lt;</w:t>
      </w:r>
      <w:hyperlink r:id="rId2" w:history="1">
        <w:r w:rsidRPr="001667A5">
          <w:rPr>
            <w:rStyle w:val="Hyperlink"/>
            <w:rFonts w:ascii="Open Sans" w:hAnsi="Open Sans" w:cs="Open Sans"/>
            <w:lang w:val="fr-FR"/>
          </w:rPr>
          <w:t>https://www.ohchr.org/en/what-are-human-rights#</w:t>
        </w:r>
      </w:hyperlink>
      <w:r w:rsidRPr="001667A5">
        <w:rPr>
          <w:rFonts w:ascii="Open Sans" w:hAnsi="Open Sans" w:cs="Open Sans"/>
          <w:lang w:val="fr-FR"/>
        </w:rPr>
        <w:t xml:space="preserve">&gt;. </w:t>
      </w:r>
    </w:p>
  </w:endnote>
  <w:endnote w:id="6">
    <w:p w14:paraId="377034F3"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Universal Declaration of Human Rights, </w:t>
      </w:r>
      <w:r w:rsidRPr="001667A5">
        <w:rPr>
          <w:rFonts w:ascii="Open Sans" w:hAnsi="Open Sans" w:cs="Open Sans"/>
        </w:rPr>
        <w:t xml:space="preserve">GA Res 217A (III), UN GAOR, UN Doc A/810 (10 December 1948; </w:t>
      </w:r>
      <w:r w:rsidRPr="001667A5">
        <w:rPr>
          <w:rFonts w:ascii="Open Sans" w:hAnsi="Open Sans" w:cs="Open Sans"/>
          <w:i/>
          <w:iCs/>
        </w:rPr>
        <w:t xml:space="preserve">United Nations Declaration on the Rights of Indigenous Peoples, </w:t>
      </w:r>
      <w:r w:rsidRPr="001667A5">
        <w:rPr>
          <w:rFonts w:ascii="Open Sans" w:hAnsi="Open Sans" w:cs="Open Sans"/>
        </w:rPr>
        <w:t xml:space="preserve">GA Res 61/295, UN Doc A/RES/61/295 (2 October 2017, adopted 13 September 2007); </w:t>
      </w:r>
      <w:r w:rsidRPr="001667A5">
        <w:rPr>
          <w:rFonts w:ascii="Open Sans" w:hAnsi="Open Sans" w:cs="Open Sans"/>
          <w:i/>
          <w:iCs/>
        </w:rPr>
        <w:t xml:space="preserve">United Nations Convention on the Rights of the Child, </w:t>
      </w:r>
      <w:r w:rsidRPr="001667A5">
        <w:rPr>
          <w:rFonts w:ascii="Open Sans" w:hAnsi="Open Sans" w:cs="Open Sans"/>
        </w:rPr>
        <w:t xml:space="preserve"> GA Res 44/25 (20 November 1989, adopted 2 September 1990); </w:t>
      </w:r>
      <w:r w:rsidRPr="001667A5">
        <w:rPr>
          <w:rFonts w:ascii="Open Sans" w:hAnsi="Open Sans" w:cs="Open Sans"/>
          <w:i/>
          <w:iCs/>
        </w:rPr>
        <w:t xml:space="preserve">United Nations Convention on the Elimination of All Forms of Discrimination Against Women, </w:t>
      </w:r>
      <w:r w:rsidRPr="001667A5">
        <w:rPr>
          <w:rFonts w:ascii="Open Sans" w:hAnsi="Open Sans" w:cs="Open Sans"/>
        </w:rPr>
        <w:t xml:space="preserve">GA Res 34/180, UN Doc A/Res/34/180 (18 December 1979, adopted 3 September 1981); </w:t>
      </w:r>
      <w:r w:rsidRPr="001667A5">
        <w:rPr>
          <w:rFonts w:ascii="Open Sans" w:hAnsi="Open Sans" w:cs="Open Sans"/>
          <w:i/>
          <w:iCs/>
        </w:rPr>
        <w:t xml:space="preserve">United Nations Convention on the Rights of Persons with Disabilities, </w:t>
      </w:r>
      <w:r w:rsidRPr="001667A5">
        <w:rPr>
          <w:rFonts w:ascii="Open Sans" w:hAnsi="Open Sans" w:cs="Open Sans"/>
        </w:rPr>
        <w:t xml:space="preserve">GA Res 61/106, UN Doc A/Res/61/106 (24 January 2007).   </w:t>
      </w:r>
    </w:p>
  </w:endnote>
  <w:endnote w:id="7">
    <w:p w14:paraId="66AC1F1F"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Universal Declaration of Human Rights, </w:t>
      </w:r>
      <w:r w:rsidRPr="001667A5">
        <w:rPr>
          <w:rFonts w:ascii="Open Sans" w:hAnsi="Open Sans" w:cs="Open Sans"/>
        </w:rPr>
        <w:t>GA Res 217A (III), UN GAOR, UN Doc A/810 (10 December 1948 art 25.</w:t>
      </w:r>
    </w:p>
  </w:endnote>
  <w:endnote w:id="8">
    <w:p w14:paraId="7432E816"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Committee on Economic, Social and Cultural Rights, </w:t>
      </w:r>
      <w:r w:rsidRPr="001667A5">
        <w:rPr>
          <w:rFonts w:ascii="Open Sans" w:hAnsi="Open Sans" w:cs="Open Sans"/>
          <w:i/>
          <w:iCs/>
        </w:rPr>
        <w:t xml:space="preserve">General Comment No. 14: The Right to the Highest Attainable Standard of Health (Art. 12), </w:t>
      </w:r>
      <w:r w:rsidRPr="001667A5">
        <w:rPr>
          <w:rFonts w:ascii="Open Sans" w:hAnsi="Open Sans" w:cs="Open Sans"/>
        </w:rPr>
        <w:t>UN CESCR 22</w:t>
      </w:r>
      <w:r w:rsidRPr="001667A5">
        <w:rPr>
          <w:rFonts w:ascii="Open Sans" w:hAnsi="Open Sans" w:cs="Open Sans"/>
          <w:vertAlign w:val="superscript"/>
        </w:rPr>
        <w:t>nd</w:t>
      </w:r>
      <w:r w:rsidRPr="001667A5">
        <w:rPr>
          <w:rFonts w:ascii="Open Sans" w:hAnsi="Open Sans" w:cs="Open Sans"/>
        </w:rPr>
        <w:t xml:space="preserve"> sess, UN Doc E/C.12/2000/4 (11 August 2000).</w:t>
      </w:r>
    </w:p>
  </w:endnote>
  <w:endnote w:id="9">
    <w:p w14:paraId="5FFE8F8C"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Committee on Economic, Social and Cultural Rights, </w:t>
      </w:r>
      <w:r w:rsidRPr="001667A5">
        <w:rPr>
          <w:rFonts w:ascii="Open Sans" w:hAnsi="Open Sans" w:cs="Open Sans"/>
          <w:i/>
          <w:iCs/>
        </w:rPr>
        <w:t xml:space="preserve">General Comment No. 14: The Right to the Highest Attainable Standard of Health (Art. 12), </w:t>
      </w:r>
      <w:r w:rsidRPr="001667A5">
        <w:rPr>
          <w:rFonts w:ascii="Open Sans" w:hAnsi="Open Sans" w:cs="Open Sans"/>
        </w:rPr>
        <w:t>UN CESCR 22</w:t>
      </w:r>
      <w:r w:rsidRPr="001667A5">
        <w:rPr>
          <w:rFonts w:ascii="Open Sans" w:hAnsi="Open Sans" w:cs="Open Sans"/>
          <w:vertAlign w:val="superscript"/>
        </w:rPr>
        <w:t>nd</w:t>
      </w:r>
      <w:r w:rsidRPr="001667A5">
        <w:rPr>
          <w:rFonts w:ascii="Open Sans" w:hAnsi="Open Sans" w:cs="Open Sans"/>
        </w:rPr>
        <w:t xml:space="preserve"> sess, UN Doc E/C.12/2000/4 (11 August 2000) sec 12.</w:t>
      </w:r>
    </w:p>
  </w:endnote>
  <w:endnote w:id="10">
    <w:p w14:paraId="43D5DBEE"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United Nations Declaration on the Rights of Indigenous Peoples, </w:t>
      </w:r>
      <w:r w:rsidRPr="001667A5">
        <w:rPr>
          <w:rFonts w:ascii="Open Sans" w:hAnsi="Open Sans" w:cs="Open Sans"/>
        </w:rPr>
        <w:t>GA Res 61/295, UN Doc A/RES/61/295 (2 October 2017, adopted 13 September 2007) arts 11-14, 24.</w:t>
      </w:r>
    </w:p>
  </w:endnote>
  <w:endnote w:id="11">
    <w:p w14:paraId="7E630CC7"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United Nations Declaration on the Rights of Indigenous Peoples, </w:t>
      </w:r>
      <w:r w:rsidRPr="001667A5">
        <w:rPr>
          <w:rFonts w:ascii="Open Sans" w:hAnsi="Open Sans" w:cs="Open Sans"/>
        </w:rPr>
        <w:t>GA Res 61/295, UN Doc A/RES/61/295 (2 October 2017, adopted 13 September 2007) art 29</w:t>
      </w:r>
    </w:p>
  </w:endnote>
  <w:endnote w:id="12">
    <w:p w14:paraId="38EE2DE6"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United Nations Declaration on the Rights of Indigenous Peoples, </w:t>
      </w:r>
      <w:r w:rsidRPr="001667A5">
        <w:rPr>
          <w:rFonts w:ascii="Open Sans" w:hAnsi="Open Sans" w:cs="Open Sans"/>
        </w:rPr>
        <w:t>GA Res 61/295, UN Doc A/RES/61/295 (2 October 2017, adopted 13 September 2007) arts 2, 3, 9,11-13, 25.</w:t>
      </w:r>
    </w:p>
  </w:endnote>
  <w:endnote w:id="13">
    <w:p w14:paraId="246390EC"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w:t>
      </w:r>
      <w:r w:rsidRPr="001667A5">
        <w:rPr>
          <w:rFonts w:ascii="Open Sans" w:hAnsi="Open Sans" w:cs="Open Sans"/>
          <w:i/>
          <w:iCs/>
        </w:rPr>
        <w:t xml:space="preserve">United Nations Convention on the Rights of the Child, </w:t>
      </w:r>
      <w:r w:rsidRPr="001667A5">
        <w:rPr>
          <w:rFonts w:ascii="Open Sans" w:hAnsi="Open Sans" w:cs="Open Sans"/>
        </w:rPr>
        <w:t xml:space="preserve"> GA Res 44/25 (20 November 1989, adopted 2 September 1990) art 30.</w:t>
      </w:r>
    </w:p>
  </w:endnote>
  <w:endnote w:id="14">
    <w:p w14:paraId="1ABB6256"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United Nations Human Rights Office of the High Commissioner, ‘About good governance’ (Webpage) &lt;</w:t>
      </w:r>
      <w:hyperlink r:id="rId3" w:history="1">
        <w:r w:rsidRPr="001667A5">
          <w:rPr>
            <w:rStyle w:val="Hyperlink"/>
            <w:rFonts w:ascii="Open Sans" w:hAnsi="Open Sans" w:cs="Open Sans"/>
          </w:rPr>
          <w:t>https://www.ohchr.org/en/good-governance/about-good-governance</w:t>
        </w:r>
      </w:hyperlink>
      <w:r w:rsidRPr="001667A5">
        <w:rPr>
          <w:rFonts w:ascii="Open Sans" w:hAnsi="Open Sans" w:cs="Open Sans"/>
        </w:rPr>
        <w:t xml:space="preserve">&gt;. </w:t>
      </w:r>
    </w:p>
  </w:endnote>
  <w:endnote w:id="15">
    <w:p w14:paraId="21B8445A"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Department of Prime Minister and Cabinet, </w:t>
      </w:r>
      <w:r w:rsidRPr="001667A5">
        <w:rPr>
          <w:rFonts w:ascii="Open Sans" w:hAnsi="Open Sans" w:cs="Open Sans"/>
          <w:i/>
          <w:iCs/>
        </w:rPr>
        <w:t xml:space="preserve">Draft National Care and Support Economy Strategy </w:t>
      </w:r>
      <w:r w:rsidRPr="001667A5">
        <w:rPr>
          <w:rFonts w:ascii="Open Sans" w:hAnsi="Open Sans" w:cs="Open Sans"/>
        </w:rPr>
        <w:t>(Report, 2023) 25.</w:t>
      </w:r>
    </w:p>
  </w:endnote>
  <w:endnote w:id="16">
    <w:p w14:paraId="3522F2A2"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Elise Klein, ‘Unpaid care, welfare conditionality and expropriation’ (2021) 28(2) </w:t>
      </w:r>
      <w:r w:rsidRPr="001667A5">
        <w:rPr>
          <w:rFonts w:ascii="Open Sans" w:hAnsi="Open Sans" w:cs="Open Sans"/>
          <w:i/>
          <w:iCs/>
        </w:rPr>
        <w:t xml:space="preserve">Gender, Work &amp; Organisation </w:t>
      </w:r>
      <w:r w:rsidRPr="001667A5">
        <w:rPr>
          <w:rFonts w:ascii="Open Sans" w:hAnsi="Open Sans" w:cs="Open Sans"/>
        </w:rPr>
        <w:t>1475.</w:t>
      </w:r>
    </w:p>
  </w:endnote>
  <w:endnote w:id="17">
    <w:p w14:paraId="18C304B3"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Government, </w:t>
      </w:r>
      <w:r w:rsidRPr="001667A5">
        <w:rPr>
          <w:rFonts w:ascii="Open Sans" w:hAnsi="Open Sans" w:cs="Open Sans"/>
          <w:i/>
        </w:rPr>
        <w:t>Expert Panel: L Behrendt, S Larkin, R Griew, P Kelly, Review of Higher Education Access and Outcomes for Aboriginal and Torres Strait Islander People: Final Report</w:t>
      </w:r>
      <w:r w:rsidRPr="001667A5">
        <w:rPr>
          <w:rFonts w:ascii="Open Sans" w:hAnsi="Open Sans" w:cs="Open Sans"/>
        </w:rPr>
        <w:t xml:space="preserve"> (Report, July 2012) 328.</w:t>
      </w:r>
    </w:p>
  </w:endnote>
  <w:endnote w:id="18">
    <w:p w14:paraId="0C980452"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Elise Klein et al. ‘Caring About Care: A national study into Indigenous women’s care’ (forthcoming) </w:t>
      </w:r>
      <w:r w:rsidRPr="001667A5">
        <w:rPr>
          <w:rFonts w:ascii="Open Sans" w:hAnsi="Open Sans" w:cs="Open Sans"/>
          <w:i/>
          <w:iCs/>
        </w:rPr>
        <w:t>Australian National University</w:t>
      </w:r>
      <w:r w:rsidRPr="001667A5">
        <w:rPr>
          <w:rFonts w:ascii="Open Sans" w:hAnsi="Open Sans" w:cs="Open Sans"/>
        </w:rPr>
        <w:t>.</w:t>
      </w:r>
    </w:p>
  </w:endnote>
  <w:endnote w:id="19">
    <w:p w14:paraId="3EEA8798"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Human Rights Commission, </w:t>
      </w:r>
      <w:r w:rsidRPr="001667A5">
        <w:rPr>
          <w:rFonts w:ascii="Open Sans" w:hAnsi="Open Sans" w:cs="Open Sans"/>
          <w:i/>
          <w:iCs/>
        </w:rPr>
        <w:t>Wiyi Yani U Thangani (Women’s Voices): Securing our Rights, Securing our Future</w:t>
      </w:r>
      <w:r w:rsidRPr="001667A5">
        <w:rPr>
          <w:rFonts w:ascii="Open Sans" w:hAnsi="Open Sans" w:cs="Open Sans"/>
        </w:rPr>
        <w:t xml:space="preserve"> (Report, 2020); Karen Menzies, ‘Understanding the Australian Aboriginal experience of collective, historical and intergenerational trauma’ (2019) 62(6) </w:t>
      </w:r>
      <w:r w:rsidRPr="001667A5">
        <w:rPr>
          <w:rFonts w:ascii="Open Sans" w:hAnsi="Open Sans" w:cs="Open Sans"/>
          <w:i/>
          <w:iCs/>
        </w:rPr>
        <w:t>International Social Work</w:t>
      </w:r>
      <w:r w:rsidRPr="001667A5">
        <w:rPr>
          <w:rFonts w:ascii="Open Sans" w:hAnsi="Open Sans" w:cs="Open Sans"/>
        </w:rPr>
        <w:t>, 1522.</w:t>
      </w:r>
    </w:p>
  </w:endnote>
  <w:endnote w:id="20">
    <w:p w14:paraId="4660A8D6"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Early Years Catalyst and Orange Compass, </w:t>
      </w:r>
      <w:r w:rsidRPr="001667A5">
        <w:rPr>
          <w:rFonts w:ascii="Open Sans" w:hAnsi="Open Sans" w:cs="Open Sans"/>
          <w:i/>
          <w:iCs/>
        </w:rPr>
        <w:t>Systems Mapping Report</w:t>
      </w:r>
      <w:r w:rsidRPr="001667A5">
        <w:rPr>
          <w:rFonts w:ascii="Open Sans" w:hAnsi="Open Sans" w:cs="Open Sans"/>
          <w:i/>
        </w:rPr>
        <w:t xml:space="preserve"> </w:t>
      </w:r>
      <w:r w:rsidRPr="001667A5">
        <w:rPr>
          <w:rFonts w:ascii="Open Sans" w:hAnsi="Open Sans" w:cs="Open Sans"/>
        </w:rPr>
        <w:t>(Report, August 2022) 26 &lt;</w:t>
      </w:r>
      <w:hyperlink r:id="rId4" w:history="1">
        <w:r w:rsidRPr="001667A5">
          <w:rPr>
            <w:rStyle w:val="Hyperlink"/>
            <w:rFonts w:ascii="Open Sans" w:hAnsi="Open Sans" w:cs="Open Sans"/>
          </w:rPr>
          <w:t>https://www.earlyyearscatalyst.org.au/wp-content/uploads/2022/08/EYC-Document-System-Mapping-Report-Aug-2022.pdf</w:t>
        </w:r>
      </w:hyperlink>
      <w:r w:rsidRPr="001667A5">
        <w:rPr>
          <w:rFonts w:ascii="Open Sans" w:hAnsi="Open Sans" w:cs="Open Sans"/>
        </w:rPr>
        <w:t>&gt;.</w:t>
      </w:r>
    </w:p>
  </w:endnote>
  <w:endnote w:id="21">
    <w:p w14:paraId="0539F2B0"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Special Rapporteur on violence against women, its causes and consequences, Violence against indigenous women and girls, Human Rights Council A/HRC/50/26 (2022) &lt;</w:t>
      </w:r>
      <w:hyperlink r:id="rId5" w:history="1">
        <w:r w:rsidRPr="001667A5">
          <w:rPr>
            <w:rStyle w:val="Hyperlink"/>
            <w:rFonts w:ascii="Open Sans" w:hAnsi="Open Sans" w:cs="Open Sans"/>
          </w:rPr>
          <w:t>https://documents-dds-ny.un.org/doc/UNDOC/GEN/G22/323/90/PDF/G2232390.pdf?OpenElement</w:t>
        </w:r>
      </w:hyperlink>
      <w:r w:rsidRPr="001667A5">
        <w:rPr>
          <w:rFonts w:ascii="Open Sans" w:hAnsi="Open Sans" w:cs="Open Sans"/>
        </w:rPr>
        <w:t xml:space="preserve">&gt;. </w:t>
      </w:r>
    </w:p>
  </w:endnote>
  <w:endnote w:id="22">
    <w:p w14:paraId="1B1FEE5B"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Productivity Commission, </w:t>
      </w:r>
      <w:r w:rsidRPr="001667A5">
        <w:rPr>
          <w:rFonts w:ascii="Open Sans" w:hAnsi="Open Sans" w:cs="Open Sans"/>
          <w:i/>
          <w:iCs/>
        </w:rPr>
        <w:t xml:space="preserve">Expenditure on Children in the Northern Territory </w:t>
      </w:r>
      <w:r w:rsidRPr="001667A5">
        <w:rPr>
          <w:rFonts w:ascii="Open Sans" w:hAnsi="Open Sans" w:cs="Open Sans"/>
        </w:rPr>
        <w:t xml:space="preserve">(Report, 8 April 2020) &lt;https://www.pc.gov.au/inquiries/completed/nt-children/report; Megan Davis, </w:t>
      </w:r>
      <w:r w:rsidRPr="001667A5">
        <w:rPr>
          <w:rFonts w:ascii="Open Sans" w:hAnsi="Open Sans" w:cs="Open Sans"/>
          <w:i/>
          <w:iCs/>
        </w:rPr>
        <w:t>Family is Culture, Independent Review of Children and Young People in OOHC in NSW</w:t>
      </w:r>
      <w:r w:rsidRPr="001667A5">
        <w:rPr>
          <w:rFonts w:ascii="Open Sans" w:hAnsi="Open Sans" w:cs="Open Sans"/>
        </w:rPr>
        <w:t xml:space="preserve">  (Report, November 2019) &lt;</w:t>
      </w:r>
      <w:hyperlink r:id="rId6" w:history="1">
        <w:r w:rsidRPr="001667A5">
          <w:rPr>
            <w:rStyle w:val="Hyperlink"/>
            <w:rFonts w:ascii="Open Sans" w:hAnsi="Open Sans" w:cs="Open Sans"/>
          </w:rPr>
          <w:t>https://www.familyisculture.nsw.gov.au/__data/assets/pdf_file/0011/726329/Family-Is-Culture-Review-Report.pdf</w:t>
        </w:r>
      </w:hyperlink>
      <w:r w:rsidRPr="001667A5">
        <w:rPr>
          <w:rFonts w:ascii="Open Sans" w:hAnsi="Open Sans" w:cs="Open Sans"/>
        </w:rPr>
        <w:t xml:space="preserve">&gt;; Productivity Commission, </w:t>
      </w:r>
      <w:r w:rsidRPr="001667A5">
        <w:rPr>
          <w:rFonts w:ascii="Open Sans" w:hAnsi="Open Sans" w:cs="Open Sans"/>
          <w:i/>
          <w:iCs/>
        </w:rPr>
        <w:t xml:space="preserve">Mental Health Inquiry Report </w:t>
      </w:r>
      <w:r w:rsidRPr="001667A5">
        <w:rPr>
          <w:rFonts w:ascii="Open Sans" w:hAnsi="Open Sans" w:cs="Open Sans"/>
        </w:rPr>
        <w:t>(Report, 16 November 2020) &lt;</w:t>
      </w:r>
      <w:hyperlink r:id="rId7" w:history="1">
        <w:r w:rsidRPr="001667A5">
          <w:rPr>
            <w:rStyle w:val="Hyperlink"/>
            <w:rFonts w:ascii="Open Sans" w:hAnsi="Open Sans" w:cs="Open Sans"/>
          </w:rPr>
          <w:t>https://www.pc.gov.au/inquiries/completed/mental-health/report/mental-health.pdf</w:t>
        </w:r>
      </w:hyperlink>
      <w:r w:rsidRPr="001667A5">
        <w:rPr>
          <w:rFonts w:ascii="Open Sans" w:hAnsi="Open Sans" w:cs="Open Sans"/>
        </w:rPr>
        <w:t>&gt;.</w:t>
      </w:r>
    </w:p>
  </w:endnote>
  <w:endnote w:id="23">
    <w:p w14:paraId="3307D72D"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Social Ventures Australia, </w:t>
      </w:r>
      <w:r w:rsidRPr="001667A5">
        <w:rPr>
          <w:rFonts w:ascii="Open Sans" w:hAnsi="Open Sans" w:cs="Open Sans"/>
          <w:i/>
          <w:iCs/>
        </w:rPr>
        <w:t xml:space="preserve">The economic case for early intervention in the child protection and out-of-home care system in Victoria </w:t>
      </w:r>
      <w:r w:rsidRPr="001667A5">
        <w:rPr>
          <w:rFonts w:ascii="Open Sans" w:hAnsi="Open Sans" w:cs="Open Sans"/>
        </w:rPr>
        <w:t>(Research Paper, November 2019) &lt;</w:t>
      </w:r>
      <w:hyperlink r:id="rId8" w:history="1">
        <w:r w:rsidRPr="001667A5">
          <w:rPr>
            <w:rStyle w:val="Hyperlink"/>
            <w:rFonts w:ascii="Open Sans" w:hAnsi="Open Sans" w:cs="Open Sans"/>
          </w:rPr>
          <w:t>https://www.berrystreet.org.au/uploads/main/Files/SVA-ResearchPaper-TheEconomicCaseForEarlyIntervention-2019.pdf</w:t>
        </w:r>
      </w:hyperlink>
      <w:r w:rsidRPr="001667A5">
        <w:rPr>
          <w:rStyle w:val="Hyperlink"/>
          <w:rFonts w:ascii="Open Sans" w:hAnsi="Open Sans" w:cs="Open Sans"/>
        </w:rPr>
        <w:t>&gt;.</w:t>
      </w:r>
      <w:r w:rsidRPr="001667A5">
        <w:rPr>
          <w:rFonts w:ascii="Open Sans" w:hAnsi="Open Sans" w:cs="Open Sans"/>
        </w:rPr>
        <w:t xml:space="preserve"> </w:t>
      </w:r>
    </w:p>
  </w:endnote>
  <w:endnote w:id="24">
    <w:p w14:paraId="4ED6A314"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Human Rights Commission, </w:t>
      </w:r>
      <w:r w:rsidRPr="001667A5">
        <w:rPr>
          <w:rFonts w:ascii="Open Sans" w:hAnsi="Open Sans" w:cs="Open Sans"/>
          <w:i/>
          <w:iCs/>
        </w:rPr>
        <w:t xml:space="preserve">Wiyi Yani U Thangani (Women’s Voices): Securing our Rights, Securing our Future </w:t>
      </w:r>
      <w:r w:rsidRPr="001667A5">
        <w:rPr>
          <w:rFonts w:ascii="Open Sans" w:hAnsi="Open Sans" w:cs="Open Sans"/>
        </w:rPr>
        <w:t>(Report, 2020) 54.</w:t>
      </w:r>
    </w:p>
  </w:endnote>
  <w:endnote w:id="25">
    <w:p w14:paraId="1B3B05EB"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D C LoGiudice et. al, ‘Lungurra Ngoora--a pilot model of care for aged and disabled in a remote Aboriginal community--can it work?’ (2012) 12(2078) </w:t>
      </w:r>
      <w:r w:rsidRPr="001667A5">
        <w:rPr>
          <w:rFonts w:ascii="Open Sans" w:hAnsi="Open Sans" w:cs="Open Sans"/>
          <w:i/>
          <w:iCs/>
        </w:rPr>
        <w:t xml:space="preserve">Rural Remote Health </w:t>
      </w:r>
      <w:r w:rsidRPr="001667A5">
        <w:rPr>
          <w:rFonts w:ascii="Open Sans" w:hAnsi="Open Sans" w:cs="Open Sans"/>
        </w:rPr>
        <w:t>1.</w:t>
      </w:r>
    </w:p>
  </w:endnote>
  <w:endnote w:id="26">
    <w:p w14:paraId="425EBF12"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Paddy Gibson, ‘Return to the ration days: The Northern Territory Intervention – grass-roots experience and resistance; (2012) 3 </w:t>
      </w:r>
      <w:r w:rsidRPr="001667A5">
        <w:rPr>
          <w:rFonts w:ascii="Open Sans" w:hAnsi="Open Sans" w:cs="Open Sans"/>
          <w:i/>
          <w:iCs/>
        </w:rPr>
        <w:t xml:space="preserve">Ngaiya: Talk the Law  </w:t>
      </w:r>
      <w:r w:rsidRPr="001667A5">
        <w:rPr>
          <w:rFonts w:ascii="Open Sans" w:hAnsi="Open Sans" w:cs="Open Sans"/>
        </w:rPr>
        <w:t xml:space="preserve">58; Elise Klein and Sarouche Razi, ‘Contemporary tools of dispossession: The cashless debit card trial in the east Kimberley’ (2018) 82 </w:t>
      </w:r>
      <w:r w:rsidRPr="001667A5">
        <w:rPr>
          <w:rFonts w:ascii="Open Sans" w:hAnsi="Open Sans" w:cs="Open Sans"/>
          <w:i/>
          <w:iCs/>
        </w:rPr>
        <w:t xml:space="preserve">Journal of Australian Political Economy  </w:t>
      </w:r>
      <w:r w:rsidRPr="001667A5">
        <w:rPr>
          <w:rFonts w:ascii="Open Sans" w:hAnsi="Open Sans" w:cs="Open Sans"/>
        </w:rPr>
        <w:t>84, 99;</w:t>
      </w:r>
    </w:p>
  </w:endnote>
  <w:endnote w:id="27">
    <w:p w14:paraId="47D4DFF1"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Elise Klein, ‘Unpaid care, welfare conditionality and expropriation’ (2021) 28(2) </w:t>
      </w:r>
      <w:r w:rsidRPr="001667A5">
        <w:rPr>
          <w:rFonts w:ascii="Open Sans" w:hAnsi="Open Sans" w:cs="Open Sans"/>
          <w:i/>
          <w:iCs/>
        </w:rPr>
        <w:t xml:space="preserve">Gender, Work &amp; Organisation </w:t>
      </w:r>
      <w:r w:rsidRPr="001667A5">
        <w:rPr>
          <w:rFonts w:ascii="Open Sans" w:hAnsi="Open Sans" w:cs="Open Sans"/>
        </w:rPr>
        <w:t>1475.</w:t>
      </w:r>
    </w:p>
  </w:endnote>
  <w:endnote w:id="28">
    <w:p w14:paraId="4CA0088D"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National Indigenous Australians Agency, ‘Replacing the Community Development Program with a new remote jobs program’ (Webpage, 2023) &lt;</w:t>
      </w:r>
      <w:hyperlink r:id="rId9" w:history="1">
        <w:r w:rsidRPr="001667A5">
          <w:rPr>
            <w:rStyle w:val="Hyperlink"/>
            <w:rFonts w:ascii="Open Sans" w:hAnsi="Open Sans" w:cs="Open Sans"/>
          </w:rPr>
          <w:t>https://www.niaa.gov.au/indigenous-affairs/employment/remote-jobs</w:t>
        </w:r>
      </w:hyperlink>
      <w:r w:rsidRPr="001667A5">
        <w:rPr>
          <w:rFonts w:ascii="Open Sans" w:hAnsi="Open Sans" w:cs="Open Sans"/>
        </w:rPr>
        <w:t>&gt;; Department of Employment and Workplace Relations, ‘Changes to ParentsNext’ (Webpage, 4 May 2023) &lt;</w:t>
      </w:r>
      <w:hyperlink r:id="rId10" w:anchor=":~:text=The%20Australian%20Government%20will%20move,requirements%20for%20participants%20in%20ParentsNext." w:history="1">
        <w:r w:rsidRPr="001667A5">
          <w:rPr>
            <w:rStyle w:val="Hyperlink"/>
            <w:rFonts w:ascii="Open Sans" w:hAnsi="Open Sans" w:cs="Open Sans"/>
          </w:rPr>
          <w:t>https://www.dewr.gov.au/parentsnext/announcements/changes-parentsnext#:~:text=The%20Australian%20Government%20will%20move,requirements%20for%20participants%20in%20ParentsNext.</w:t>
        </w:r>
      </w:hyperlink>
      <w:r w:rsidRPr="001667A5">
        <w:rPr>
          <w:rFonts w:ascii="Open Sans" w:hAnsi="Open Sans" w:cs="Open Sans"/>
        </w:rPr>
        <w:t xml:space="preserve">&gt;. </w:t>
      </w:r>
    </w:p>
  </w:endnote>
  <w:endnote w:id="29">
    <w:p w14:paraId="3274E78F"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Institute of Health and Welfare, ‘Disability support for Indigenous Australians’ (Web Report, 16 September 2021) &lt;</w:t>
      </w:r>
      <w:hyperlink r:id="rId11" w:history="1">
        <w:r w:rsidRPr="001667A5">
          <w:rPr>
            <w:rStyle w:val="Hyperlink"/>
            <w:rFonts w:ascii="Open Sans" w:hAnsi="Open Sans" w:cs="Open Sans"/>
          </w:rPr>
          <w:t>https://www.aihw.gov.au/reports/australias-welfare/disability-support-for-indigenous-australians</w:t>
        </w:r>
      </w:hyperlink>
      <w:r w:rsidRPr="001667A5">
        <w:rPr>
          <w:rFonts w:ascii="Open Sans" w:hAnsi="Open Sans" w:cs="Open Sans"/>
        </w:rPr>
        <w:t xml:space="preserve">&gt;. </w:t>
      </w:r>
    </w:p>
  </w:endnote>
  <w:endnote w:id="30">
    <w:p w14:paraId="49E426B9"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Clare Townsend et. al. ‘Making every Australian count: challenges for the National Disability Insurance Scheme (NDIS) and the equal inclusion of homeless Aboriginal and Torres Strait Islander Peoples with neurocognitive disability’ (2018) 42 </w:t>
      </w:r>
      <w:r w:rsidRPr="001667A5">
        <w:rPr>
          <w:rFonts w:ascii="Open Sans" w:hAnsi="Open Sans" w:cs="Open Sans"/>
          <w:i/>
          <w:iCs/>
        </w:rPr>
        <w:t xml:space="preserve">Australian Health Review </w:t>
      </w:r>
      <w:r w:rsidRPr="001667A5">
        <w:rPr>
          <w:rFonts w:ascii="Open Sans" w:hAnsi="Open Sans" w:cs="Open Sans"/>
        </w:rPr>
        <w:t>227.</w:t>
      </w:r>
    </w:p>
  </w:endnote>
  <w:endnote w:id="31">
    <w:p w14:paraId="50AE75E0"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Elise Klein and Sarouche Razi, ‘Contemporary tools of dispossession: The cashless debit card trial in the east Kimberley’ (2018) 82 </w:t>
      </w:r>
      <w:r w:rsidRPr="001667A5">
        <w:rPr>
          <w:rFonts w:ascii="Open Sans" w:hAnsi="Open Sans" w:cs="Open Sans"/>
          <w:i/>
          <w:iCs/>
        </w:rPr>
        <w:t xml:space="preserve">Journal of Australian Political Economy  </w:t>
      </w:r>
      <w:r w:rsidRPr="001667A5">
        <w:rPr>
          <w:rFonts w:ascii="Open Sans" w:hAnsi="Open Sans" w:cs="Open Sans"/>
        </w:rPr>
        <w:t>84.</w:t>
      </w:r>
    </w:p>
  </w:endnote>
  <w:endnote w:id="32">
    <w:p w14:paraId="4FECF714"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Australian Institute of Health and Welfare, ‘Indigenous health and wellbeing’ (Web article, 7 July 2022) &lt;https://www.aihw.gov.au/reports/australias-health/indigenous-health-and-wellbeing&gt;.</w:t>
      </w:r>
    </w:p>
  </w:endnote>
  <w:endnote w:id="33">
    <w:p w14:paraId="50CF98E6"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lang w:val="fi-FI"/>
        </w:rPr>
        <w:t xml:space="preserve"> Kathryn S Panaretto et al. </w:t>
      </w:r>
      <w:r w:rsidRPr="001667A5">
        <w:rPr>
          <w:rFonts w:ascii="Open Sans" w:hAnsi="Open Sans" w:cs="Open Sans"/>
        </w:rPr>
        <w:t xml:space="preserve">‘Aboriginal community controlled health services: leading the way in primary care’ (2014) 200 (11) </w:t>
      </w:r>
      <w:r w:rsidRPr="001667A5">
        <w:rPr>
          <w:rFonts w:ascii="Open Sans" w:hAnsi="Open Sans" w:cs="Open Sans"/>
          <w:i/>
          <w:iCs/>
        </w:rPr>
        <w:t xml:space="preserve">MJA </w:t>
      </w:r>
      <w:r w:rsidRPr="001667A5">
        <w:rPr>
          <w:rFonts w:ascii="Open Sans" w:hAnsi="Open Sans" w:cs="Open Sans"/>
        </w:rPr>
        <w:t xml:space="preserve">649; SNAICC, </w:t>
      </w:r>
      <w:r w:rsidRPr="001667A5">
        <w:rPr>
          <w:rFonts w:ascii="Open Sans" w:hAnsi="Open Sans" w:cs="Open Sans"/>
          <w:i/>
          <w:iCs/>
        </w:rPr>
        <w:t xml:space="preserve">Stronger ACCOs, Stronger Families </w:t>
      </w:r>
      <w:r w:rsidRPr="001667A5">
        <w:rPr>
          <w:rFonts w:ascii="Open Sans" w:hAnsi="Open Sans" w:cs="Open Sans"/>
        </w:rPr>
        <w:t>(Report, May 2023) &lt;</w:t>
      </w:r>
      <w:hyperlink r:id="rId12" w:history="1">
        <w:r w:rsidRPr="001667A5">
          <w:rPr>
            <w:rStyle w:val="Hyperlink"/>
            <w:rFonts w:ascii="Open Sans" w:hAnsi="Open Sans" w:cs="Open Sans"/>
          </w:rPr>
          <w:t>https://www.snaicc.org.au/wp-content/uploads/2023/05/SNAICC-Stronger-ACCOs-Stronger-Families-report-2022.pdf</w:t>
        </w:r>
      </w:hyperlink>
      <w:r w:rsidRPr="001667A5">
        <w:rPr>
          <w:rFonts w:ascii="Open Sans" w:hAnsi="Open Sans" w:cs="Open Sans"/>
        </w:rPr>
        <w:t>&gt;.</w:t>
      </w:r>
    </w:p>
  </w:endnote>
  <w:endnote w:id="34">
    <w:p w14:paraId="47299934"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lang w:val="fi-FI"/>
        </w:rPr>
        <w:t xml:space="preserve"> Kathryn S Panaretto et al. </w:t>
      </w:r>
      <w:r w:rsidRPr="001667A5">
        <w:rPr>
          <w:rFonts w:ascii="Open Sans" w:hAnsi="Open Sans" w:cs="Open Sans"/>
        </w:rPr>
        <w:t xml:space="preserve">‘Aboriginal community controlled health services: leading the way in primary care’ (2014) 200 (11) </w:t>
      </w:r>
      <w:r w:rsidRPr="001667A5">
        <w:rPr>
          <w:rFonts w:ascii="Open Sans" w:hAnsi="Open Sans" w:cs="Open Sans"/>
          <w:i/>
          <w:iCs/>
        </w:rPr>
        <w:t xml:space="preserve">MJA </w:t>
      </w:r>
      <w:r w:rsidRPr="001667A5">
        <w:rPr>
          <w:rFonts w:ascii="Open Sans" w:hAnsi="Open Sans" w:cs="Open Sans"/>
        </w:rPr>
        <w:t xml:space="preserve">649, 650; Nadine Silva, ‘Why are Aboriginal communities better at preventing the spread of coronavirus’ </w:t>
      </w:r>
      <w:r w:rsidRPr="001667A5">
        <w:rPr>
          <w:rFonts w:ascii="Open Sans" w:hAnsi="Open Sans" w:cs="Open Sans"/>
          <w:i/>
          <w:iCs/>
        </w:rPr>
        <w:t xml:space="preserve">NITV </w:t>
      </w:r>
      <w:r w:rsidRPr="001667A5">
        <w:rPr>
          <w:rFonts w:ascii="Open Sans" w:hAnsi="Open Sans" w:cs="Open Sans"/>
        </w:rPr>
        <w:t xml:space="preserve"> (Web article, 10 July 2020) </w:t>
      </w:r>
      <w:hyperlink r:id="rId13" w:history="1">
        <w:r w:rsidRPr="001667A5">
          <w:rPr>
            <w:rStyle w:val="Hyperlink"/>
            <w:rFonts w:ascii="Open Sans" w:hAnsi="Open Sans" w:cs="Open Sans"/>
          </w:rPr>
          <w:t>https://www.sbs.com.au/nitv/article/why-are-aboriginal-communities-better-at-preventing-the-spread-of-coronavirus/ktkf05oub</w:t>
        </w:r>
      </w:hyperlink>
      <w:r w:rsidRPr="001667A5">
        <w:rPr>
          <w:rFonts w:ascii="Open Sans" w:hAnsi="Open Sans" w:cs="Open Sans"/>
        </w:rPr>
        <w:t>&gt;;  Bronwyn Fredericks et. al, ‘Gendered Indigenous Health and Wellbeing within the Australian Health system: A Review of the Literature’ (Report, December 2017) 41 &lt;</w:t>
      </w:r>
      <w:hyperlink r:id="rId14" w:history="1">
        <w:r w:rsidRPr="001667A5">
          <w:rPr>
            <w:rStyle w:val="Hyperlink"/>
            <w:rFonts w:ascii="Open Sans" w:hAnsi="Open Sans" w:cs="Open Sans"/>
          </w:rPr>
          <w:t>https://eprints.qut.edu.au/115966/1/Gendered%20Indigenous%20Health%20and%20Wellbeing%20within%20the%20Australian%20Health%20System.%20A%20Review%20of%20the%20Literature.pdf%20%281%29.pdf</w:t>
        </w:r>
      </w:hyperlink>
      <w:r w:rsidRPr="001667A5">
        <w:rPr>
          <w:rFonts w:ascii="Open Sans" w:hAnsi="Open Sans" w:cs="Open Sans"/>
        </w:rPr>
        <w:t xml:space="preserve">&gt;; D C LoGiudice et. al, ‘Lungurra Ngoora--a pilot model of care for aged and disabled in a remote Aboriginal community--can it work?’ (2012) 12(2078) </w:t>
      </w:r>
      <w:r w:rsidRPr="001667A5">
        <w:rPr>
          <w:rFonts w:ascii="Open Sans" w:hAnsi="Open Sans" w:cs="Open Sans"/>
          <w:i/>
          <w:iCs/>
        </w:rPr>
        <w:t xml:space="preserve">Rural Remote Health </w:t>
      </w:r>
      <w:r w:rsidRPr="001667A5">
        <w:rPr>
          <w:rFonts w:ascii="Open Sans" w:hAnsi="Open Sans" w:cs="Open Sans"/>
        </w:rPr>
        <w:t>1.</w:t>
      </w:r>
    </w:p>
  </w:endnote>
  <w:endnote w:id="35">
    <w:p w14:paraId="21E73E14"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SNAICC, </w:t>
      </w:r>
      <w:r w:rsidRPr="001667A5">
        <w:rPr>
          <w:rFonts w:ascii="Open Sans" w:hAnsi="Open Sans" w:cs="Open Sans"/>
          <w:i/>
          <w:iCs/>
        </w:rPr>
        <w:t xml:space="preserve">Stronger ACCOs, Stronger Families </w:t>
      </w:r>
      <w:r w:rsidRPr="001667A5">
        <w:rPr>
          <w:rFonts w:ascii="Open Sans" w:hAnsi="Open Sans" w:cs="Open Sans"/>
        </w:rPr>
        <w:t>(Report, May 2023) &lt;</w:t>
      </w:r>
      <w:hyperlink r:id="rId15" w:history="1">
        <w:r w:rsidRPr="001667A5">
          <w:rPr>
            <w:rStyle w:val="Hyperlink"/>
            <w:rFonts w:ascii="Open Sans" w:hAnsi="Open Sans" w:cs="Open Sans"/>
          </w:rPr>
          <w:t>https://www.snaicc.org.au/wp-content/uploads/2023/05/SNAICC-Stronger-ACCOs-Stronger-Families-report-2022.pdf</w:t>
        </w:r>
      </w:hyperlink>
      <w:r w:rsidRPr="001667A5">
        <w:rPr>
          <w:rFonts w:ascii="Open Sans" w:hAnsi="Open Sans" w:cs="Open Sans"/>
        </w:rPr>
        <w:t xml:space="preserve">&gt;. </w:t>
      </w:r>
    </w:p>
  </w:endnote>
  <w:endnote w:id="36">
    <w:p w14:paraId="3F45451B" w14:textId="77777777" w:rsidR="008C7AC8" w:rsidRPr="001667A5" w:rsidRDefault="008C7AC8" w:rsidP="001667A5">
      <w:pPr>
        <w:pStyle w:val="EndnoteText"/>
        <w:ind w:left="720" w:hanging="720"/>
        <w:rPr>
          <w:rFonts w:ascii="Open Sans" w:hAnsi="Open Sans" w:cs="Open Sans"/>
        </w:rPr>
      </w:pPr>
      <w:r w:rsidRPr="001667A5">
        <w:rPr>
          <w:rStyle w:val="EndnoteReference"/>
          <w:rFonts w:ascii="Open Sans" w:hAnsi="Open Sans" w:cs="Open Sans"/>
        </w:rPr>
        <w:endnoteRef/>
      </w:r>
      <w:r w:rsidRPr="001667A5">
        <w:rPr>
          <w:rFonts w:ascii="Open Sans" w:hAnsi="Open Sans" w:cs="Open Sans"/>
        </w:rPr>
        <w:t xml:space="preserve"> Kylie Gwynne et al. ‘Applying collective impact in Aboriginal health services and research: three case studies tell an importance story’ (2022) 32(2) </w:t>
      </w:r>
      <w:r w:rsidRPr="001667A5">
        <w:rPr>
          <w:rFonts w:ascii="Open Sans" w:hAnsi="Open Sans" w:cs="Open Sans"/>
          <w:i/>
          <w:iCs/>
        </w:rPr>
        <w:t xml:space="preserve">Public health research and practice </w:t>
      </w:r>
      <w:r w:rsidRPr="001667A5">
        <w:rPr>
          <w:rFonts w:ascii="Open Sans" w:hAnsi="Open Sans" w:cs="Open Sans"/>
        </w:rPr>
        <w:t>1, 3.</w:t>
      </w:r>
    </w:p>
  </w:endnote>
  <w:endnote w:id="37">
    <w:p w14:paraId="5F78ED5B" w14:textId="77777777" w:rsidR="008C7AC8" w:rsidRDefault="008C7AC8" w:rsidP="001667A5">
      <w:pPr>
        <w:pStyle w:val="EndnoteText"/>
        <w:ind w:left="720" w:hanging="720"/>
      </w:pPr>
      <w:r w:rsidRPr="001667A5">
        <w:rPr>
          <w:rStyle w:val="EndnoteReference"/>
          <w:rFonts w:ascii="Open Sans" w:hAnsi="Open Sans" w:cs="Open Sans"/>
        </w:rPr>
        <w:endnoteRef/>
      </w:r>
      <w:r w:rsidRPr="001667A5">
        <w:rPr>
          <w:rFonts w:ascii="Open Sans" w:hAnsi="Open Sans" w:cs="Open Sans"/>
        </w:rPr>
        <w:t xml:space="preserve"> Australian Human Rights Commission, </w:t>
      </w:r>
      <w:r w:rsidRPr="001667A5">
        <w:rPr>
          <w:rFonts w:ascii="Open Sans" w:hAnsi="Open Sans" w:cs="Open Sans"/>
          <w:i/>
          <w:iCs/>
        </w:rPr>
        <w:t xml:space="preserve">Wiyi Yani U Thangani Implementation Framework </w:t>
      </w:r>
      <w:r w:rsidRPr="001667A5">
        <w:rPr>
          <w:rFonts w:ascii="Open Sans" w:hAnsi="Open Sans" w:cs="Open Sans"/>
        </w:rPr>
        <w:t>(Report,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Futura-Medium">
    <w:panose1 w:val="020B06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delle Rg">
    <w:panose1 w:val="02000503060000020004"/>
    <w:charset w:val="00"/>
    <w:family w:val="modern"/>
    <w:notTrueType/>
    <w:pitch w:val="variable"/>
    <w:sig w:usb0="80000087" w:usb1="0000004B" w:usb2="00000000" w:usb3="00000000" w:csb0="00000083" w:csb1="00000000"/>
  </w:font>
  <w:font w:name="Futura Book">
    <w:panose1 w:val="020B0800000000000000"/>
    <w:charset w:val="00"/>
    <w:family w:val="swiss"/>
    <w:notTrueType/>
    <w:pitch w:val="variable"/>
    <w:sig w:usb0="800000AF" w:usb1="40000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E36D" w14:textId="1D187B0E" w:rsidR="00EC2EF6" w:rsidRPr="00505200" w:rsidRDefault="00AC16AD">
    <w:pPr>
      <w:pStyle w:val="Footer"/>
      <w:jc w:val="right"/>
    </w:pPr>
    <w:sdt>
      <w:sdtPr>
        <w:id w:val="630220166"/>
        <w:docPartObj>
          <w:docPartGallery w:val="Page Numbers (Bottom of Page)"/>
          <w:docPartUnique/>
        </w:docPartObj>
      </w:sdtPr>
      <w:sdtEndPr>
        <w:rPr>
          <w:noProof/>
        </w:rPr>
      </w:sdtEndPr>
      <w:sdtContent>
        <w:r w:rsidR="00247B6C">
          <w:rPr>
            <w:noProof/>
            <w14:ligatures w14:val="standardContextual"/>
          </w:rPr>
          <w:drawing>
            <wp:anchor distT="0" distB="0" distL="114300" distR="114300" simplePos="0" relativeHeight="251658245" behindDoc="1" locked="0" layoutInCell="1" allowOverlap="1" wp14:anchorId="4F358766" wp14:editId="592EEEBA">
              <wp:simplePos x="0" y="0"/>
              <wp:positionH relativeFrom="column">
                <wp:posOffset>-1474205</wp:posOffset>
              </wp:positionH>
              <wp:positionV relativeFrom="paragraph">
                <wp:posOffset>189571</wp:posOffset>
              </wp:positionV>
              <wp:extent cx="8370965" cy="346662"/>
              <wp:effectExtent l="0" t="0" r="0" b="0"/>
              <wp:wrapNone/>
              <wp:docPr id="1622953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08956" name="Picture 397308956"/>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8370965" cy="346662"/>
                      </a:xfrm>
                      <a:prstGeom prst="rect">
                        <a:avLst/>
                      </a:prstGeom>
                    </pic:spPr>
                  </pic:pic>
                </a:graphicData>
              </a:graphic>
              <wp14:sizeRelH relativeFrom="page">
                <wp14:pctWidth>0</wp14:pctWidth>
              </wp14:sizeRelH>
              <wp14:sizeRelV relativeFrom="page">
                <wp14:pctHeight>0</wp14:pctHeight>
              </wp14:sizeRelV>
            </wp:anchor>
          </w:drawing>
        </w:r>
        <w:r w:rsidR="00EC2EF6" w:rsidRPr="00505200">
          <w:fldChar w:fldCharType="begin"/>
        </w:r>
        <w:r w:rsidR="00EC2EF6" w:rsidRPr="00505200">
          <w:instrText xml:space="preserve"> PAGE   \* MERGEFORMAT </w:instrText>
        </w:r>
        <w:r w:rsidR="00EC2EF6" w:rsidRPr="00505200">
          <w:fldChar w:fldCharType="separate"/>
        </w:r>
        <w:r w:rsidR="00EC2EF6" w:rsidRPr="00505200">
          <w:rPr>
            <w:noProof/>
          </w:rPr>
          <w:t>2</w:t>
        </w:r>
        <w:r w:rsidR="00EC2EF6" w:rsidRPr="00505200">
          <w:rPr>
            <w:noProof/>
          </w:rPr>
          <w:fldChar w:fldCharType="end"/>
        </w:r>
      </w:sdtContent>
    </w:sdt>
  </w:p>
  <w:p w14:paraId="05F64632" w14:textId="2D94349C" w:rsidR="00446F0A" w:rsidRDefault="00446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DAEA2" w14:textId="771FA3B8" w:rsidR="00C67C55" w:rsidRDefault="00C67C55">
    <w:pPr>
      <w:pStyle w:val="Footer"/>
    </w:pPr>
    <w:r w:rsidRPr="00027EA1">
      <w:rPr>
        <w:noProof/>
        <w:szCs w:val="20"/>
      </w:rPr>
      <mc:AlternateContent>
        <mc:Choice Requires="wps">
          <w:drawing>
            <wp:anchor distT="0" distB="0" distL="114300" distR="114300" simplePos="0" relativeHeight="251658243" behindDoc="0" locked="0" layoutInCell="1" allowOverlap="1" wp14:anchorId="36E5F39A" wp14:editId="3C313FF3">
              <wp:simplePos x="0" y="0"/>
              <wp:positionH relativeFrom="column">
                <wp:posOffset>3975735</wp:posOffset>
              </wp:positionH>
              <wp:positionV relativeFrom="paragraph">
                <wp:posOffset>133350</wp:posOffset>
              </wp:positionV>
              <wp:extent cx="3899535" cy="398780"/>
              <wp:effectExtent l="0" t="0" r="5715" b="1270"/>
              <wp:wrapNone/>
              <wp:docPr id="1875655654" name="Text Box 1875655654"/>
              <wp:cNvGraphicFramePr/>
              <a:graphic xmlns:a="http://schemas.openxmlformats.org/drawingml/2006/main">
                <a:graphicData uri="http://schemas.microsoft.com/office/word/2010/wordprocessingShape">
                  <wps:wsp>
                    <wps:cNvSpPr txBox="1"/>
                    <wps:spPr>
                      <a:xfrm>
                        <a:off x="0" y="0"/>
                        <a:ext cx="3899535" cy="398780"/>
                      </a:xfrm>
                      <a:prstGeom prst="rect">
                        <a:avLst/>
                      </a:prstGeom>
                      <a:noFill/>
                      <a:ln w="6350">
                        <a:noFill/>
                      </a:ln>
                    </wps:spPr>
                    <wps:txbx>
                      <w:txbxContent>
                        <w:p w14:paraId="7D35B870" w14:textId="77777777" w:rsidR="00C67C55" w:rsidRPr="00B561F9" w:rsidRDefault="00C67C55" w:rsidP="00C67C55">
                          <w:pPr>
                            <w:spacing w:before="40"/>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5F39A" id="_x0000_t202" coordsize="21600,21600" o:spt="202" path="m,l,21600r21600,l21600,xe">
              <v:stroke joinstyle="miter"/>
              <v:path gradientshapeok="t" o:connecttype="rect"/>
            </v:shapetype>
            <v:shape id="Text Box 1875655654" o:spid="_x0000_s1031" type="#_x0000_t202" style="position:absolute;margin-left:313.05pt;margin-top:10.5pt;width:307.05pt;height:3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" filled="f" stroked="f" strokeweight=".5pt">
              <v:textbox inset="0,0,0,0">
                <w:txbxContent>
                  <w:p w14:paraId="7D35B870" w14:textId="77777777" w:rsidR="00C67C55" w:rsidRPr="00B561F9" w:rsidRDefault="00C67C55" w:rsidP="00C67C55">
                    <w:pPr>
                      <w:spacing w:before="40"/>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v:textbox>
            </v:shape>
          </w:pict>
        </mc:Fallback>
      </mc:AlternateContent>
    </w:r>
    <w:r w:rsidRPr="00027EA1">
      <w:rPr>
        <w:noProof/>
        <w:szCs w:val="20"/>
      </w:rPr>
      <mc:AlternateContent>
        <mc:Choice Requires="wps">
          <w:drawing>
            <wp:anchor distT="0" distB="0" distL="114300" distR="114300" simplePos="0" relativeHeight="251658244" behindDoc="0" locked="0" layoutInCell="1" allowOverlap="1" wp14:anchorId="79C02486" wp14:editId="37511221">
              <wp:simplePos x="0" y="0"/>
              <wp:positionH relativeFrom="column">
                <wp:posOffset>-726694</wp:posOffset>
              </wp:positionH>
              <wp:positionV relativeFrom="paragraph">
                <wp:posOffset>-261747</wp:posOffset>
              </wp:positionV>
              <wp:extent cx="2500630" cy="1134745"/>
              <wp:effectExtent l="0" t="0" r="13970" b="8255"/>
              <wp:wrapNone/>
              <wp:docPr id="1775863274" name="Text Box 1775863274"/>
              <wp:cNvGraphicFramePr/>
              <a:graphic xmlns:a="http://schemas.openxmlformats.org/drawingml/2006/main">
                <a:graphicData uri="http://schemas.microsoft.com/office/word/2010/wordprocessingShape">
                  <wps:wsp>
                    <wps:cNvSpPr txBox="1"/>
                    <wps:spPr>
                      <a:xfrm>
                        <a:off x="0" y="0"/>
                        <a:ext cx="2500630" cy="1134745"/>
                      </a:xfrm>
                      <a:prstGeom prst="rect">
                        <a:avLst/>
                      </a:prstGeom>
                      <a:noFill/>
                      <a:ln w="6350">
                        <a:noFill/>
                      </a:ln>
                    </wps:spPr>
                    <wps:txbx>
                      <w:txbxContent>
                        <w:p w14:paraId="10F18CD0" w14:textId="77777777" w:rsidR="00C67C55" w:rsidRPr="00446F0A" w:rsidRDefault="00C67C55" w:rsidP="00C67C55">
                          <w:pPr>
                            <w:spacing w:before="40"/>
                            <w:rPr>
                              <w:rFonts w:cs="Open Sans"/>
                              <w:color w:val="FFFFFF" w:themeColor="background1"/>
                              <w:sz w:val="16"/>
                              <w:szCs w:val="16"/>
                            </w:rPr>
                          </w:pPr>
                          <w:r>
                            <w:rPr>
                              <w:rFonts w:cs="Open Sans"/>
                              <w:color w:val="FFFFFF" w:themeColor="background1"/>
                              <w:sz w:val="16"/>
                              <w:szCs w:val="16"/>
                            </w:rPr>
                            <w:t>wyut@anu.edu.au</w:t>
                          </w:r>
                          <w:r>
                            <w:rPr>
                              <w:rFonts w:cs="Open Sans"/>
                              <w:color w:val="FFFFFF" w:themeColor="background1"/>
                              <w:sz w:val="16"/>
                              <w:szCs w:val="16"/>
                            </w:rPr>
                            <w:br/>
                          </w:r>
                          <w:r w:rsidRPr="00B561F9">
                            <w:rPr>
                              <w:rFonts w:cs="Open Sans"/>
                              <w:color w:val="FFFFFF" w:themeColor="background1"/>
                              <w:sz w:val="16"/>
                              <w:szCs w:val="16"/>
                            </w:rPr>
                            <w:t>Office of the Vice President, First Nations Portfolio</w:t>
                          </w:r>
                          <w:r>
                            <w:rPr>
                              <w:rFonts w:cs="Open Sans"/>
                              <w:color w:val="FFFFFF" w:themeColor="background1"/>
                              <w:sz w:val="16"/>
                              <w:szCs w:val="16"/>
                            </w:rPr>
                            <w:br/>
                          </w:r>
                          <w:r w:rsidRPr="00B561F9">
                            <w:rPr>
                              <w:rFonts w:cs="Open Sans"/>
                              <w:color w:val="FFFFFF" w:themeColor="background1"/>
                              <w:sz w:val="16"/>
                              <w:szCs w:val="16"/>
                            </w:rPr>
                            <w:t>John Yencken Building #45, Sullivan’s Creek Road</w:t>
                          </w:r>
                          <w:r>
                            <w:rPr>
                              <w:rFonts w:cs="Open Sans"/>
                              <w:color w:val="FFFFFF" w:themeColor="background1"/>
                              <w:sz w:val="16"/>
                              <w:szCs w:val="16"/>
                            </w:rPr>
                            <w:br/>
                          </w:r>
                          <w:r w:rsidRPr="00B561F9">
                            <w:rPr>
                              <w:rFonts w:cs="Open Sans"/>
                              <w:color w:val="FFFFFF" w:themeColor="background1"/>
                              <w:sz w:val="16"/>
                              <w:szCs w:val="16"/>
                            </w:rPr>
                            <w:t>The Australian National University</w:t>
                          </w:r>
                          <w:r>
                            <w:rPr>
                              <w:rFonts w:cs="Open Sans"/>
                              <w:color w:val="FFFFFF" w:themeColor="background1"/>
                              <w:sz w:val="16"/>
                              <w:szCs w:val="16"/>
                            </w:rPr>
                            <w:br/>
                          </w:r>
                          <w:r w:rsidRPr="00B561F9">
                            <w:rPr>
                              <w:rFonts w:cs="Open Sans"/>
                              <w:color w:val="FFFFFF" w:themeColor="background1"/>
                              <w:sz w:val="16"/>
                              <w:szCs w:val="16"/>
                            </w:rPr>
                            <w:t>Canberra ACT 2601</w:t>
                          </w:r>
                        </w:p>
                        <w:p w14:paraId="1DB3BF3D" w14:textId="77777777" w:rsidR="00C67C55" w:rsidRPr="00B561F9" w:rsidRDefault="00C67C55" w:rsidP="00C67C55">
                          <w:pPr>
                            <w:spacing w:before="40"/>
                            <w:rPr>
                              <w:rFonts w:cs="Open Sans"/>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02486" id="Text Box 1775863274" o:spid="_x0000_s1032" type="#_x0000_t202" style="position:absolute;margin-left:-57.2pt;margin-top:-20.6pt;width:196.9pt;height:8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" filled="f" stroked="f" strokeweight=".5pt">
              <v:textbox inset="0,0,0,0">
                <w:txbxContent>
                  <w:p w14:paraId="10F18CD0" w14:textId="77777777" w:rsidR="00C67C55" w:rsidRPr="00446F0A" w:rsidRDefault="00C67C55" w:rsidP="00C67C55">
                    <w:pPr>
                      <w:spacing w:before="40"/>
                      <w:rPr>
                        <w:rFonts w:cs="Open Sans"/>
                        <w:color w:val="FFFFFF" w:themeColor="background1"/>
                        <w:sz w:val="16"/>
                        <w:szCs w:val="16"/>
                      </w:rPr>
                    </w:pPr>
                    <w:r>
                      <w:rPr>
                        <w:rFonts w:cs="Open Sans"/>
                        <w:color w:val="FFFFFF" w:themeColor="background1"/>
                        <w:sz w:val="16"/>
                        <w:szCs w:val="16"/>
                      </w:rPr>
                      <w:t>wyut@anu.edu.au</w:t>
                    </w:r>
                    <w:r>
                      <w:rPr>
                        <w:rFonts w:cs="Open Sans"/>
                        <w:color w:val="FFFFFF" w:themeColor="background1"/>
                        <w:sz w:val="16"/>
                        <w:szCs w:val="16"/>
                      </w:rPr>
                      <w:br/>
                    </w:r>
                    <w:r w:rsidRPr="00B561F9">
                      <w:rPr>
                        <w:rFonts w:cs="Open Sans"/>
                        <w:color w:val="FFFFFF" w:themeColor="background1"/>
                        <w:sz w:val="16"/>
                        <w:szCs w:val="16"/>
                      </w:rPr>
                      <w:t>Office of the Vice President, First Nations Portfolio</w:t>
                    </w:r>
                    <w:r>
                      <w:rPr>
                        <w:rFonts w:cs="Open Sans"/>
                        <w:color w:val="FFFFFF" w:themeColor="background1"/>
                        <w:sz w:val="16"/>
                        <w:szCs w:val="16"/>
                      </w:rPr>
                      <w:br/>
                    </w:r>
                    <w:r w:rsidRPr="00B561F9">
                      <w:rPr>
                        <w:rFonts w:cs="Open Sans"/>
                        <w:color w:val="FFFFFF" w:themeColor="background1"/>
                        <w:sz w:val="16"/>
                        <w:szCs w:val="16"/>
                      </w:rPr>
                      <w:t>John Yencken Building #45, Sullivan’s Creek Road</w:t>
                    </w:r>
                    <w:r>
                      <w:rPr>
                        <w:rFonts w:cs="Open Sans"/>
                        <w:color w:val="FFFFFF" w:themeColor="background1"/>
                        <w:sz w:val="16"/>
                        <w:szCs w:val="16"/>
                      </w:rPr>
                      <w:br/>
                    </w:r>
                    <w:r w:rsidRPr="00B561F9">
                      <w:rPr>
                        <w:rFonts w:cs="Open Sans"/>
                        <w:color w:val="FFFFFF" w:themeColor="background1"/>
                        <w:sz w:val="16"/>
                        <w:szCs w:val="16"/>
                      </w:rPr>
                      <w:t>The Australian National University</w:t>
                    </w:r>
                    <w:r>
                      <w:rPr>
                        <w:rFonts w:cs="Open Sans"/>
                        <w:color w:val="FFFFFF" w:themeColor="background1"/>
                        <w:sz w:val="16"/>
                        <w:szCs w:val="16"/>
                      </w:rPr>
                      <w:br/>
                    </w:r>
                    <w:r w:rsidRPr="00B561F9">
                      <w:rPr>
                        <w:rFonts w:cs="Open Sans"/>
                        <w:color w:val="FFFFFF" w:themeColor="background1"/>
                        <w:sz w:val="16"/>
                        <w:szCs w:val="16"/>
                      </w:rPr>
                      <w:t>Canberra ACT 2601</w:t>
                    </w:r>
                  </w:p>
                  <w:p w14:paraId="1DB3BF3D" w14:textId="77777777" w:rsidR="00C67C55" w:rsidRPr="00B561F9" w:rsidRDefault="00C67C55" w:rsidP="00C67C55">
                    <w:pPr>
                      <w:spacing w:before="40"/>
                      <w:rPr>
                        <w:rFonts w:cs="Open Sans"/>
                        <w:color w:val="FFFFFF" w:themeColor="background1"/>
                      </w:rPr>
                    </w:pPr>
                  </w:p>
                </w:txbxContent>
              </v:textbox>
            </v:shape>
          </w:pict>
        </mc:Fallback>
      </mc:AlternateContent>
    </w:r>
    <w:r w:rsidRPr="00027EA1">
      <w:rPr>
        <w:noProof/>
        <w:szCs w:val="20"/>
      </w:rPr>
      <mc:AlternateContent>
        <mc:Choice Requires="wps">
          <w:drawing>
            <wp:anchor distT="0" distB="0" distL="114300" distR="114300" simplePos="0" relativeHeight="251658242" behindDoc="0" locked="0" layoutInCell="1" allowOverlap="1" wp14:anchorId="24287FB9" wp14:editId="46EDB277">
              <wp:simplePos x="0" y="0"/>
              <wp:positionH relativeFrom="margin">
                <wp:align>center</wp:align>
              </wp:positionH>
              <wp:positionV relativeFrom="paragraph">
                <wp:posOffset>-627507</wp:posOffset>
              </wp:positionV>
              <wp:extent cx="6359525" cy="602615"/>
              <wp:effectExtent l="0" t="0" r="3175" b="6985"/>
              <wp:wrapNone/>
              <wp:docPr id="1429021096" name="Text Box 1429021096"/>
              <wp:cNvGraphicFramePr/>
              <a:graphic xmlns:a="http://schemas.openxmlformats.org/drawingml/2006/main">
                <a:graphicData uri="http://schemas.microsoft.com/office/word/2010/wordprocessingShape">
                  <wps:wsp>
                    <wps:cNvSpPr txBox="1"/>
                    <wps:spPr>
                      <a:xfrm>
                        <a:off x="0" y="0"/>
                        <a:ext cx="6359525" cy="602615"/>
                      </a:xfrm>
                      <a:prstGeom prst="rect">
                        <a:avLst/>
                      </a:prstGeom>
                      <a:noFill/>
                      <a:ln w="6350">
                        <a:noFill/>
                      </a:ln>
                    </wps:spPr>
                    <wps:txbx>
                      <w:txbxContent>
                        <w:p w14:paraId="6233D99C" w14:textId="77777777" w:rsidR="00C67C55" w:rsidRPr="0054721B" w:rsidRDefault="00C67C55" w:rsidP="00C67C55">
                          <w:pPr>
                            <w:spacing w:before="40"/>
                            <w:jc w:val="center"/>
                            <w:rPr>
                              <w:rFonts w:cs="Open Sans"/>
                              <w:color w:val="FFFFFF" w:themeColor="background1"/>
                              <w:sz w:val="24"/>
                              <w:szCs w:val="32"/>
                            </w:rPr>
                          </w:pPr>
                          <w:r w:rsidRPr="0054721B">
                            <w:rPr>
                              <w:rFonts w:cs="Open Sans"/>
                              <w:color w:val="FFFFFF" w:themeColor="background1"/>
                              <w:sz w:val="18"/>
                              <w:szCs w:val="18"/>
                            </w:rPr>
                            <w:t>We acknowledge and pay respects to all First Nations peoples, lands, waters, and skies across the continent, as Institute staff work remotely from city, coast and bush.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7FB9" id="Text Box 1429021096" o:spid="_x0000_s1033" type="#_x0000_t202" style="position:absolute;margin-left:0;margin-top:-49.4pt;width:500.75pt;height:47.4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" filled="f" stroked="f" strokeweight=".5pt">
              <v:textbox inset="0,0,0,0">
                <w:txbxContent>
                  <w:p w14:paraId="6233D99C" w14:textId="77777777" w:rsidR="00C67C55" w:rsidRPr="0054721B" w:rsidRDefault="00C67C55" w:rsidP="00C67C55">
                    <w:pPr>
                      <w:spacing w:before="40"/>
                      <w:jc w:val="center"/>
                      <w:rPr>
                        <w:rFonts w:cs="Open Sans"/>
                        <w:color w:val="FFFFFF" w:themeColor="background1"/>
                        <w:sz w:val="24"/>
                        <w:szCs w:val="32"/>
                      </w:rPr>
                    </w:pPr>
                    <w:r w:rsidRPr="0054721B">
                      <w:rPr>
                        <w:rFonts w:cs="Open Sans"/>
                        <w:color w:val="FFFFFF" w:themeColor="background1"/>
                        <w:sz w:val="18"/>
                        <w:szCs w:val="18"/>
                      </w:rPr>
                      <w:t>We acknowledge and pay respects to all First Nations peoples, lands, waters, and skies across the continent, as Institute staff work remotely from city, coast and bush.</w:t>
                    </w:r>
                  </w:p>
                </w:txbxContent>
              </v:textbox>
              <w10:wrap anchorx="margin"/>
            </v:shape>
          </w:pict>
        </mc:Fallback>
      </mc:AlternateContent>
    </w:r>
    <w:r>
      <w:rPr>
        <w:noProof/>
        <w:szCs w:val="20"/>
      </w:rPr>
      <mc:AlternateContent>
        <mc:Choice Requires="wps">
          <w:drawing>
            <wp:anchor distT="0" distB="0" distL="114300" distR="114300" simplePos="0" relativeHeight="251658240" behindDoc="1" locked="0" layoutInCell="1" allowOverlap="1" wp14:anchorId="774CC736" wp14:editId="4797B736">
              <wp:simplePos x="0" y="0"/>
              <wp:positionH relativeFrom="column">
                <wp:posOffset>1838325</wp:posOffset>
              </wp:positionH>
              <wp:positionV relativeFrom="paragraph">
                <wp:posOffset>-622300</wp:posOffset>
              </wp:positionV>
              <wp:extent cx="2138045" cy="1341755"/>
              <wp:effectExtent l="0" t="0" r="0" b="0"/>
              <wp:wrapTight wrapText="bothSides">
                <wp:wrapPolygon edited="0">
                  <wp:start x="577" y="0"/>
                  <wp:lineTo x="577" y="21160"/>
                  <wp:lineTo x="20978" y="21160"/>
                  <wp:lineTo x="20978" y="0"/>
                  <wp:lineTo x="577" y="0"/>
                </wp:wrapPolygon>
              </wp:wrapTight>
              <wp:docPr id="1884192208" name="Rectangle 4"/>
              <wp:cNvGraphicFramePr/>
              <a:graphic xmlns:a="http://schemas.openxmlformats.org/drawingml/2006/main">
                <a:graphicData uri="http://schemas.microsoft.com/office/word/2010/wordprocessingShape">
                  <wps:wsp>
                    <wps:cNvSpPr/>
                    <wps:spPr>
                      <a:xfrm>
                        <a:off x="0" y="0"/>
                        <a:ext cx="2138045" cy="1341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DAA94" id="Rectangle 4" o:spid="_x0000_s1026" style="position:absolute;margin-left:144.75pt;margin-top:-49pt;width:168.35pt;height:10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" filled="f" stroked="f" strokeweight="1pt">
              <w10:wrap type="tight"/>
            </v:rect>
          </w:pict>
        </mc:Fallback>
      </mc:AlternateContent>
    </w:r>
    <w:r>
      <w:rPr>
        <w:noProof/>
        <w:szCs w:val="20"/>
      </w:rPr>
      <w:drawing>
        <wp:anchor distT="0" distB="0" distL="114300" distR="114300" simplePos="0" relativeHeight="251658241" behindDoc="1" locked="0" layoutInCell="1" allowOverlap="1" wp14:anchorId="6550912C" wp14:editId="7E52BFDF">
          <wp:simplePos x="0" y="0"/>
          <wp:positionH relativeFrom="column">
            <wp:posOffset>-950976</wp:posOffset>
          </wp:positionH>
          <wp:positionV relativeFrom="paragraph">
            <wp:posOffset>-802767</wp:posOffset>
          </wp:positionV>
          <wp:extent cx="7731125" cy="2042160"/>
          <wp:effectExtent l="0" t="0" r="3175" b="0"/>
          <wp:wrapNone/>
          <wp:docPr id="2125819801" name="Picture 3" descr="A purpl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94912" name="Picture 3" descr="A purple background with black line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31125" cy="2042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52CD8" w14:textId="77777777" w:rsidR="00A81190" w:rsidRDefault="00A81190" w:rsidP="00446F0A">
      <w:r>
        <w:separator/>
      </w:r>
    </w:p>
  </w:footnote>
  <w:footnote w:type="continuationSeparator" w:id="0">
    <w:p w14:paraId="74D1208B" w14:textId="77777777" w:rsidR="00A81190" w:rsidRDefault="00A81190" w:rsidP="00446F0A">
      <w:r>
        <w:continuationSeparator/>
      </w:r>
    </w:p>
  </w:footnote>
  <w:footnote w:type="continuationNotice" w:id="1">
    <w:p w14:paraId="77461995" w14:textId="77777777" w:rsidR="00A81190" w:rsidRDefault="00A81190"/>
  </w:footnote>
  <w:footnote w:id="2">
    <w:p w14:paraId="4F0389E2" w14:textId="77777777" w:rsidR="00C561BB" w:rsidRPr="006E7896" w:rsidRDefault="00C561BB" w:rsidP="00C561BB">
      <w:pPr>
        <w:pStyle w:val="FootnoteText"/>
        <w:rPr>
          <w:rFonts w:ascii="Open Sans" w:hAnsi="Open Sans" w:cs="Open Sans"/>
        </w:rPr>
      </w:pPr>
      <w:r w:rsidRPr="006E7896">
        <w:rPr>
          <w:rStyle w:val="FootnoteReference"/>
          <w:rFonts w:ascii="Open Sans" w:hAnsi="Open Sans" w:cs="Open Sans"/>
        </w:rPr>
        <w:footnoteRef/>
      </w:r>
      <w:r w:rsidRPr="006E7896">
        <w:rPr>
          <w:rFonts w:ascii="Open Sans" w:hAnsi="Open Sans" w:cs="Open Sans"/>
        </w:rPr>
        <w:t xml:space="preserve"> Provided in Appendix</w:t>
      </w:r>
    </w:p>
  </w:footnote>
  <w:footnote w:id="3">
    <w:p w14:paraId="55CD7526" w14:textId="77777777" w:rsidR="00C561BB" w:rsidRDefault="00C561BB" w:rsidP="00C561BB">
      <w:pPr>
        <w:spacing w:before="0"/>
      </w:pPr>
      <w:r w:rsidRPr="006E7896">
        <w:rPr>
          <w:rStyle w:val="FootnoteReference"/>
          <w:rFonts w:cs="Open Sans"/>
          <w:sz w:val="20"/>
          <w:szCs w:val="20"/>
        </w:rPr>
        <w:footnoteRef/>
      </w:r>
      <w:r w:rsidRPr="006E7896">
        <w:rPr>
          <w:rFonts w:cs="Open Sans"/>
          <w:sz w:val="20"/>
          <w:szCs w:val="20"/>
        </w:rPr>
        <w:t xml:space="preserve"> The  ACT case study is reported in  Chapter three of the Caring about Care Research Report.</w:t>
      </w:r>
    </w:p>
  </w:footnote>
  <w:footnote w:id="4">
    <w:p w14:paraId="4928065D" w14:textId="77777777" w:rsidR="008C7AC8" w:rsidRPr="006E7896" w:rsidRDefault="008C7AC8" w:rsidP="008C7AC8">
      <w:pPr>
        <w:pStyle w:val="FootnoteText"/>
        <w:rPr>
          <w:rFonts w:ascii="Open Sans" w:hAnsi="Open Sans" w:cs="Open Sans"/>
        </w:rPr>
      </w:pPr>
      <w:r w:rsidRPr="006E7896">
        <w:rPr>
          <w:rStyle w:val="FootnoteReference"/>
          <w:rFonts w:ascii="Open Sans" w:hAnsi="Open Sans" w:cs="Open Sans"/>
        </w:rPr>
        <w:footnoteRef/>
      </w:r>
      <w:r w:rsidRPr="006E7896">
        <w:rPr>
          <w:rFonts w:ascii="Open Sans" w:hAnsi="Open Sans" w:cs="Open Sans"/>
        </w:rPr>
        <w:t xml:space="preserve"> The ANU Research further elaborates on these harms as an outcome of settler colonialism: Elise Klein et al., </w:t>
      </w:r>
      <w:r w:rsidRPr="006E7896">
        <w:rPr>
          <w:rFonts w:ascii="Open Sans" w:hAnsi="Open Sans" w:cs="Open Sans"/>
          <w:i/>
          <w:iCs/>
        </w:rPr>
        <w:t xml:space="preserve">Caring about Care </w:t>
      </w:r>
      <w:r w:rsidRPr="006E7896">
        <w:rPr>
          <w:rFonts w:ascii="Open Sans" w:hAnsi="Open Sans" w:cs="Open Sans"/>
        </w:rPr>
        <w:t>(Report, 2024) 19.</w:t>
      </w:r>
    </w:p>
  </w:footnote>
  <w:footnote w:id="5">
    <w:p w14:paraId="1F88F587" w14:textId="77777777" w:rsidR="008C7AC8" w:rsidRPr="006E7896" w:rsidRDefault="008C7AC8" w:rsidP="008C7AC8">
      <w:pPr>
        <w:pStyle w:val="FootnoteText"/>
        <w:rPr>
          <w:rFonts w:ascii="Open Sans" w:hAnsi="Open Sans" w:cs="Open Sans"/>
        </w:rPr>
      </w:pPr>
      <w:r w:rsidRPr="006E7896">
        <w:rPr>
          <w:rStyle w:val="FootnoteReference"/>
          <w:rFonts w:ascii="Open Sans" w:hAnsi="Open Sans" w:cs="Open Sans"/>
        </w:rPr>
        <w:footnoteRef/>
      </w:r>
      <w:r w:rsidRPr="006E7896">
        <w:rPr>
          <w:rFonts w:ascii="Open Sans" w:hAnsi="Open Sans" w:cs="Open Sans"/>
        </w:rPr>
        <w:t xml:space="preserve"> Australian Human Rights Commission, </w:t>
      </w:r>
      <w:r w:rsidRPr="006E7896">
        <w:rPr>
          <w:rFonts w:ascii="Open Sans" w:hAnsi="Open Sans" w:cs="Open Sans"/>
          <w:i/>
          <w:iCs/>
        </w:rPr>
        <w:t xml:space="preserve">Wiyi Yani U Thangani: Securing our Rights, Securing our Future </w:t>
      </w:r>
      <w:r w:rsidRPr="006E7896">
        <w:rPr>
          <w:rFonts w:ascii="Open Sans" w:hAnsi="Open Sans" w:cs="Open Sans"/>
        </w:rPr>
        <w:t>(Report, 2020) 68.</w:t>
      </w:r>
    </w:p>
  </w:footnote>
  <w:footnote w:id="6">
    <w:p w14:paraId="64400A6B" w14:textId="77777777" w:rsidR="008C7AC8" w:rsidRPr="00D66957" w:rsidRDefault="008C7AC8" w:rsidP="008C7AC8">
      <w:pPr>
        <w:pStyle w:val="FootnoteText"/>
        <w:rPr>
          <w:rFonts w:ascii="Open Sans" w:hAnsi="Open Sans" w:cs="Open Sans"/>
        </w:rPr>
      </w:pPr>
      <w:r w:rsidRPr="00D66957">
        <w:rPr>
          <w:rStyle w:val="FootnoteReference"/>
          <w:rFonts w:ascii="Open Sans" w:hAnsi="Open Sans" w:cs="Open Sans"/>
        </w:rPr>
        <w:footnoteRef/>
      </w:r>
      <w:r w:rsidRPr="00D66957">
        <w:rPr>
          <w:rFonts w:ascii="Open Sans" w:hAnsi="Open Sans" w:cs="Open Sans"/>
        </w:rPr>
        <w:t xml:space="preserve"> Workplace Gender Equality Agency, </w:t>
      </w:r>
      <w:r w:rsidRPr="00D66957">
        <w:rPr>
          <w:rFonts w:ascii="Open Sans" w:hAnsi="Open Sans" w:cs="Open Sans"/>
          <w:i/>
          <w:iCs/>
        </w:rPr>
        <w:t xml:space="preserve">Unpaid care work and the labour market </w:t>
      </w:r>
      <w:r w:rsidRPr="00D66957">
        <w:rPr>
          <w:rFonts w:ascii="Open Sans" w:hAnsi="Open Sans" w:cs="Open Sans"/>
        </w:rPr>
        <w:t>(Report, nd) &lt;</w:t>
      </w:r>
      <w:hyperlink r:id="rId1" w:history="1">
        <w:r w:rsidRPr="00D66957">
          <w:rPr>
            <w:rStyle w:val="Hyperlink"/>
            <w:rFonts w:ascii="Open Sans" w:hAnsi="Open Sans" w:cs="Open Sans"/>
          </w:rPr>
          <w:t>https://www.wgea.gov.au/sites/default/files/documents/australian-unpaid-care-work-and-the-labour-market.pdf</w:t>
        </w:r>
      </w:hyperlink>
      <w:r w:rsidRPr="00D66957">
        <w:rPr>
          <w:rFonts w:ascii="Open Sans" w:hAnsi="Open Sans" w:cs="Open Sans"/>
        </w:rPr>
        <w:t xml:space="preserve">&gt;. </w:t>
      </w:r>
    </w:p>
  </w:footnote>
  <w:footnote w:id="7">
    <w:p w14:paraId="07DC8490" w14:textId="77777777" w:rsidR="008C7AC8" w:rsidRPr="00D66957" w:rsidRDefault="008C7AC8" w:rsidP="008C7AC8">
      <w:pPr>
        <w:pStyle w:val="FootnoteText"/>
        <w:rPr>
          <w:rFonts w:ascii="Open Sans" w:hAnsi="Open Sans" w:cs="Open Sans"/>
        </w:rPr>
      </w:pPr>
      <w:r w:rsidRPr="00D66957">
        <w:rPr>
          <w:rStyle w:val="FootnoteReference"/>
          <w:rFonts w:ascii="Open Sans" w:hAnsi="Open Sans" w:cs="Open Sans"/>
        </w:rPr>
        <w:footnoteRef/>
      </w:r>
      <w:r w:rsidRPr="00D66957">
        <w:rPr>
          <w:rFonts w:ascii="Open Sans" w:hAnsi="Open Sans" w:cs="Open Sans"/>
        </w:rPr>
        <w:t xml:space="preserve"> Elise Klein, ‘Unpaid care, welfare conditionality and expropriation’ (2021) 28(2) </w:t>
      </w:r>
      <w:r w:rsidRPr="00D66957">
        <w:rPr>
          <w:rFonts w:ascii="Open Sans" w:hAnsi="Open Sans" w:cs="Open Sans"/>
          <w:i/>
          <w:iCs/>
        </w:rPr>
        <w:t xml:space="preserve">Gender, Work &amp; Organisation </w:t>
      </w:r>
      <w:r w:rsidRPr="00D66957">
        <w:rPr>
          <w:rFonts w:ascii="Open Sans" w:hAnsi="Open Sans" w:cs="Open Sans"/>
        </w:rPr>
        <w:t>1475.</w:t>
      </w:r>
    </w:p>
  </w:footnote>
  <w:footnote w:id="8">
    <w:p w14:paraId="31D64C0D" w14:textId="77777777" w:rsidR="008C7AC8" w:rsidRPr="00D90F96" w:rsidRDefault="008C7AC8" w:rsidP="008C7AC8">
      <w:pPr>
        <w:pStyle w:val="FootnoteText"/>
      </w:pPr>
      <w:r w:rsidRPr="00D66957">
        <w:rPr>
          <w:rStyle w:val="FootnoteReference"/>
          <w:rFonts w:ascii="Open Sans" w:hAnsi="Open Sans" w:cs="Open Sans"/>
        </w:rPr>
        <w:footnoteRef/>
      </w:r>
      <w:r w:rsidRPr="00D66957">
        <w:rPr>
          <w:rFonts w:ascii="Open Sans" w:hAnsi="Open Sans" w:cs="Open Sans"/>
        </w:rPr>
        <w:t xml:space="preserve"> Productivity Commission, </w:t>
      </w:r>
      <w:r w:rsidRPr="00D66957">
        <w:rPr>
          <w:rFonts w:ascii="Open Sans" w:hAnsi="Open Sans" w:cs="Open Sans"/>
          <w:i/>
          <w:iCs/>
        </w:rPr>
        <w:t xml:space="preserve">Review of the National Agreement on Closing the Gap </w:t>
      </w:r>
      <w:r w:rsidRPr="00D66957">
        <w:rPr>
          <w:rFonts w:ascii="Open Sans" w:hAnsi="Open Sans" w:cs="Open Sans"/>
        </w:rPr>
        <w:t>(Volume 1, Study Report 2024).</w:t>
      </w:r>
    </w:p>
  </w:footnote>
  <w:footnote w:id="9">
    <w:p w14:paraId="053049FF" w14:textId="77777777" w:rsidR="008C7AC8" w:rsidRPr="00D66957" w:rsidRDefault="008C7AC8" w:rsidP="008C7AC8">
      <w:pPr>
        <w:pStyle w:val="FootnoteText"/>
        <w:rPr>
          <w:rFonts w:ascii="Open Sans" w:hAnsi="Open Sans" w:cs="Open Sans"/>
        </w:rPr>
      </w:pPr>
      <w:r w:rsidRPr="00D66957">
        <w:rPr>
          <w:rStyle w:val="FootnoteReference"/>
          <w:rFonts w:ascii="Open Sans" w:hAnsi="Open Sans" w:cs="Open Sans"/>
        </w:rPr>
        <w:footnoteRef/>
      </w:r>
      <w:r w:rsidRPr="00D66957">
        <w:rPr>
          <w:rFonts w:ascii="Open Sans" w:hAnsi="Open Sans" w:cs="Open Sans"/>
        </w:rPr>
        <w:t xml:space="preserve"> ‘Necessary activities’ such as sleeping, eating, personal care, health, and hygiene; ‘Contracted activities’ like paid work and study; ‘Committed activities’ like domestic work, childcare, adult care, and voluntary work; and ‘Free-time activities’ such as social interactions, going out, and watching television.</w:t>
      </w:r>
    </w:p>
  </w:footnote>
  <w:footnote w:id="10">
    <w:p w14:paraId="289362C0" w14:textId="77777777" w:rsidR="008C7AC8" w:rsidRPr="00D66957" w:rsidRDefault="008C7AC8" w:rsidP="008C7AC8">
      <w:pPr>
        <w:pStyle w:val="FootnoteText"/>
        <w:rPr>
          <w:rFonts w:ascii="Open Sans" w:hAnsi="Open Sans" w:cs="Open Sans"/>
        </w:rPr>
      </w:pPr>
      <w:r w:rsidRPr="00D66957">
        <w:rPr>
          <w:rStyle w:val="FootnoteReference"/>
          <w:rFonts w:ascii="Open Sans" w:hAnsi="Open Sans" w:cs="Open Sans"/>
        </w:rPr>
        <w:footnoteRef/>
      </w:r>
      <w:r w:rsidRPr="00D66957">
        <w:rPr>
          <w:rFonts w:ascii="Open Sans" w:hAnsi="Open Sans" w:cs="Open Sans"/>
        </w:rPr>
        <w:t xml:space="preserve"> Elise Klein, ‘Unpaid care, welfare conditionality and expropriation’ (2021) 28(2) </w:t>
      </w:r>
      <w:r w:rsidRPr="00D66957">
        <w:rPr>
          <w:rFonts w:ascii="Open Sans" w:hAnsi="Open Sans" w:cs="Open Sans"/>
          <w:i/>
          <w:iCs/>
        </w:rPr>
        <w:t xml:space="preserve">Gender, Work &amp; Organisation </w:t>
      </w:r>
      <w:r w:rsidRPr="00D66957">
        <w:rPr>
          <w:rFonts w:ascii="Open Sans" w:hAnsi="Open Sans" w:cs="Open Sans"/>
        </w:rPr>
        <w:t>1475, 1476.</w:t>
      </w:r>
    </w:p>
  </w:footnote>
  <w:footnote w:id="11">
    <w:p w14:paraId="3940328C" w14:textId="77777777" w:rsidR="008C7AC8" w:rsidRPr="006363D0" w:rsidRDefault="008C7AC8" w:rsidP="008C7AC8">
      <w:pPr>
        <w:pStyle w:val="FootnoteText"/>
        <w:rPr>
          <w:rFonts w:ascii="Open Sans" w:hAnsi="Open Sans" w:cs="Open Sans"/>
        </w:rPr>
      </w:pPr>
      <w:r w:rsidRPr="006363D0">
        <w:rPr>
          <w:rStyle w:val="FootnoteReference"/>
          <w:rFonts w:ascii="Open Sans" w:hAnsi="Open Sans" w:cs="Open Sans"/>
        </w:rPr>
        <w:footnoteRef/>
      </w:r>
      <w:r w:rsidRPr="006363D0">
        <w:rPr>
          <w:rFonts w:ascii="Open Sans" w:hAnsi="Open Sans" w:cs="Open Sans"/>
        </w:rPr>
        <w:t xml:space="preserve"> The Danish Institute for Human Rights, </w:t>
      </w:r>
      <w:r w:rsidRPr="006363D0">
        <w:rPr>
          <w:rFonts w:ascii="Open Sans" w:hAnsi="Open Sans" w:cs="Open Sans"/>
          <w:i/>
          <w:iCs/>
        </w:rPr>
        <w:t xml:space="preserve">Human Rights and Economic Growth </w:t>
      </w:r>
      <w:r w:rsidRPr="006363D0">
        <w:rPr>
          <w:rFonts w:ascii="Open Sans" w:hAnsi="Open Sans" w:cs="Open Sans"/>
        </w:rPr>
        <w:t>(Report, 7 March 2017) &lt;</w:t>
      </w:r>
      <w:hyperlink r:id="rId2" w:history="1">
        <w:r w:rsidRPr="006363D0">
          <w:rPr>
            <w:rStyle w:val="Hyperlink"/>
            <w:rFonts w:ascii="Open Sans" w:hAnsi="Open Sans" w:cs="Open Sans"/>
          </w:rPr>
          <w:t>https://www.humanrights.dk/publications/human-rights-economic-growth</w:t>
        </w:r>
      </w:hyperlink>
      <w:r w:rsidRPr="006363D0">
        <w:rPr>
          <w:rFonts w:ascii="Open Sans" w:hAnsi="Open Sans" w:cs="Open Sans"/>
        </w:rPr>
        <w:t xml:space="preserve">&gt;; Basah Baglayan et al., </w:t>
      </w:r>
      <w:r w:rsidRPr="006363D0">
        <w:rPr>
          <w:rFonts w:ascii="Open Sans" w:hAnsi="Open Sans" w:cs="Open Sans"/>
          <w:i/>
          <w:iCs/>
        </w:rPr>
        <w:t xml:space="preserve">Good Business: The Economic case for protecting human rights </w:t>
      </w:r>
      <w:r w:rsidRPr="006363D0">
        <w:rPr>
          <w:rFonts w:ascii="Open Sans" w:hAnsi="Open Sans" w:cs="Open Sans"/>
        </w:rPr>
        <w:t>(Report, December 2018).</w:t>
      </w:r>
    </w:p>
  </w:footnote>
  <w:footnote w:id="12">
    <w:p w14:paraId="6EDFF3AE" w14:textId="77777777" w:rsidR="008C7AC8" w:rsidRPr="006363D0" w:rsidRDefault="008C7AC8" w:rsidP="008C7AC8">
      <w:pPr>
        <w:pStyle w:val="FootnoteText"/>
        <w:rPr>
          <w:rFonts w:ascii="Open Sans" w:hAnsi="Open Sans" w:cs="Open Sans"/>
        </w:rPr>
      </w:pPr>
      <w:r w:rsidRPr="006363D0">
        <w:rPr>
          <w:rStyle w:val="FootnoteReference"/>
          <w:rFonts w:ascii="Open Sans" w:hAnsi="Open Sans" w:cs="Open Sans"/>
        </w:rPr>
        <w:footnoteRef/>
      </w:r>
      <w:r w:rsidRPr="006363D0">
        <w:rPr>
          <w:rFonts w:ascii="Open Sans" w:hAnsi="Open Sans" w:cs="Open Sans"/>
        </w:rPr>
        <w:t xml:space="preserve"> ACT Government, </w:t>
      </w:r>
      <w:r w:rsidRPr="006363D0">
        <w:rPr>
          <w:rFonts w:ascii="Open Sans" w:hAnsi="Open Sans" w:cs="Open Sans"/>
          <w:i/>
          <w:iCs/>
        </w:rPr>
        <w:t>Wellbeing Framework</w:t>
      </w:r>
      <w:r w:rsidRPr="006363D0">
        <w:rPr>
          <w:rFonts w:ascii="Open Sans" w:hAnsi="Open Sans" w:cs="Open Sans"/>
        </w:rPr>
        <w:t xml:space="preserve"> (Report, 2020)</w:t>
      </w:r>
    </w:p>
  </w:footnote>
  <w:footnote w:id="13">
    <w:p w14:paraId="20945DB6" w14:textId="77777777" w:rsidR="008C7AC8" w:rsidRDefault="008C7AC8" w:rsidP="008C7AC8">
      <w:pPr>
        <w:pStyle w:val="FootnoteText"/>
      </w:pPr>
      <w:r w:rsidRPr="006363D0">
        <w:rPr>
          <w:rStyle w:val="FootnoteReference"/>
          <w:rFonts w:ascii="Open Sans" w:hAnsi="Open Sans" w:cs="Open Sans"/>
        </w:rPr>
        <w:footnoteRef/>
      </w:r>
      <w:r w:rsidRPr="006363D0">
        <w:rPr>
          <w:rFonts w:ascii="Open Sans" w:hAnsi="Open Sans" w:cs="Open Sans"/>
        </w:rPr>
        <w:t xml:space="preserve"> Finding provided from interviews with 20 Aboriginal and Torres Strait Islander women living in the ACT</w:t>
      </w:r>
    </w:p>
  </w:footnote>
  <w:footnote w:id="14">
    <w:p w14:paraId="76DBE090" w14:textId="77777777" w:rsidR="008C7AC8" w:rsidRPr="006363D0" w:rsidRDefault="008C7AC8" w:rsidP="008C7AC8">
      <w:pPr>
        <w:pStyle w:val="FootnoteText"/>
        <w:rPr>
          <w:rFonts w:ascii="Open Sans" w:hAnsi="Open Sans" w:cs="Open Sans"/>
        </w:rPr>
      </w:pPr>
      <w:r w:rsidRPr="006363D0">
        <w:rPr>
          <w:rStyle w:val="FootnoteReference"/>
          <w:rFonts w:ascii="Open Sans" w:hAnsi="Open Sans" w:cs="Open Sans"/>
        </w:rPr>
        <w:footnoteRef/>
      </w:r>
      <w:r w:rsidRPr="006363D0">
        <w:rPr>
          <w:rFonts w:ascii="Open Sans" w:hAnsi="Open Sans" w:cs="Open Sans"/>
        </w:rPr>
        <w:t xml:space="preserve"> ACT Government, </w:t>
      </w:r>
      <w:r w:rsidRPr="006363D0">
        <w:rPr>
          <w:rFonts w:ascii="Open Sans" w:hAnsi="Open Sans" w:cs="Open Sans"/>
          <w:i/>
          <w:iCs/>
        </w:rPr>
        <w:t xml:space="preserve">Wellbeing Framework </w:t>
      </w:r>
      <w:r w:rsidRPr="006363D0">
        <w:rPr>
          <w:rFonts w:ascii="Open Sans" w:hAnsi="Open Sans" w:cs="Open Sans"/>
        </w:rPr>
        <w:t>(Report, 2020) 27.</w:t>
      </w:r>
    </w:p>
  </w:footnote>
  <w:footnote w:id="15">
    <w:p w14:paraId="6C42DF28" w14:textId="77777777" w:rsidR="008C7AC8" w:rsidRPr="006363D0" w:rsidRDefault="008C7AC8" w:rsidP="008C7AC8">
      <w:pPr>
        <w:pStyle w:val="FootnoteText"/>
        <w:rPr>
          <w:rFonts w:ascii="Open Sans" w:hAnsi="Open Sans" w:cs="Open Sans"/>
        </w:rPr>
      </w:pPr>
      <w:r w:rsidRPr="006363D0">
        <w:rPr>
          <w:rStyle w:val="FootnoteReference"/>
          <w:rFonts w:ascii="Open Sans" w:hAnsi="Open Sans" w:cs="Open Sans"/>
        </w:rPr>
        <w:footnoteRef/>
      </w:r>
      <w:r w:rsidRPr="006363D0">
        <w:rPr>
          <w:rFonts w:ascii="Open Sans" w:hAnsi="Open Sans" w:cs="Open Sans"/>
        </w:rPr>
        <w:t xml:space="preserve"> ACT Government, </w:t>
      </w:r>
      <w:r w:rsidRPr="006363D0">
        <w:rPr>
          <w:rFonts w:ascii="Open Sans" w:hAnsi="Open Sans" w:cs="Open Sans"/>
          <w:i/>
          <w:iCs/>
        </w:rPr>
        <w:t>Our Booris: Our Way</w:t>
      </w:r>
      <w:r w:rsidRPr="006363D0">
        <w:rPr>
          <w:rFonts w:ascii="Open Sans" w:hAnsi="Open Sans" w:cs="Open Sans"/>
        </w:rPr>
        <w:t xml:space="preserve"> (Final Report, December 2019) &lt;</w:t>
      </w:r>
      <w:hyperlink r:id="rId3" w:history="1">
        <w:r w:rsidRPr="006363D0">
          <w:rPr>
            <w:rStyle w:val="Hyperlink"/>
            <w:rFonts w:ascii="Open Sans" w:hAnsi="Open Sans" w:cs="Open Sans"/>
          </w:rPr>
          <w:t>https://www.parliament.act.gov.au/__data/assets/pdf_file/0003/1483365/List_Our-Booris,-Our-Way-Final-Report.pdf</w:t>
        </w:r>
      </w:hyperlink>
      <w:r w:rsidRPr="006363D0">
        <w:rPr>
          <w:rFonts w:ascii="Open Sans" w:hAnsi="Open Sans" w:cs="Open Sans"/>
        </w:rPr>
        <w:t xml:space="preserve">&gt;. </w:t>
      </w:r>
    </w:p>
  </w:footnote>
  <w:footnote w:id="16">
    <w:p w14:paraId="5C7802A2" w14:textId="77777777" w:rsidR="008C7AC8" w:rsidRPr="006363D0" w:rsidRDefault="008C7AC8" w:rsidP="008C7AC8">
      <w:pPr>
        <w:pStyle w:val="FootnoteText"/>
        <w:rPr>
          <w:rFonts w:ascii="Open Sans" w:hAnsi="Open Sans" w:cs="Open Sans"/>
        </w:rPr>
      </w:pPr>
      <w:r w:rsidRPr="006363D0">
        <w:rPr>
          <w:rStyle w:val="FootnoteReference"/>
          <w:rFonts w:ascii="Open Sans" w:hAnsi="Open Sans" w:cs="Open Sans"/>
        </w:rPr>
        <w:footnoteRef/>
      </w:r>
      <w:r w:rsidRPr="006363D0">
        <w:rPr>
          <w:rFonts w:ascii="Open Sans" w:hAnsi="Open Sans" w:cs="Open Sans"/>
        </w:rPr>
        <w:t xml:space="preserve"> This recommendations is also broadly consistent with the recommendations of the </w:t>
      </w:r>
      <w:r w:rsidRPr="006363D0">
        <w:rPr>
          <w:rFonts w:ascii="Open Sans" w:hAnsi="Open Sans" w:cs="Open Sans"/>
          <w:i/>
          <w:iCs/>
        </w:rPr>
        <w:t xml:space="preserve">Our Booris, Our Way </w:t>
      </w:r>
      <w:r w:rsidRPr="006363D0">
        <w:rPr>
          <w:rFonts w:ascii="Open Sans" w:hAnsi="Open Sans" w:cs="Open Sans"/>
        </w:rPr>
        <w:t xml:space="preserve">report which remains largely unimplemented. See: ACT Government, </w:t>
      </w:r>
      <w:r w:rsidRPr="006363D0">
        <w:rPr>
          <w:rFonts w:ascii="Open Sans" w:hAnsi="Open Sans" w:cs="Open Sans"/>
          <w:i/>
          <w:iCs/>
        </w:rPr>
        <w:t>Our Booris: Our Way</w:t>
      </w:r>
      <w:r w:rsidRPr="006363D0">
        <w:rPr>
          <w:rFonts w:ascii="Open Sans" w:hAnsi="Open Sans" w:cs="Open Sans"/>
        </w:rPr>
        <w:t xml:space="preserve"> (Final Report, December 2019) &lt;</w:t>
      </w:r>
      <w:hyperlink r:id="rId4" w:history="1">
        <w:r w:rsidRPr="006363D0">
          <w:rPr>
            <w:rStyle w:val="Hyperlink"/>
            <w:rFonts w:ascii="Open Sans" w:hAnsi="Open Sans" w:cs="Open Sans"/>
          </w:rPr>
          <w:t>https://www.parliament.act.gov.au/__data/assets/pdf_file/0003/1483365/List_Our-Booris,-Our-Way-Final-Report.pdf</w:t>
        </w:r>
      </w:hyperlink>
      <w:r w:rsidRPr="006363D0">
        <w:rPr>
          <w:rFonts w:ascii="Open Sans" w:hAnsi="Open Sans" w:cs="Open Sans"/>
        </w:rPr>
        <w:t>&gt;.</w:t>
      </w:r>
    </w:p>
  </w:footnote>
  <w:footnote w:id="17">
    <w:p w14:paraId="0309D97F" w14:textId="77777777" w:rsidR="008C7AC8" w:rsidRPr="006363D0" w:rsidRDefault="008C7AC8" w:rsidP="008C7AC8">
      <w:pPr>
        <w:pStyle w:val="FootnoteText"/>
        <w:rPr>
          <w:rFonts w:ascii="Open Sans" w:eastAsia="MS Mincho" w:hAnsi="Open Sans" w:cs="Open Sans"/>
          <w:lang w:eastAsia="en-AU"/>
        </w:rPr>
      </w:pPr>
      <w:r w:rsidRPr="006363D0">
        <w:rPr>
          <w:rStyle w:val="FootnoteReference"/>
          <w:rFonts w:ascii="Open Sans" w:hAnsi="Open Sans" w:cs="Open Sans"/>
        </w:rPr>
        <w:footnoteRef/>
      </w:r>
      <w:r w:rsidRPr="006363D0">
        <w:rPr>
          <w:rFonts w:ascii="Open Sans" w:hAnsi="Open Sans" w:cs="Open Sans"/>
        </w:rPr>
        <w:t xml:space="preserve"> This work is in collaboration with ANU’s Crawford School of Public Policy and Centre for Aboriginal Economic Policy Research, as well as the University of Queensland.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37C5" w14:textId="2586C9F1" w:rsidR="00446F0A" w:rsidRDefault="0059586C">
    <w:pPr>
      <w:pStyle w:val="Header"/>
    </w:pPr>
    <w:r>
      <w:rPr>
        <w:noProof/>
        <w14:ligatures w14:val="standardContextual"/>
      </w:rPr>
      <w:drawing>
        <wp:anchor distT="0" distB="0" distL="114300" distR="114300" simplePos="0" relativeHeight="251658246" behindDoc="0" locked="0" layoutInCell="1" allowOverlap="1" wp14:anchorId="41F301DF" wp14:editId="764DADD2">
          <wp:simplePos x="0" y="0"/>
          <wp:positionH relativeFrom="margin">
            <wp:posOffset>-327025</wp:posOffset>
          </wp:positionH>
          <wp:positionV relativeFrom="margin">
            <wp:posOffset>-791504</wp:posOffset>
          </wp:positionV>
          <wp:extent cx="2661285" cy="755015"/>
          <wp:effectExtent l="0" t="0" r="5715" b="0"/>
          <wp:wrapNone/>
          <wp:docPr id="1086765125" name="Picture 7"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95282" name="Picture 7"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1285" cy="755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CEE"/>
    <w:multiLevelType w:val="hybridMultilevel"/>
    <w:tmpl w:val="D1786C3E"/>
    <w:lvl w:ilvl="0" w:tplc="0C090001">
      <w:numFmt w:val="bullet"/>
      <w:lvlText w:val=""/>
      <w:lvlJc w:val="left"/>
      <w:pPr>
        <w:ind w:left="720" w:hanging="360"/>
      </w:pPr>
      <w:rPr>
        <w:rFonts w:ascii="Symbol" w:eastAsia="Times New Roman" w:hAnsi="Symbol"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318E4"/>
    <w:multiLevelType w:val="multilevel"/>
    <w:tmpl w:val="4064A1DE"/>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B1782D"/>
    <w:multiLevelType w:val="multilevel"/>
    <w:tmpl w:val="4064A1DE"/>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DC29BB"/>
    <w:multiLevelType w:val="hybridMultilevel"/>
    <w:tmpl w:val="4F025B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8B54F1B"/>
    <w:multiLevelType w:val="multilevel"/>
    <w:tmpl w:val="4064A1DE"/>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A954744"/>
    <w:multiLevelType w:val="hybridMultilevel"/>
    <w:tmpl w:val="5FDCD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7F44BAE"/>
    <w:multiLevelType w:val="hybridMultilevel"/>
    <w:tmpl w:val="95B6040C"/>
    <w:lvl w:ilvl="0" w:tplc="5C8A9D92">
      <w:start w:val="26"/>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2E051C0"/>
    <w:multiLevelType w:val="hybridMultilevel"/>
    <w:tmpl w:val="087A7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553FD6"/>
    <w:multiLevelType w:val="multilevel"/>
    <w:tmpl w:val="C4D0DBE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4E0A1354"/>
    <w:multiLevelType w:val="multilevel"/>
    <w:tmpl w:val="656406B4"/>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4477AAE"/>
    <w:multiLevelType w:val="multilevel"/>
    <w:tmpl w:val="4064A1D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FCB46CB"/>
    <w:multiLevelType w:val="multilevel"/>
    <w:tmpl w:val="4064A1DE"/>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45858DB"/>
    <w:multiLevelType w:val="hybridMultilevel"/>
    <w:tmpl w:val="211200B4"/>
    <w:lvl w:ilvl="0" w:tplc="9CCCE32E">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C10E97"/>
    <w:multiLevelType w:val="hybridMultilevel"/>
    <w:tmpl w:val="C04488CE"/>
    <w:lvl w:ilvl="0" w:tplc="9CCCE32E">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3137539">
    <w:abstractNumId w:val="0"/>
  </w:num>
  <w:num w:numId="2" w16cid:durableId="1801149111">
    <w:abstractNumId w:val="6"/>
  </w:num>
  <w:num w:numId="3" w16cid:durableId="969283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12202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87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12921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86090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163016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90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5070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340998">
    <w:abstractNumId w:val="12"/>
  </w:num>
  <w:num w:numId="12" w16cid:durableId="1952934862">
    <w:abstractNumId w:val="13"/>
  </w:num>
  <w:num w:numId="13" w16cid:durableId="402915964">
    <w:abstractNumId w:val="3"/>
  </w:num>
  <w:num w:numId="14" w16cid:durableId="1702169200">
    <w:abstractNumId w:val="5"/>
  </w:num>
  <w:num w:numId="15" w16cid:durableId="143935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MrIwMDS1tDAzMDNU0lEKTi0uzszPAymwqAUAR8My0iwAAAA="/>
  </w:docVars>
  <w:rsids>
    <w:rsidRoot w:val="00446F0A"/>
    <w:rsid w:val="000008D0"/>
    <w:rsid w:val="00005B37"/>
    <w:rsid w:val="00017D0A"/>
    <w:rsid w:val="00025367"/>
    <w:rsid w:val="00041058"/>
    <w:rsid w:val="0005017C"/>
    <w:rsid w:val="00051AE4"/>
    <w:rsid w:val="000556F8"/>
    <w:rsid w:val="000624E7"/>
    <w:rsid w:val="0008514A"/>
    <w:rsid w:val="000A1803"/>
    <w:rsid w:val="000A6E0F"/>
    <w:rsid w:val="000B6573"/>
    <w:rsid w:val="000B6A47"/>
    <w:rsid w:val="000C2B9D"/>
    <w:rsid w:val="000D0745"/>
    <w:rsid w:val="000D40EF"/>
    <w:rsid w:val="000E0C66"/>
    <w:rsid w:val="000E1C34"/>
    <w:rsid w:val="000E3AF6"/>
    <w:rsid w:val="00104695"/>
    <w:rsid w:val="001211F2"/>
    <w:rsid w:val="00125332"/>
    <w:rsid w:val="001341A4"/>
    <w:rsid w:val="001508B9"/>
    <w:rsid w:val="0016019F"/>
    <w:rsid w:val="00160DCC"/>
    <w:rsid w:val="001667A5"/>
    <w:rsid w:val="001824C4"/>
    <w:rsid w:val="00197CFE"/>
    <w:rsid w:val="001A04AE"/>
    <w:rsid w:val="001B21F7"/>
    <w:rsid w:val="001B2A33"/>
    <w:rsid w:val="001B2C70"/>
    <w:rsid w:val="001C70CC"/>
    <w:rsid w:val="001C7CCD"/>
    <w:rsid w:val="001D38D2"/>
    <w:rsid w:val="001E0C71"/>
    <w:rsid w:val="001E36E5"/>
    <w:rsid w:val="001F29DD"/>
    <w:rsid w:val="00201D61"/>
    <w:rsid w:val="00203144"/>
    <w:rsid w:val="00207E49"/>
    <w:rsid w:val="0023468C"/>
    <w:rsid w:val="00241F82"/>
    <w:rsid w:val="00244208"/>
    <w:rsid w:val="00244443"/>
    <w:rsid w:val="00247B6C"/>
    <w:rsid w:val="002555E6"/>
    <w:rsid w:val="00263EB1"/>
    <w:rsid w:val="0027068F"/>
    <w:rsid w:val="00274080"/>
    <w:rsid w:val="002815A0"/>
    <w:rsid w:val="002A69CC"/>
    <w:rsid w:val="002C1242"/>
    <w:rsid w:val="002D016A"/>
    <w:rsid w:val="002D295B"/>
    <w:rsid w:val="002D2F3D"/>
    <w:rsid w:val="002D3B31"/>
    <w:rsid w:val="002D5410"/>
    <w:rsid w:val="002E3545"/>
    <w:rsid w:val="002E73A2"/>
    <w:rsid w:val="002F310F"/>
    <w:rsid w:val="002F39B2"/>
    <w:rsid w:val="002F3F93"/>
    <w:rsid w:val="00303CB9"/>
    <w:rsid w:val="003049AE"/>
    <w:rsid w:val="00335E43"/>
    <w:rsid w:val="00342414"/>
    <w:rsid w:val="00351B83"/>
    <w:rsid w:val="00357F51"/>
    <w:rsid w:val="00361A21"/>
    <w:rsid w:val="003631CB"/>
    <w:rsid w:val="003722F8"/>
    <w:rsid w:val="003945B8"/>
    <w:rsid w:val="003A2057"/>
    <w:rsid w:val="003E4CCA"/>
    <w:rsid w:val="004320BD"/>
    <w:rsid w:val="00436852"/>
    <w:rsid w:val="00446F0A"/>
    <w:rsid w:val="00454F0A"/>
    <w:rsid w:val="00464353"/>
    <w:rsid w:val="00493FA7"/>
    <w:rsid w:val="00497EF2"/>
    <w:rsid w:val="004B0801"/>
    <w:rsid w:val="004B63EA"/>
    <w:rsid w:val="004C0995"/>
    <w:rsid w:val="004F6941"/>
    <w:rsid w:val="00505200"/>
    <w:rsid w:val="0051240C"/>
    <w:rsid w:val="0051762F"/>
    <w:rsid w:val="00544A08"/>
    <w:rsid w:val="0058097F"/>
    <w:rsid w:val="00581FAC"/>
    <w:rsid w:val="0059586C"/>
    <w:rsid w:val="005A064F"/>
    <w:rsid w:val="005A21B3"/>
    <w:rsid w:val="005A615E"/>
    <w:rsid w:val="005C5102"/>
    <w:rsid w:val="005D7FBA"/>
    <w:rsid w:val="005F2606"/>
    <w:rsid w:val="005F7405"/>
    <w:rsid w:val="005F756E"/>
    <w:rsid w:val="006160E4"/>
    <w:rsid w:val="00621D21"/>
    <w:rsid w:val="006307ED"/>
    <w:rsid w:val="00632B8E"/>
    <w:rsid w:val="006363D0"/>
    <w:rsid w:val="006421E2"/>
    <w:rsid w:val="00663C18"/>
    <w:rsid w:val="00665150"/>
    <w:rsid w:val="00672DCB"/>
    <w:rsid w:val="006802FE"/>
    <w:rsid w:val="00687CDA"/>
    <w:rsid w:val="00692653"/>
    <w:rsid w:val="006B6B27"/>
    <w:rsid w:val="006C5971"/>
    <w:rsid w:val="006D0E95"/>
    <w:rsid w:val="006E1FA3"/>
    <w:rsid w:val="006E3E83"/>
    <w:rsid w:val="006E694B"/>
    <w:rsid w:val="006E7896"/>
    <w:rsid w:val="007012E4"/>
    <w:rsid w:val="007025EC"/>
    <w:rsid w:val="00741405"/>
    <w:rsid w:val="00755C8A"/>
    <w:rsid w:val="00757A0F"/>
    <w:rsid w:val="007641E7"/>
    <w:rsid w:val="00790A9C"/>
    <w:rsid w:val="007B5F59"/>
    <w:rsid w:val="007C033C"/>
    <w:rsid w:val="007C5DED"/>
    <w:rsid w:val="007E59F7"/>
    <w:rsid w:val="0080125A"/>
    <w:rsid w:val="00805588"/>
    <w:rsid w:val="00814FDA"/>
    <w:rsid w:val="0083135D"/>
    <w:rsid w:val="00847CB6"/>
    <w:rsid w:val="00860CA9"/>
    <w:rsid w:val="0087163F"/>
    <w:rsid w:val="00871F91"/>
    <w:rsid w:val="00884047"/>
    <w:rsid w:val="00885C2D"/>
    <w:rsid w:val="0089700F"/>
    <w:rsid w:val="008A359D"/>
    <w:rsid w:val="008B385F"/>
    <w:rsid w:val="008B454E"/>
    <w:rsid w:val="008C7AC8"/>
    <w:rsid w:val="008D38C0"/>
    <w:rsid w:val="009012BB"/>
    <w:rsid w:val="0090213E"/>
    <w:rsid w:val="009023DD"/>
    <w:rsid w:val="0091281C"/>
    <w:rsid w:val="009240E8"/>
    <w:rsid w:val="009508A9"/>
    <w:rsid w:val="0095151A"/>
    <w:rsid w:val="00977CD2"/>
    <w:rsid w:val="00983355"/>
    <w:rsid w:val="009916CE"/>
    <w:rsid w:val="009A4381"/>
    <w:rsid w:val="009B5126"/>
    <w:rsid w:val="009E4A7E"/>
    <w:rsid w:val="00A00206"/>
    <w:rsid w:val="00A00E31"/>
    <w:rsid w:val="00A119A4"/>
    <w:rsid w:val="00A12527"/>
    <w:rsid w:val="00A15D70"/>
    <w:rsid w:val="00A369F8"/>
    <w:rsid w:val="00A4070E"/>
    <w:rsid w:val="00A611F4"/>
    <w:rsid w:val="00A75CC4"/>
    <w:rsid w:val="00A81190"/>
    <w:rsid w:val="00A829E5"/>
    <w:rsid w:val="00A97AD1"/>
    <w:rsid w:val="00AB7641"/>
    <w:rsid w:val="00AC16AD"/>
    <w:rsid w:val="00AC22EE"/>
    <w:rsid w:val="00AF1B94"/>
    <w:rsid w:val="00AF6334"/>
    <w:rsid w:val="00B033F1"/>
    <w:rsid w:val="00B11259"/>
    <w:rsid w:val="00B13A24"/>
    <w:rsid w:val="00B14709"/>
    <w:rsid w:val="00B22D02"/>
    <w:rsid w:val="00B27A94"/>
    <w:rsid w:val="00B343F1"/>
    <w:rsid w:val="00B37BE6"/>
    <w:rsid w:val="00B57BA5"/>
    <w:rsid w:val="00B83882"/>
    <w:rsid w:val="00B91B1D"/>
    <w:rsid w:val="00B96242"/>
    <w:rsid w:val="00BA506B"/>
    <w:rsid w:val="00BB0261"/>
    <w:rsid w:val="00BB4A77"/>
    <w:rsid w:val="00BD7C86"/>
    <w:rsid w:val="00C061CC"/>
    <w:rsid w:val="00C13AE7"/>
    <w:rsid w:val="00C17EB8"/>
    <w:rsid w:val="00C27E6A"/>
    <w:rsid w:val="00C44602"/>
    <w:rsid w:val="00C50C72"/>
    <w:rsid w:val="00C561BB"/>
    <w:rsid w:val="00C65A16"/>
    <w:rsid w:val="00C67C55"/>
    <w:rsid w:val="00C72009"/>
    <w:rsid w:val="00C7742F"/>
    <w:rsid w:val="00C85BF8"/>
    <w:rsid w:val="00C86195"/>
    <w:rsid w:val="00C92BA0"/>
    <w:rsid w:val="00CA19F6"/>
    <w:rsid w:val="00CB0988"/>
    <w:rsid w:val="00CB1927"/>
    <w:rsid w:val="00CC11CA"/>
    <w:rsid w:val="00CC2D9E"/>
    <w:rsid w:val="00CC4D95"/>
    <w:rsid w:val="00CC56BB"/>
    <w:rsid w:val="00CD1A19"/>
    <w:rsid w:val="00CD49D5"/>
    <w:rsid w:val="00CD6A9C"/>
    <w:rsid w:val="00CD7A39"/>
    <w:rsid w:val="00CF3BC0"/>
    <w:rsid w:val="00CF66B9"/>
    <w:rsid w:val="00D11E94"/>
    <w:rsid w:val="00D331FE"/>
    <w:rsid w:val="00D34763"/>
    <w:rsid w:val="00D348F6"/>
    <w:rsid w:val="00D66957"/>
    <w:rsid w:val="00D72C54"/>
    <w:rsid w:val="00D733FA"/>
    <w:rsid w:val="00D76891"/>
    <w:rsid w:val="00DA4694"/>
    <w:rsid w:val="00DB0608"/>
    <w:rsid w:val="00DB3E9F"/>
    <w:rsid w:val="00DD1D13"/>
    <w:rsid w:val="00DD2776"/>
    <w:rsid w:val="00DE430B"/>
    <w:rsid w:val="00DF1319"/>
    <w:rsid w:val="00E00693"/>
    <w:rsid w:val="00E051C8"/>
    <w:rsid w:val="00E05735"/>
    <w:rsid w:val="00E14880"/>
    <w:rsid w:val="00E34709"/>
    <w:rsid w:val="00E429DF"/>
    <w:rsid w:val="00E62A35"/>
    <w:rsid w:val="00E70DCF"/>
    <w:rsid w:val="00E85797"/>
    <w:rsid w:val="00E972EF"/>
    <w:rsid w:val="00EB5915"/>
    <w:rsid w:val="00EB696A"/>
    <w:rsid w:val="00EC2328"/>
    <w:rsid w:val="00EC2EF6"/>
    <w:rsid w:val="00EC5BAC"/>
    <w:rsid w:val="00ED07C2"/>
    <w:rsid w:val="00EF6EB2"/>
    <w:rsid w:val="00F26B92"/>
    <w:rsid w:val="00F27DAA"/>
    <w:rsid w:val="00F35C51"/>
    <w:rsid w:val="00F40E27"/>
    <w:rsid w:val="00F51C48"/>
    <w:rsid w:val="00F52DA2"/>
    <w:rsid w:val="00F706A1"/>
    <w:rsid w:val="00F734AF"/>
    <w:rsid w:val="00F834E2"/>
    <w:rsid w:val="00F837C2"/>
    <w:rsid w:val="00F84349"/>
    <w:rsid w:val="00F95588"/>
    <w:rsid w:val="00FA32D4"/>
    <w:rsid w:val="00FC73D1"/>
    <w:rsid w:val="00FF72D8"/>
    <w:rsid w:val="00FF73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C714"/>
  <w15:chartTrackingRefBased/>
  <w15:docId w15:val="{8D8151D7-8662-4DD4-A4DB-3BC10211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F8"/>
    <w:pPr>
      <w:spacing w:before="120" w:after="120" w:line="240" w:lineRule="auto"/>
    </w:pPr>
    <w:rPr>
      <w:rFonts w:ascii="Open Sans" w:eastAsia="Times New Roman" w:hAnsi="Open Sans" w:cs="Times New Roman"/>
      <w:kern w:val="0"/>
      <w:szCs w:val="24"/>
      <w:lang w:eastAsia="en-GB"/>
      <w14:ligatures w14:val="none"/>
    </w:rPr>
  </w:style>
  <w:style w:type="paragraph" w:styleId="Heading1">
    <w:name w:val="heading 1"/>
    <w:basedOn w:val="Normal"/>
    <w:next w:val="Normal"/>
    <w:link w:val="Heading1Char"/>
    <w:autoRedefine/>
    <w:uiPriority w:val="9"/>
    <w:qFormat/>
    <w:rsid w:val="00FA32D4"/>
    <w:pPr>
      <w:keepNext/>
      <w:keepLines/>
      <w:spacing w:before="360" w:after="80"/>
      <w:outlineLvl w:val="0"/>
    </w:pPr>
    <w:rPr>
      <w:rFonts w:ascii="Futura-Medium" w:eastAsiaTheme="majorEastAsia" w:hAnsi="Futura-Medium" w:cstheme="majorBidi"/>
      <w:caps/>
      <w:color w:val="7030A0"/>
      <w:sz w:val="44"/>
      <w:szCs w:val="40"/>
    </w:rPr>
  </w:style>
  <w:style w:type="paragraph" w:styleId="Heading2">
    <w:name w:val="heading 2"/>
    <w:basedOn w:val="Normal"/>
    <w:next w:val="Normal"/>
    <w:link w:val="Heading2Char"/>
    <w:autoRedefine/>
    <w:uiPriority w:val="9"/>
    <w:unhideWhenUsed/>
    <w:qFormat/>
    <w:rsid w:val="00203144"/>
    <w:pPr>
      <w:keepNext/>
      <w:keepLines/>
      <w:spacing w:before="280" w:after="200"/>
      <w:outlineLvl w:val="1"/>
    </w:pPr>
    <w:rPr>
      <w:rFonts w:ascii="Adelle Rg" w:eastAsiaTheme="majorEastAsia" w:hAnsi="Adelle Rg" w:cstheme="majorBidi"/>
      <w:color w:val="68318E" w:themeColor="accent1"/>
      <w:sz w:val="36"/>
      <w:szCs w:val="32"/>
    </w:rPr>
  </w:style>
  <w:style w:type="paragraph" w:styleId="Heading3">
    <w:name w:val="heading 3"/>
    <w:basedOn w:val="Normal"/>
    <w:next w:val="Normal"/>
    <w:link w:val="Heading3Char"/>
    <w:autoRedefine/>
    <w:uiPriority w:val="9"/>
    <w:unhideWhenUsed/>
    <w:qFormat/>
    <w:rsid w:val="00493FA7"/>
    <w:pPr>
      <w:keepNext/>
      <w:keepLines/>
      <w:spacing w:before="280" w:after="200"/>
      <w:outlineLvl w:val="2"/>
    </w:pPr>
    <w:rPr>
      <w:rFonts w:ascii="Adelle Rg" w:eastAsiaTheme="majorEastAsia" w:hAnsi="Adelle Rg" w:cstheme="majorBidi"/>
      <w:color w:val="7030A0"/>
      <w:sz w:val="32"/>
      <w:szCs w:val="28"/>
    </w:rPr>
  </w:style>
  <w:style w:type="paragraph" w:styleId="Heading4">
    <w:name w:val="heading 4"/>
    <w:basedOn w:val="Normal"/>
    <w:next w:val="Normal"/>
    <w:link w:val="Heading4Char"/>
    <w:autoRedefine/>
    <w:uiPriority w:val="9"/>
    <w:unhideWhenUsed/>
    <w:qFormat/>
    <w:rsid w:val="002C1242"/>
    <w:pPr>
      <w:keepNext/>
      <w:keepLines/>
      <w:spacing w:before="200" w:after="160"/>
      <w:outlineLvl w:val="3"/>
    </w:pPr>
    <w:rPr>
      <w:rFonts w:ascii="Adelle Rg" w:eastAsiaTheme="majorEastAsia" w:hAnsi="Adelle Rg" w:cstheme="majorBidi"/>
      <w:iCs/>
      <w:color w:val="7030A0"/>
      <w:sz w:val="28"/>
    </w:rPr>
  </w:style>
  <w:style w:type="paragraph" w:styleId="Heading5">
    <w:name w:val="heading 5"/>
    <w:basedOn w:val="Normal"/>
    <w:next w:val="Normal"/>
    <w:link w:val="Heading5Char"/>
    <w:uiPriority w:val="9"/>
    <w:semiHidden/>
    <w:unhideWhenUsed/>
    <w:qFormat/>
    <w:rsid w:val="00446F0A"/>
    <w:pPr>
      <w:keepNext/>
      <w:keepLines/>
      <w:spacing w:before="80" w:after="40"/>
      <w:outlineLvl w:val="4"/>
    </w:pPr>
    <w:rPr>
      <w:rFonts w:eastAsiaTheme="majorEastAsia" w:cstheme="majorBidi"/>
      <w:color w:val="4D246A" w:themeColor="accent1" w:themeShade="BF"/>
    </w:rPr>
  </w:style>
  <w:style w:type="paragraph" w:styleId="Heading6">
    <w:name w:val="heading 6"/>
    <w:basedOn w:val="Normal"/>
    <w:next w:val="Normal"/>
    <w:link w:val="Heading6Char"/>
    <w:uiPriority w:val="9"/>
    <w:semiHidden/>
    <w:unhideWhenUsed/>
    <w:qFormat/>
    <w:rsid w:val="00446F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F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F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F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D4"/>
    <w:rPr>
      <w:rFonts w:ascii="Futura-Medium" w:eastAsiaTheme="majorEastAsia" w:hAnsi="Futura-Medium" w:cstheme="majorBidi"/>
      <w:caps/>
      <w:color w:val="7030A0"/>
      <w:kern w:val="0"/>
      <w:sz w:val="44"/>
      <w:szCs w:val="40"/>
      <w:lang w:eastAsia="en-GB"/>
      <w14:ligatures w14:val="none"/>
    </w:rPr>
  </w:style>
  <w:style w:type="character" w:customStyle="1" w:styleId="Heading2Char">
    <w:name w:val="Heading 2 Char"/>
    <w:basedOn w:val="DefaultParagraphFont"/>
    <w:link w:val="Heading2"/>
    <w:uiPriority w:val="9"/>
    <w:rsid w:val="00203144"/>
    <w:rPr>
      <w:rFonts w:ascii="Adelle Rg" w:eastAsiaTheme="majorEastAsia" w:hAnsi="Adelle Rg" w:cstheme="majorBidi"/>
      <w:color w:val="68318E" w:themeColor="accent1"/>
      <w:kern w:val="0"/>
      <w:sz w:val="36"/>
      <w:szCs w:val="32"/>
      <w:lang w:eastAsia="en-GB"/>
      <w14:ligatures w14:val="none"/>
    </w:rPr>
  </w:style>
  <w:style w:type="character" w:customStyle="1" w:styleId="Heading3Char">
    <w:name w:val="Heading 3 Char"/>
    <w:basedOn w:val="DefaultParagraphFont"/>
    <w:link w:val="Heading3"/>
    <w:uiPriority w:val="9"/>
    <w:rsid w:val="00493FA7"/>
    <w:rPr>
      <w:rFonts w:ascii="Adelle Rg" w:eastAsiaTheme="majorEastAsia" w:hAnsi="Adelle Rg" w:cstheme="majorBidi"/>
      <w:color w:val="7030A0"/>
      <w:kern w:val="0"/>
      <w:sz w:val="32"/>
      <w:szCs w:val="28"/>
      <w:lang w:eastAsia="en-GB"/>
      <w14:ligatures w14:val="none"/>
    </w:rPr>
  </w:style>
  <w:style w:type="character" w:customStyle="1" w:styleId="Heading4Char">
    <w:name w:val="Heading 4 Char"/>
    <w:basedOn w:val="DefaultParagraphFont"/>
    <w:link w:val="Heading4"/>
    <w:uiPriority w:val="9"/>
    <w:rsid w:val="002C1242"/>
    <w:rPr>
      <w:rFonts w:ascii="Adelle Rg" w:eastAsiaTheme="majorEastAsia" w:hAnsi="Adelle Rg" w:cstheme="majorBidi"/>
      <w:iCs/>
      <w:color w:val="7030A0"/>
      <w:kern w:val="0"/>
      <w:sz w:val="28"/>
      <w:szCs w:val="24"/>
      <w:lang w:eastAsia="en-GB"/>
      <w14:ligatures w14:val="none"/>
    </w:rPr>
  </w:style>
  <w:style w:type="character" w:customStyle="1" w:styleId="Heading5Char">
    <w:name w:val="Heading 5 Char"/>
    <w:basedOn w:val="DefaultParagraphFont"/>
    <w:link w:val="Heading5"/>
    <w:uiPriority w:val="9"/>
    <w:semiHidden/>
    <w:rsid w:val="00446F0A"/>
    <w:rPr>
      <w:rFonts w:eastAsiaTheme="majorEastAsia" w:cstheme="majorBidi"/>
      <w:color w:val="4D246A" w:themeColor="accent1" w:themeShade="BF"/>
    </w:rPr>
  </w:style>
  <w:style w:type="character" w:customStyle="1" w:styleId="Heading6Char">
    <w:name w:val="Heading 6 Char"/>
    <w:basedOn w:val="DefaultParagraphFont"/>
    <w:link w:val="Heading6"/>
    <w:uiPriority w:val="9"/>
    <w:semiHidden/>
    <w:rsid w:val="00446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0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8A359D"/>
    <w:pPr>
      <w:spacing w:after="80"/>
      <w:contextualSpacing/>
    </w:pPr>
    <w:rPr>
      <w:rFonts w:ascii="Futura Book" w:eastAsiaTheme="majorEastAsia" w:hAnsi="Futura Book" w:cstheme="majorBidi"/>
      <w:caps/>
      <w:spacing w:val="-10"/>
      <w:kern w:val="28"/>
      <w:sz w:val="56"/>
      <w:szCs w:val="56"/>
    </w:rPr>
  </w:style>
  <w:style w:type="character" w:customStyle="1" w:styleId="TitleChar">
    <w:name w:val="Title Char"/>
    <w:basedOn w:val="DefaultParagraphFont"/>
    <w:link w:val="Title"/>
    <w:uiPriority w:val="10"/>
    <w:rsid w:val="008A359D"/>
    <w:rPr>
      <w:rFonts w:ascii="Futura Book" w:eastAsiaTheme="majorEastAsia" w:hAnsi="Futura Book" w:cstheme="majorBidi"/>
      <w:caps/>
      <w:spacing w:val="-10"/>
      <w:kern w:val="28"/>
      <w:sz w:val="56"/>
      <w:szCs w:val="56"/>
      <w:lang w:eastAsia="en-GB"/>
      <w14:ligatures w14:val="none"/>
    </w:rPr>
  </w:style>
  <w:style w:type="paragraph" w:styleId="Subtitle">
    <w:name w:val="Subtitle"/>
    <w:basedOn w:val="Normal"/>
    <w:next w:val="Normal"/>
    <w:link w:val="SubtitleChar"/>
    <w:uiPriority w:val="11"/>
    <w:qFormat/>
    <w:rsid w:val="00446F0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46F0A"/>
    <w:rPr>
      <w:rFonts w:ascii="Open Sans" w:eastAsiaTheme="majorEastAsia" w:hAnsi="Open Sans" w:cstheme="majorBidi"/>
      <w:color w:val="000000" w:themeColor="text1"/>
      <w:spacing w:val="15"/>
      <w:kern w:val="0"/>
      <w:sz w:val="28"/>
      <w:szCs w:val="28"/>
      <w:lang w:eastAsia="en-GB"/>
      <w14:ligatures w14:val="none"/>
    </w:rPr>
  </w:style>
  <w:style w:type="paragraph" w:styleId="Quote">
    <w:name w:val="Quote"/>
    <w:basedOn w:val="Normal"/>
    <w:next w:val="Normal"/>
    <w:link w:val="QuoteChar"/>
    <w:uiPriority w:val="29"/>
    <w:qFormat/>
    <w:rsid w:val="00EB5915"/>
    <w:pPr>
      <w:snapToGrid w:val="0"/>
      <w:spacing w:before="280" w:after="240"/>
      <w:ind w:left="567" w:right="567"/>
      <w:jc w:val="center"/>
    </w:pPr>
    <w:rPr>
      <w:i/>
      <w:iCs/>
      <w:color w:val="404040" w:themeColor="text1" w:themeTint="BF"/>
    </w:rPr>
  </w:style>
  <w:style w:type="character" w:customStyle="1" w:styleId="QuoteChar">
    <w:name w:val="Quote Char"/>
    <w:basedOn w:val="DefaultParagraphFont"/>
    <w:link w:val="Quote"/>
    <w:uiPriority w:val="29"/>
    <w:rsid w:val="00EB5915"/>
    <w:rPr>
      <w:rFonts w:ascii="Open Sans" w:eastAsia="Times New Roman" w:hAnsi="Open Sans" w:cs="Times New Roman"/>
      <w:i/>
      <w:iCs/>
      <w:color w:val="404040" w:themeColor="text1" w:themeTint="BF"/>
      <w:kern w:val="0"/>
      <w:szCs w:val="24"/>
      <w:lang w:eastAsia="en-GB"/>
      <w14:ligatures w14:val="none"/>
    </w:rPr>
  </w:style>
  <w:style w:type="paragraph" w:styleId="ListParagraph">
    <w:name w:val="List Paragraph"/>
    <w:basedOn w:val="Normal"/>
    <w:autoRedefine/>
    <w:uiPriority w:val="34"/>
    <w:qFormat/>
    <w:rsid w:val="00BB0261"/>
    <w:pPr>
      <w:spacing w:before="240" w:after="240"/>
      <w:ind w:left="720"/>
      <w:contextualSpacing/>
    </w:pPr>
  </w:style>
  <w:style w:type="character" w:styleId="IntenseEmphasis">
    <w:name w:val="Intense Emphasis"/>
    <w:basedOn w:val="DefaultParagraphFont"/>
    <w:uiPriority w:val="21"/>
    <w:qFormat/>
    <w:rsid w:val="00446F0A"/>
    <w:rPr>
      <w:i/>
      <w:iCs/>
      <w:color w:val="4D246A" w:themeColor="accent1" w:themeShade="BF"/>
    </w:rPr>
  </w:style>
  <w:style w:type="paragraph" w:styleId="IntenseQuote">
    <w:name w:val="Intense Quote"/>
    <w:basedOn w:val="Normal"/>
    <w:next w:val="Normal"/>
    <w:link w:val="IntenseQuoteChar"/>
    <w:uiPriority w:val="30"/>
    <w:qFormat/>
    <w:rsid w:val="00446F0A"/>
    <w:pPr>
      <w:pBdr>
        <w:top w:val="single" w:sz="4" w:space="10" w:color="4D246A" w:themeColor="accent1" w:themeShade="BF"/>
        <w:bottom w:val="single" w:sz="4" w:space="10" w:color="4D246A" w:themeColor="accent1" w:themeShade="BF"/>
      </w:pBdr>
      <w:spacing w:before="360" w:after="360"/>
      <w:ind w:left="864" w:right="864"/>
      <w:jc w:val="center"/>
    </w:pPr>
    <w:rPr>
      <w:i/>
      <w:iCs/>
      <w:color w:val="4D246A" w:themeColor="accent1" w:themeShade="BF"/>
    </w:rPr>
  </w:style>
  <w:style w:type="character" w:customStyle="1" w:styleId="IntenseQuoteChar">
    <w:name w:val="Intense Quote Char"/>
    <w:basedOn w:val="DefaultParagraphFont"/>
    <w:link w:val="IntenseQuote"/>
    <w:uiPriority w:val="30"/>
    <w:rsid w:val="00446F0A"/>
    <w:rPr>
      <w:i/>
      <w:iCs/>
      <w:color w:val="4D246A" w:themeColor="accent1" w:themeShade="BF"/>
    </w:rPr>
  </w:style>
  <w:style w:type="character" w:styleId="IntenseReference">
    <w:name w:val="Intense Reference"/>
    <w:basedOn w:val="DefaultParagraphFont"/>
    <w:uiPriority w:val="32"/>
    <w:qFormat/>
    <w:rsid w:val="00446F0A"/>
    <w:rPr>
      <w:b/>
      <w:bCs/>
      <w:smallCaps/>
      <w:color w:val="4D246A" w:themeColor="accent1" w:themeShade="BF"/>
      <w:spacing w:val="5"/>
    </w:rPr>
  </w:style>
  <w:style w:type="paragraph" w:styleId="Header">
    <w:name w:val="header"/>
    <w:basedOn w:val="Normal"/>
    <w:link w:val="HeaderChar"/>
    <w:uiPriority w:val="99"/>
    <w:unhideWhenUsed/>
    <w:rsid w:val="00446F0A"/>
    <w:pPr>
      <w:tabs>
        <w:tab w:val="center" w:pos="4513"/>
        <w:tab w:val="right" w:pos="9026"/>
      </w:tabs>
    </w:pPr>
  </w:style>
  <w:style w:type="character" w:customStyle="1" w:styleId="HeaderChar">
    <w:name w:val="Header Char"/>
    <w:basedOn w:val="DefaultParagraphFont"/>
    <w:link w:val="Header"/>
    <w:uiPriority w:val="99"/>
    <w:rsid w:val="00446F0A"/>
  </w:style>
  <w:style w:type="paragraph" w:styleId="Footer">
    <w:name w:val="footer"/>
    <w:basedOn w:val="Normal"/>
    <w:link w:val="FooterChar"/>
    <w:uiPriority w:val="99"/>
    <w:unhideWhenUsed/>
    <w:rsid w:val="00446F0A"/>
    <w:pPr>
      <w:tabs>
        <w:tab w:val="center" w:pos="4513"/>
        <w:tab w:val="right" w:pos="9026"/>
      </w:tabs>
    </w:pPr>
  </w:style>
  <w:style w:type="character" w:customStyle="1" w:styleId="FooterChar">
    <w:name w:val="Footer Char"/>
    <w:basedOn w:val="DefaultParagraphFont"/>
    <w:link w:val="Footer"/>
    <w:uiPriority w:val="99"/>
    <w:rsid w:val="00446F0A"/>
  </w:style>
  <w:style w:type="character" w:styleId="Hyperlink">
    <w:name w:val="Hyperlink"/>
    <w:basedOn w:val="DefaultParagraphFont"/>
    <w:uiPriority w:val="99"/>
    <w:unhideWhenUsed/>
    <w:rsid w:val="00446F0A"/>
    <w:rPr>
      <w:color w:val="3B5746" w:themeColor="hyperlink"/>
      <w:u w:val="single"/>
    </w:rPr>
  </w:style>
  <w:style w:type="character" w:styleId="UnresolvedMention">
    <w:name w:val="Unresolved Mention"/>
    <w:basedOn w:val="DefaultParagraphFont"/>
    <w:uiPriority w:val="99"/>
    <w:semiHidden/>
    <w:unhideWhenUsed/>
    <w:rsid w:val="00446F0A"/>
    <w:rPr>
      <w:color w:val="605E5C"/>
      <w:shd w:val="clear" w:color="auto" w:fill="E1DFDD"/>
    </w:rPr>
  </w:style>
  <w:style w:type="paragraph" w:styleId="NoSpacing">
    <w:name w:val="No Spacing"/>
    <w:link w:val="NoSpacingChar"/>
    <w:uiPriority w:val="1"/>
    <w:qFormat/>
    <w:rsid w:val="00446F0A"/>
    <w:pPr>
      <w:spacing w:after="0" w:line="240" w:lineRule="auto"/>
    </w:pPr>
    <w:rPr>
      <w:rFonts w:ascii="Open Sans" w:eastAsia="Times New Roman" w:hAnsi="Open Sans" w:cs="Times New Roman"/>
      <w:kern w:val="0"/>
      <w:sz w:val="24"/>
      <w:szCs w:val="24"/>
      <w:lang w:eastAsia="en-AU"/>
      <w14:ligatures w14:val="none"/>
    </w:rPr>
  </w:style>
  <w:style w:type="character" w:customStyle="1" w:styleId="NoSpacingChar">
    <w:name w:val="No Spacing Char"/>
    <w:basedOn w:val="DefaultParagraphFont"/>
    <w:link w:val="NoSpacing"/>
    <w:uiPriority w:val="1"/>
    <w:rsid w:val="00D348F6"/>
    <w:rPr>
      <w:rFonts w:ascii="Open Sans" w:eastAsia="Times New Roman" w:hAnsi="Open Sans" w:cs="Times New Roman"/>
      <w:kern w:val="0"/>
      <w:sz w:val="24"/>
      <w:szCs w:val="24"/>
      <w:lang w:eastAsia="en-AU"/>
      <w14:ligatures w14:val="none"/>
    </w:rPr>
  </w:style>
  <w:style w:type="paragraph" w:styleId="TOCHeading">
    <w:name w:val="TOC Heading"/>
    <w:basedOn w:val="Heading1"/>
    <w:next w:val="Normal"/>
    <w:autoRedefine/>
    <w:uiPriority w:val="39"/>
    <w:unhideWhenUsed/>
    <w:qFormat/>
    <w:rsid w:val="00FA32D4"/>
    <w:pPr>
      <w:spacing w:before="240" w:after="0" w:line="259" w:lineRule="auto"/>
      <w:outlineLvl w:val="9"/>
    </w:pPr>
    <w:rPr>
      <w:caps w:val="0"/>
      <w:sz w:val="36"/>
      <w:szCs w:val="32"/>
      <w:lang w:val="en-US" w:eastAsia="en-US"/>
    </w:rPr>
  </w:style>
  <w:style w:type="paragraph" w:styleId="TOC1">
    <w:name w:val="toc 1"/>
    <w:basedOn w:val="Normal"/>
    <w:next w:val="Normal"/>
    <w:autoRedefine/>
    <w:uiPriority w:val="39"/>
    <w:unhideWhenUsed/>
    <w:rsid w:val="00041058"/>
    <w:pPr>
      <w:spacing w:after="100"/>
    </w:pPr>
  </w:style>
  <w:style w:type="paragraph" w:styleId="TOC2">
    <w:name w:val="toc 2"/>
    <w:basedOn w:val="Normal"/>
    <w:next w:val="Normal"/>
    <w:autoRedefine/>
    <w:uiPriority w:val="39"/>
    <w:unhideWhenUsed/>
    <w:rsid w:val="00197CFE"/>
    <w:pPr>
      <w:spacing w:after="100"/>
      <w:ind w:left="220"/>
    </w:pPr>
  </w:style>
  <w:style w:type="paragraph" w:styleId="TOC3">
    <w:name w:val="toc 3"/>
    <w:basedOn w:val="Normal"/>
    <w:next w:val="Normal"/>
    <w:autoRedefine/>
    <w:uiPriority w:val="39"/>
    <w:unhideWhenUsed/>
    <w:rsid w:val="00DE430B"/>
    <w:pPr>
      <w:spacing w:after="100"/>
      <w:ind w:left="440"/>
    </w:pPr>
  </w:style>
  <w:style w:type="paragraph" w:styleId="FootnoteText">
    <w:name w:val="footnote text"/>
    <w:basedOn w:val="Normal"/>
    <w:link w:val="FootnoteTextChar"/>
    <w:uiPriority w:val="99"/>
    <w:semiHidden/>
    <w:unhideWhenUsed/>
    <w:rsid w:val="00C561BB"/>
    <w:pPr>
      <w:spacing w:before="0"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561BB"/>
    <w:rPr>
      <w:kern w:val="0"/>
      <w:sz w:val="20"/>
      <w:szCs w:val="20"/>
      <w14:ligatures w14:val="none"/>
    </w:rPr>
  </w:style>
  <w:style w:type="character" w:styleId="FootnoteReference">
    <w:name w:val="footnote reference"/>
    <w:basedOn w:val="DefaultParagraphFont"/>
    <w:uiPriority w:val="99"/>
    <w:semiHidden/>
    <w:unhideWhenUsed/>
    <w:rsid w:val="00C561BB"/>
    <w:rPr>
      <w:vertAlign w:val="superscript"/>
    </w:rPr>
  </w:style>
  <w:style w:type="paragraph" w:styleId="EndnoteText">
    <w:name w:val="endnote text"/>
    <w:basedOn w:val="Normal"/>
    <w:link w:val="EndnoteTextChar"/>
    <w:uiPriority w:val="99"/>
    <w:semiHidden/>
    <w:unhideWhenUsed/>
    <w:qFormat/>
    <w:rsid w:val="008C7AC8"/>
    <w:pPr>
      <w:spacing w:before="0" w:after="0"/>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8C7AC8"/>
    <w:rPr>
      <w:kern w:val="0"/>
      <w:sz w:val="20"/>
      <w:szCs w:val="20"/>
      <w14:ligatures w14:val="none"/>
    </w:rPr>
  </w:style>
  <w:style w:type="character" w:styleId="EndnoteReference">
    <w:name w:val="endnote reference"/>
    <w:aliases w:val="QUOTE"/>
    <w:basedOn w:val="DefaultParagraphFont"/>
    <w:uiPriority w:val="99"/>
    <w:semiHidden/>
    <w:unhideWhenUsed/>
    <w:qFormat/>
    <w:rsid w:val="008C7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act.gov.au/__data/assets/pdf_file/0005/2424542/Terms-of-Reference-Inquiry-into-unpaid-work.pdf" TargetMode="External"/><Relationship Id="rId18" Type="http://schemas.openxmlformats.org/officeDocument/2006/relationships/hyperlink" Target="https://wiyiyaniuthangani.humanrights.gov.au/sites/default/files/2023-03/ahrc_wyut_framework_2021_2-1.pdf"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iyiyaniuthangani.humanrights.gov.au/sites/default/files/2024-03/Caring%20about%20Care%20Report%202024.pdf" TargetMode="External"/><Relationship Id="rId7" Type="http://schemas.openxmlformats.org/officeDocument/2006/relationships/settings" Target="settings.xml"/><Relationship Id="rId12" Type="http://schemas.openxmlformats.org/officeDocument/2006/relationships/hyperlink" Target="https://www.parliament.act.gov.au/__data/assets/pdf_file/0005/2424542/Terms-of-Reference-Inquiry-into-unpaid-work.pdf" TargetMode="External"/><Relationship Id="rId17" Type="http://schemas.openxmlformats.org/officeDocument/2006/relationships/hyperlink" Target="https://wiyiyaniuthangani.humanrights.gov.au/sites/default/files/2023-03/ahrc_wiyi_yani_u_thangani_report_2020.pdf" TargetMode="External"/><Relationship Id="rId25" Type="http://schemas.openxmlformats.org/officeDocument/2006/relationships/diagramLayout" Target="diagrams/layou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yiyaniuthangani.humanrights.gov.au/sites/default/files/2024-03/Caring%20about%20Care%20Report%202024.pdf" TargetMode="External"/><Relationship Id="rId20" Type="http://schemas.openxmlformats.org/officeDocument/2006/relationships/hyperlink" Target="https://www.act.gov.au/__data/assets/pdf_file/0004/1498198/ACT-wellbeing-framework.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iyiyaniuthangani.humanrights.gov.au/sites/default/files/2023-03/ahrc_wyut_framework_2021_2-1.pdf"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iyiyaniuthangani.humanrights.gov.au/sites/default/files/2024-04/WYUT%20Change%20Agenda%202024%20%28FINAL%20DIGITAL%29.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diagramColors" Target="diagrams/colors1.xml"/><Relationship Id="rId30" Type="http://schemas.openxmlformats.org/officeDocument/2006/relationships/footer" Target="footer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berrystreet.org.au/uploads/main/Files/SVA-ResearchPaper-TheEconomicCaseForEarlyIntervention-2019.pdf" TargetMode="External"/><Relationship Id="rId13" Type="http://schemas.openxmlformats.org/officeDocument/2006/relationships/hyperlink" Target="https://www.sbs.com.au/nitv/article/why-are-aboriginal-communities-better-at-preventing-the-spread-of-coronavirus/ktkf05oub" TargetMode="External"/><Relationship Id="rId3" Type="http://schemas.openxmlformats.org/officeDocument/2006/relationships/hyperlink" Target="https://www.ohchr.org/en/good-governance/about-good-governance" TargetMode="External"/><Relationship Id="rId7" Type="http://schemas.openxmlformats.org/officeDocument/2006/relationships/hyperlink" Target="https://www.pc.gov.au/inquiries/completed/mental-health/report/mental-health.pdf" TargetMode="External"/><Relationship Id="rId12" Type="http://schemas.openxmlformats.org/officeDocument/2006/relationships/hyperlink" Target="https://www.snaicc.org.au/wp-content/uploads/2023/05/SNAICC-Stronger-ACCOs-Stronger-Families-report-2022.pdf" TargetMode="External"/><Relationship Id="rId2" Type="http://schemas.openxmlformats.org/officeDocument/2006/relationships/hyperlink" Target="https://www.ohchr.org/en/what-are-human-rights" TargetMode="External"/><Relationship Id="rId1" Type="http://schemas.openxmlformats.org/officeDocument/2006/relationships/hyperlink" Target="https://www.humanrights.dk/publications/human-rights-economic-growth" TargetMode="External"/><Relationship Id="rId6" Type="http://schemas.openxmlformats.org/officeDocument/2006/relationships/hyperlink" Target="https://www.familyisculture.nsw.gov.au/__data/assets/pdf_file/0011/726329/Family-Is-Culture-Review-Report.pdf" TargetMode="External"/><Relationship Id="rId11" Type="http://schemas.openxmlformats.org/officeDocument/2006/relationships/hyperlink" Target="https://www.aihw.gov.au/reports/australias-welfare/disability-support-for-indigenous-australians" TargetMode="External"/><Relationship Id="rId5" Type="http://schemas.openxmlformats.org/officeDocument/2006/relationships/hyperlink" Target="https://documents-dds-ny.un.org/doc/UNDOC/GEN/G22/323/90/PDF/G2232390.pdf?OpenElement" TargetMode="External"/><Relationship Id="rId15" Type="http://schemas.openxmlformats.org/officeDocument/2006/relationships/hyperlink" Target="https://www.snaicc.org.au/wp-content/uploads/2023/05/SNAICC-Stronger-ACCOs-Stronger-Families-report-2022.pdf" TargetMode="External"/><Relationship Id="rId10" Type="http://schemas.openxmlformats.org/officeDocument/2006/relationships/hyperlink" Target="https://www.dewr.gov.au/parentsnext/announcements/changes-parentsnext" TargetMode="External"/><Relationship Id="rId4" Type="http://schemas.openxmlformats.org/officeDocument/2006/relationships/hyperlink" Target="https://www.earlyyearscatalyst.org.au/wp-content/uploads/2022/08/EYC-Document-System-Mapping-Report-Aug-2022.pdf" TargetMode="External"/><Relationship Id="rId9" Type="http://schemas.openxmlformats.org/officeDocument/2006/relationships/hyperlink" Target="https://www.niaa.gov.au/indigenous-affairs/employment/remote-jobs" TargetMode="External"/><Relationship Id="rId14" Type="http://schemas.openxmlformats.org/officeDocument/2006/relationships/hyperlink" Target="https://eprints.qut.edu.au/115966/1/Gendered%20Indigenous%20Health%20and%20Wellbeing%20within%20the%20Australian%20Health%20System.%20A%20Review%20of%20the%20Literature.pdf%20%281%2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act.gov.au/__data/assets/pdf_file/0003/1483365/List_Our-Booris,-Our-Way-Final-Report.pdf" TargetMode="External"/><Relationship Id="rId2" Type="http://schemas.openxmlformats.org/officeDocument/2006/relationships/hyperlink" Target="https://www.humanrights.dk/publications/human-rights-economic-growth" TargetMode="External"/><Relationship Id="rId1" Type="http://schemas.openxmlformats.org/officeDocument/2006/relationships/hyperlink" Target="https://www.wgea.gov.au/sites/default/files/documents/australian-unpaid-care-work-and-the-labour-market.pdf" TargetMode="External"/><Relationship Id="rId4" Type="http://schemas.openxmlformats.org/officeDocument/2006/relationships/hyperlink" Target="https://www.parliament.act.gov.au/__data/assets/pdf_file/0003/1483365/List_Our-Booris,-Our-Way-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act!$B$2</c:f>
              <c:strCache>
                <c:ptCount val="1"/>
                <c:pt idx="0">
                  <c:v>Disability care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act!$A$3:$A$7</c:f>
              <c:strCache>
                <c:ptCount val="5"/>
                <c:pt idx="0">
                  <c:v>15-24 yrs</c:v>
                </c:pt>
                <c:pt idx="1">
                  <c:v>25-34 yrs</c:v>
                </c:pt>
                <c:pt idx="2">
                  <c:v>35-44 yrs</c:v>
                </c:pt>
                <c:pt idx="3">
                  <c:v>45-54 yrs</c:v>
                </c:pt>
                <c:pt idx="4">
                  <c:v>55-64 yrs</c:v>
                </c:pt>
              </c:strCache>
            </c:strRef>
          </c:cat>
          <c:val>
            <c:numRef>
              <c:f>act!$B$3:$B$7</c:f>
              <c:numCache>
                <c:formatCode>0.0%</c:formatCode>
                <c:ptCount val="5"/>
                <c:pt idx="0">
                  <c:v>0.10939226519337017</c:v>
                </c:pt>
                <c:pt idx="1">
                  <c:v>0.14572192513368984</c:v>
                </c:pt>
                <c:pt idx="2">
                  <c:v>0.26972477064220185</c:v>
                </c:pt>
                <c:pt idx="3">
                  <c:v>0.26713947990543735</c:v>
                </c:pt>
                <c:pt idx="4">
                  <c:v>0.3</c:v>
                </c:pt>
              </c:numCache>
            </c:numRef>
          </c:val>
          <c:extLst>
            <c:ext xmlns:c16="http://schemas.microsoft.com/office/drawing/2014/chart" uri="{C3380CC4-5D6E-409C-BE32-E72D297353CC}">
              <c16:uniqueId val="{00000000-4FD7-4DDB-809F-C861782825AD}"/>
            </c:ext>
          </c:extLst>
        </c:ser>
        <c:ser>
          <c:idx val="1"/>
          <c:order val="1"/>
          <c:tx>
            <c:strRef>
              <c:f>act!$C$2</c:f>
              <c:strCache>
                <c:ptCount val="1"/>
                <c:pt idx="0">
                  <c:v>Child care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act!$A$3:$A$7</c:f>
              <c:strCache>
                <c:ptCount val="5"/>
                <c:pt idx="0">
                  <c:v>15-24 yrs</c:v>
                </c:pt>
                <c:pt idx="1">
                  <c:v>25-34 yrs</c:v>
                </c:pt>
                <c:pt idx="2">
                  <c:v>35-44 yrs</c:v>
                </c:pt>
                <c:pt idx="3">
                  <c:v>45-54 yrs</c:v>
                </c:pt>
                <c:pt idx="4">
                  <c:v>55-64 yrs</c:v>
                </c:pt>
              </c:strCache>
            </c:strRef>
          </c:cat>
          <c:val>
            <c:numRef>
              <c:f>act!$C$3:$C$7</c:f>
              <c:numCache>
                <c:formatCode>0.0%</c:formatCode>
                <c:ptCount val="5"/>
                <c:pt idx="0">
                  <c:v>0.17458563535911603</c:v>
                </c:pt>
                <c:pt idx="1">
                  <c:v>0.40824468085106386</c:v>
                </c:pt>
                <c:pt idx="2">
                  <c:v>0.59890109890109888</c:v>
                </c:pt>
                <c:pt idx="3">
                  <c:v>0.3623529411764706</c:v>
                </c:pt>
                <c:pt idx="4">
                  <c:v>0.29292929292929293</c:v>
                </c:pt>
              </c:numCache>
            </c:numRef>
          </c:val>
          <c:extLst>
            <c:ext xmlns:c16="http://schemas.microsoft.com/office/drawing/2014/chart" uri="{C3380CC4-5D6E-409C-BE32-E72D297353CC}">
              <c16:uniqueId val="{00000001-4FD7-4DDB-809F-C861782825AD}"/>
            </c:ext>
          </c:extLst>
        </c:ser>
        <c:ser>
          <c:idx val="2"/>
          <c:order val="2"/>
          <c:tx>
            <c:strRef>
              <c:f>act!$D$2</c:f>
              <c:strCache>
                <c:ptCount val="1"/>
                <c:pt idx="0">
                  <c:v>Domestic work</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act!$A$3:$A$7</c:f>
              <c:strCache>
                <c:ptCount val="5"/>
                <c:pt idx="0">
                  <c:v>15-24 yrs</c:v>
                </c:pt>
                <c:pt idx="1">
                  <c:v>25-34 yrs</c:v>
                </c:pt>
                <c:pt idx="2">
                  <c:v>35-44 yrs</c:v>
                </c:pt>
                <c:pt idx="3">
                  <c:v>45-54 yrs</c:v>
                </c:pt>
                <c:pt idx="4">
                  <c:v>55-64 yrs</c:v>
                </c:pt>
              </c:strCache>
            </c:strRef>
          </c:cat>
          <c:val>
            <c:numRef>
              <c:f>act!$D$3:$D$7</c:f>
              <c:numCache>
                <c:formatCode>0.0%</c:formatCode>
                <c:ptCount val="5"/>
                <c:pt idx="0">
                  <c:v>7.3707370737073702E-2</c:v>
                </c:pt>
                <c:pt idx="1">
                  <c:v>0.25331564986737398</c:v>
                </c:pt>
                <c:pt idx="2">
                  <c:v>0.33211009174311928</c:v>
                </c:pt>
                <c:pt idx="3">
                  <c:v>0.2635294117647059</c:v>
                </c:pt>
                <c:pt idx="4">
                  <c:v>0.36486486486486486</c:v>
                </c:pt>
              </c:numCache>
            </c:numRef>
          </c:val>
          <c:extLst>
            <c:ext xmlns:c16="http://schemas.microsoft.com/office/drawing/2014/chart" uri="{C3380CC4-5D6E-409C-BE32-E72D297353CC}">
              <c16:uniqueId val="{00000002-4FD7-4DDB-809F-C861782825AD}"/>
            </c:ext>
          </c:extLst>
        </c:ser>
        <c:ser>
          <c:idx val="3"/>
          <c:order val="3"/>
          <c:tx>
            <c:strRef>
              <c:f>act!$E$2</c:f>
              <c:strCache>
                <c:ptCount val="1"/>
                <c:pt idx="0">
                  <c:v>Voluntary work</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act!$A$3:$A$7</c:f>
              <c:strCache>
                <c:ptCount val="5"/>
                <c:pt idx="0">
                  <c:v>15-24 yrs</c:v>
                </c:pt>
                <c:pt idx="1">
                  <c:v>25-34 yrs</c:v>
                </c:pt>
                <c:pt idx="2">
                  <c:v>35-44 yrs</c:v>
                </c:pt>
                <c:pt idx="3">
                  <c:v>45-54 yrs</c:v>
                </c:pt>
                <c:pt idx="4">
                  <c:v>55-64 yrs</c:v>
                </c:pt>
              </c:strCache>
            </c:strRef>
          </c:cat>
          <c:val>
            <c:numRef>
              <c:f>act!$E$3:$E$7</c:f>
              <c:numCache>
                <c:formatCode>0.0%</c:formatCode>
                <c:ptCount val="5"/>
                <c:pt idx="0">
                  <c:v>0.13861386138613863</c:v>
                </c:pt>
                <c:pt idx="1">
                  <c:v>0.14134742404227213</c:v>
                </c:pt>
                <c:pt idx="2">
                  <c:v>0.21978021978021978</c:v>
                </c:pt>
                <c:pt idx="3">
                  <c:v>0.2014218009478673</c:v>
                </c:pt>
                <c:pt idx="4">
                  <c:v>0.16666666666666666</c:v>
                </c:pt>
              </c:numCache>
            </c:numRef>
          </c:val>
          <c:extLst>
            <c:ext xmlns:c16="http://schemas.microsoft.com/office/drawing/2014/chart" uri="{C3380CC4-5D6E-409C-BE32-E72D297353CC}">
              <c16:uniqueId val="{00000003-4FD7-4DDB-809F-C861782825AD}"/>
            </c:ext>
          </c:extLst>
        </c:ser>
        <c:dLbls>
          <c:dLblPos val="outEnd"/>
          <c:showLegendKey val="0"/>
          <c:showVal val="1"/>
          <c:showCatName val="0"/>
          <c:showSerName val="0"/>
          <c:showPercent val="0"/>
          <c:showBubbleSize val="0"/>
        </c:dLbls>
        <c:gapWidth val="444"/>
        <c:overlap val="-90"/>
        <c:axId val="436723512"/>
        <c:axId val="436724168"/>
      </c:barChart>
      <c:catAx>
        <c:axId val="436723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36724168"/>
        <c:crosses val="autoZero"/>
        <c:auto val="1"/>
        <c:lblAlgn val="ctr"/>
        <c:lblOffset val="100"/>
        <c:noMultiLvlLbl val="0"/>
      </c:catAx>
      <c:valAx>
        <c:axId val="436724168"/>
        <c:scaling>
          <c:orientation val="minMax"/>
        </c:scaling>
        <c:delete val="1"/>
        <c:axPos val="l"/>
        <c:numFmt formatCode="0.0%" sourceLinked="1"/>
        <c:majorTickMark val="none"/>
        <c:minorTickMark val="none"/>
        <c:tickLblPos val="nextTo"/>
        <c:crossAx val="436723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735575-365D-4CA2-B9FF-478CE42DA20E}"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5A5E1E3F-9B54-4192-B9DA-2DDB0EB0638B}">
      <dgm:prSet phldrT="[Tex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Intergenerational trauma, crisis response</a:t>
          </a:r>
        </a:p>
      </dgm:t>
    </dgm:pt>
    <dgm:pt modelId="{8750989C-89CF-43F0-B7EC-8EBD25F58792}" type="parTrans" cxnId="{A2621D86-0DFF-4A3B-BC2E-353C0657C3BC}">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CB15FB04-2739-4600-859A-CD88E553E0E1}" type="sibTrans" cxnId="{A2621D86-0DFF-4A3B-BC2E-353C0657C3BC}">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19A8BCD1-A519-4EF0-B894-CE8D04815CBC}">
      <dgm:prSet phldrT="[Tex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Lack of investment in a proactive and preventative child thriving [protection] environment</a:t>
          </a:r>
        </a:p>
      </dgm:t>
    </dgm:pt>
    <dgm:pt modelId="{41463ACC-0DC4-4633-A5C6-37792C7FEBD1}" type="parTrans" cxnId="{88133E45-F1EB-41D1-948C-F940F7730B9B}">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03004A21-31F0-4543-B8C4-3159F9ACF8F0}" type="sibTrans" cxnId="{88133E45-F1EB-41D1-948C-F940F7730B9B}">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80A7B91F-9D5B-40DA-AAF8-03B6887052AC}">
      <dgm:prSet phldrT="[Tex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Too high a proportion of individual children put in out of come care</a:t>
          </a:r>
        </a:p>
      </dgm:t>
    </dgm:pt>
    <dgm:pt modelId="{FF6AABFD-9590-4A1F-9890-7F6198CC4F44}" type="parTrans" cxnId="{F11285F2-DAD5-4626-835F-4796D1A0DC40}">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C62B7DEE-B4FB-4E43-B233-D5D828A84E77}" type="sibTrans" cxnId="{F11285F2-DAD5-4626-835F-4796D1A0DC40}">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7E8DF4E1-B611-439A-B950-D95B558214ED}">
      <dgm:prSet phldrT="[Tex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Perpetuates ongoing intergenerational disadvantage and discrimination</a:t>
          </a:r>
        </a:p>
      </dgm:t>
    </dgm:pt>
    <dgm:pt modelId="{DB886067-0C78-49E4-87D5-0F383D401D99}" type="parTrans" cxnId="{6ACCBF91-4FC6-4CA4-9ADA-AB75FF7B82ED}">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B4966175-B0ED-40BE-81CD-B0FEF216D41C}" type="sibTrans" cxnId="{6ACCBF91-4FC6-4CA4-9ADA-AB75FF7B82ED}">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3EF9064E-6254-4B0D-A012-9852CB3DD6DC}">
      <dgm:prSet phldrT="[Tex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Community and family disempowerment</a:t>
          </a:r>
        </a:p>
      </dgm:t>
    </dgm:pt>
    <dgm:pt modelId="{B33B9703-F4E2-4395-AABA-799B30446EEF}" type="parTrans" cxnId="{C76DF823-104F-4587-9E64-9DB80C705CF4}">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A4E18126-2F18-4CF9-AAF1-8815EF44277B}" type="sibTrans" cxnId="{C76DF823-104F-4587-9E64-9DB80C705CF4}">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DD5B66F6-AB4A-44FF-B88E-929CBF8FD578}">
      <dgm:prSet custT="1"/>
      <dgm:spPr/>
      <dgm:t>
        <a:bodyPr/>
        <a:lstStyle/>
        <a:p>
          <a:r>
            <a:rPr lang="en-AU" sz="900">
              <a:latin typeface="Open Sans" panose="020B0606030504020204" pitchFamily="34" charset="0"/>
              <a:ea typeface="Open Sans" panose="020B0606030504020204" pitchFamily="34" charset="0"/>
              <a:cs typeface="Open Sans" panose="020B0606030504020204" pitchFamily="34" charset="0"/>
            </a:rPr>
            <a:t>Lack of access to cultural resources</a:t>
          </a:r>
        </a:p>
      </dgm:t>
    </dgm:pt>
    <dgm:pt modelId="{752155A8-E3E7-4825-B9B1-FF4952AA9282}" type="parTrans" cxnId="{264540B4-2AE4-47ED-B12C-8F493864C1D4}">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EEFF5B1F-A39E-4137-BF65-AE2F867D0DD0}" type="sibTrans" cxnId="{264540B4-2AE4-47ED-B12C-8F493864C1D4}">
      <dgm:prSet/>
      <dgm:spPr/>
      <dgm:t>
        <a:bodyPr/>
        <a:lstStyle/>
        <a:p>
          <a:endParaRPr lang="en-AU" sz="900">
            <a:latin typeface="Open Sans" panose="020B0606030504020204" pitchFamily="34" charset="0"/>
            <a:ea typeface="Open Sans" panose="020B0606030504020204" pitchFamily="34" charset="0"/>
            <a:cs typeface="Open Sans" panose="020B0606030504020204" pitchFamily="34" charset="0"/>
          </a:endParaRPr>
        </a:p>
      </dgm:t>
    </dgm:pt>
    <dgm:pt modelId="{2691F9D0-4F1E-4B8C-911A-8429D7EA5D9C}" type="pres">
      <dgm:prSet presAssocID="{C6735575-365D-4CA2-B9FF-478CE42DA20E}" presName="cycle" presStyleCnt="0">
        <dgm:presLayoutVars>
          <dgm:dir/>
          <dgm:resizeHandles val="exact"/>
        </dgm:presLayoutVars>
      </dgm:prSet>
      <dgm:spPr/>
    </dgm:pt>
    <dgm:pt modelId="{12146F58-FEAA-4812-9173-5310D79EC3C8}" type="pres">
      <dgm:prSet presAssocID="{5A5E1E3F-9B54-4192-B9DA-2DDB0EB0638B}" presName="node" presStyleLbl="node1" presStyleIdx="0" presStyleCnt="6" custScaleX="106920">
        <dgm:presLayoutVars>
          <dgm:bulletEnabled val="1"/>
        </dgm:presLayoutVars>
      </dgm:prSet>
      <dgm:spPr/>
    </dgm:pt>
    <dgm:pt modelId="{DD61AEF1-4756-4971-98E3-BF166B8CA931}" type="pres">
      <dgm:prSet presAssocID="{5A5E1E3F-9B54-4192-B9DA-2DDB0EB0638B}" presName="spNode" presStyleCnt="0"/>
      <dgm:spPr/>
    </dgm:pt>
    <dgm:pt modelId="{1021931C-C0B7-4864-8CE0-17B693E912D9}" type="pres">
      <dgm:prSet presAssocID="{CB15FB04-2739-4600-859A-CD88E553E0E1}" presName="sibTrans" presStyleLbl="sibTrans1D1" presStyleIdx="0" presStyleCnt="6"/>
      <dgm:spPr/>
    </dgm:pt>
    <dgm:pt modelId="{88D6419F-244B-4E54-A0B6-7E186101A356}" type="pres">
      <dgm:prSet presAssocID="{19A8BCD1-A519-4EF0-B894-CE8D04815CBC}" presName="node" presStyleLbl="node1" presStyleIdx="1" presStyleCnt="6" custScaleX="158518">
        <dgm:presLayoutVars>
          <dgm:bulletEnabled val="1"/>
        </dgm:presLayoutVars>
      </dgm:prSet>
      <dgm:spPr/>
    </dgm:pt>
    <dgm:pt modelId="{CC27CA44-E4AE-4342-9BA3-802A7571B955}" type="pres">
      <dgm:prSet presAssocID="{19A8BCD1-A519-4EF0-B894-CE8D04815CBC}" presName="spNode" presStyleCnt="0"/>
      <dgm:spPr/>
    </dgm:pt>
    <dgm:pt modelId="{2958FD15-BA10-40A7-9386-3047F646B2C5}" type="pres">
      <dgm:prSet presAssocID="{03004A21-31F0-4543-B8C4-3159F9ACF8F0}" presName="sibTrans" presStyleLbl="sibTrans1D1" presStyleIdx="1" presStyleCnt="6"/>
      <dgm:spPr/>
    </dgm:pt>
    <dgm:pt modelId="{C6C51F4C-9DF4-46EB-AE4E-9650F37084CD}" type="pres">
      <dgm:prSet presAssocID="{80A7B91F-9D5B-40DA-AAF8-03B6887052AC}" presName="node" presStyleLbl="node1" presStyleIdx="2" presStyleCnt="6" custScaleX="143811">
        <dgm:presLayoutVars>
          <dgm:bulletEnabled val="1"/>
        </dgm:presLayoutVars>
      </dgm:prSet>
      <dgm:spPr/>
    </dgm:pt>
    <dgm:pt modelId="{347565AF-E8B9-4F3D-9F5A-74B1A45E08D5}" type="pres">
      <dgm:prSet presAssocID="{80A7B91F-9D5B-40DA-AAF8-03B6887052AC}" presName="spNode" presStyleCnt="0"/>
      <dgm:spPr/>
    </dgm:pt>
    <dgm:pt modelId="{C68FB373-5DC9-4527-8DB8-AE30827ADCAA}" type="pres">
      <dgm:prSet presAssocID="{C62B7DEE-B4FB-4E43-B233-D5D828A84E77}" presName="sibTrans" presStyleLbl="sibTrans1D1" presStyleIdx="2" presStyleCnt="6"/>
      <dgm:spPr/>
    </dgm:pt>
    <dgm:pt modelId="{2BE76B45-46E9-4447-8701-CAEFBB9728AB}" type="pres">
      <dgm:prSet presAssocID="{7E8DF4E1-B611-439A-B950-D95B558214ED}" presName="node" presStyleLbl="node1" presStyleIdx="3" presStyleCnt="6" custScaleX="120653">
        <dgm:presLayoutVars>
          <dgm:bulletEnabled val="1"/>
        </dgm:presLayoutVars>
      </dgm:prSet>
      <dgm:spPr/>
    </dgm:pt>
    <dgm:pt modelId="{9DD8E46C-4F2C-4CC2-981C-C218130128CB}" type="pres">
      <dgm:prSet presAssocID="{7E8DF4E1-B611-439A-B950-D95B558214ED}" presName="spNode" presStyleCnt="0"/>
      <dgm:spPr/>
    </dgm:pt>
    <dgm:pt modelId="{BCCAF5DF-837E-4951-8F31-939BB37DA7FB}" type="pres">
      <dgm:prSet presAssocID="{B4966175-B0ED-40BE-81CD-B0FEF216D41C}" presName="sibTrans" presStyleLbl="sibTrans1D1" presStyleIdx="3" presStyleCnt="6"/>
      <dgm:spPr/>
    </dgm:pt>
    <dgm:pt modelId="{1131EEE1-14ED-456D-AB6A-4E357C35F674}" type="pres">
      <dgm:prSet presAssocID="{3EF9064E-6254-4B0D-A012-9852CB3DD6DC}" presName="node" presStyleLbl="node1" presStyleIdx="4" presStyleCnt="6" custScaleX="142293">
        <dgm:presLayoutVars>
          <dgm:bulletEnabled val="1"/>
        </dgm:presLayoutVars>
      </dgm:prSet>
      <dgm:spPr/>
    </dgm:pt>
    <dgm:pt modelId="{9B9CDB44-A3D3-4FE7-8B2A-69DECF00D93A}" type="pres">
      <dgm:prSet presAssocID="{3EF9064E-6254-4B0D-A012-9852CB3DD6DC}" presName="spNode" presStyleCnt="0"/>
      <dgm:spPr/>
    </dgm:pt>
    <dgm:pt modelId="{9903A080-9EC7-4BDA-9AED-607801A69133}" type="pres">
      <dgm:prSet presAssocID="{A4E18126-2F18-4CF9-AAF1-8815EF44277B}" presName="sibTrans" presStyleLbl="sibTrans1D1" presStyleIdx="4" presStyleCnt="6"/>
      <dgm:spPr/>
    </dgm:pt>
    <dgm:pt modelId="{C6595CF0-7C8B-41CE-9BCB-275165A26B32}" type="pres">
      <dgm:prSet presAssocID="{DD5B66F6-AB4A-44FF-B88E-929CBF8FD578}" presName="node" presStyleLbl="node1" presStyleIdx="5" presStyleCnt="6" custScaleX="135637">
        <dgm:presLayoutVars>
          <dgm:bulletEnabled val="1"/>
        </dgm:presLayoutVars>
      </dgm:prSet>
      <dgm:spPr/>
    </dgm:pt>
    <dgm:pt modelId="{0A49E063-8E7B-4224-B4DE-A149A3058419}" type="pres">
      <dgm:prSet presAssocID="{DD5B66F6-AB4A-44FF-B88E-929CBF8FD578}" presName="spNode" presStyleCnt="0"/>
      <dgm:spPr/>
    </dgm:pt>
    <dgm:pt modelId="{A13B2BC9-277A-4FA2-8BAF-C37A20CCEDC4}" type="pres">
      <dgm:prSet presAssocID="{EEFF5B1F-A39E-4137-BF65-AE2F867D0DD0}" presName="sibTrans" presStyleLbl="sibTrans1D1" presStyleIdx="5" presStyleCnt="6"/>
      <dgm:spPr/>
    </dgm:pt>
  </dgm:ptLst>
  <dgm:cxnLst>
    <dgm:cxn modelId="{11E77F13-E8C6-44A8-AE1E-7B41B7C8FFCA}" type="presOf" srcId="{7E8DF4E1-B611-439A-B950-D95B558214ED}" destId="{2BE76B45-46E9-4447-8701-CAEFBB9728AB}" srcOrd="0" destOrd="0" presId="urn:microsoft.com/office/officeart/2005/8/layout/cycle5"/>
    <dgm:cxn modelId="{4E5A2123-44DA-4D22-8D50-0F2AE12DC093}" type="presOf" srcId="{C6735575-365D-4CA2-B9FF-478CE42DA20E}" destId="{2691F9D0-4F1E-4B8C-911A-8429D7EA5D9C}" srcOrd="0" destOrd="0" presId="urn:microsoft.com/office/officeart/2005/8/layout/cycle5"/>
    <dgm:cxn modelId="{C76DF823-104F-4587-9E64-9DB80C705CF4}" srcId="{C6735575-365D-4CA2-B9FF-478CE42DA20E}" destId="{3EF9064E-6254-4B0D-A012-9852CB3DD6DC}" srcOrd="4" destOrd="0" parTransId="{B33B9703-F4E2-4395-AABA-799B30446EEF}" sibTransId="{A4E18126-2F18-4CF9-AAF1-8815EF44277B}"/>
    <dgm:cxn modelId="{487EE324-0131-4F31-B0A2-E3AB90829CC3}" type="presOf" srcId="{EEFF5B1F-A39E-4137-BF65-AE2F867D0DD0}" destId="{A13B2BC9-277A-4FA2-8BAF-C37A20CCEDC4}" srcOrd="0" destOrd="0" presId="urn:microsoft.com/office/officeart/2005/8/layout/cycle5"/>
    <dgm:cxn modelId="{88133E45-F1EB-41D1-948C-F940F7730B9B}" srcId="{C6735575-365D-4CA2-B9FF-478CE42DA20E}" destId="{19A8BCD1-A519-4EF0-B894-CE8D04815CBC}" srcOrd="1" destOrd="0" parTransId="{41463ACC-0DC4-4633-A5C6-37792C7FEBD1}" sibTransId="{03004A21-31F0-4543-B8C4-3159F9ACF8F0}"/>
    <dgm:cxn modelId="{4FAB5154-1F84-4F82-8F97-F4659DD37700}" type="presOf" srcId="{03004A21-31F0-4543-B8C4-3159F9ACF8F0}" destId="{2958FD15-BA10-40A7-9386-3047F646B2C5}" srcOrd="0" destOrd="0" presId="urn:microsoft.com/office/officeart/2005/8/layout/cycle5"/>
    <dgm:cxn modelId="{F97C8C74-C6C8-4B8C-8F1D-F5A3CF7727BC}" type="presOf" srcId="{5A5E1E3F-9B54-4192-B9DA-2DDB0EB0638B}" destId="{12146F58-FEAA-4812-9173-5310D79EC3C8}" srcOrd="0" destOrd="0" presId="urn:microsoft.com/office/officeart/2005/8/layout/cycle5"/>
    <dgm:cxn modelId="{9300B97C-3A3A-4704-8C2B-B03BE93E0222}" type="presOf" srcId="{80A7B91F-9D5B-40DA-AAF8-03B6887052AC}" destId="{C6C51F4C-9DF4-46EB-AE4E-9650F37084CD}" srcOrd="0" destOrd="0" presId="urn:microsoft.com/office/officeart/2005/8/layout/cycle5"/>
    <dgm:cxn modelId="{F5459E7E-A22F-40B5-A272-CCCFF2E7560D}" type="presOf" srcId="{19A8BCD1-A519-4EF0-B894-CE8D04815CBC}" destId="{88D6419F-244B-4E54-A0B6-7E186101A356}" srcOrd="0" destOrd="0" presId="urn:microsoft.com/office/officeart/2005/8/layout/cycle5"/>
    <dgm:cxn modelId="{A2621D86-0DFF-4A3B-BC2E-353C0657C3BC}" srcId="{C6735575-365D-4CA2-B9FF-478CE42DA20E}" destId="{5A5E1E3F-9B54-4192-B9DA-2DDB0EB0638B}" srcOrd="0" destOrd="0" parTransId="{8750989C-89CF-43F0-B7EC-8EBD25F58792}" sibTransId="{CB15FB04-2739-4600-859A-CD88E553E0E1}"/>
    <dgm:cxn modelId="{6ACCBF91-4FC6-4CA4-9ADA-AB75FF7B82ED}" srcId="{C6735575-365D-4CA2-B9FF-478CE42DA20E}" destId="{7E8DF4E1-B611-439A-B950-D95B558214ED}" srcOrd="3" destOrd="0" parTransId="{DB886067-0C78-49E4-87D5-0F383D401D99}" sibTransId="{B4966175-B0ED-40BE-81CD-B0FEF216D41C}"/>
    <dgm:cxn modelId="{264540B4-2AE4-47ED-B12C-8F493864C1D4}" srcId="{C6735575-365D-4CA2-B9FF-478CE42DA20E}" destId="{DD5B66F6-AB4A-44FF-B88E-929CBF8FD578}" srcOrd="5" destOrd="0" parTransId="{752155A8-E3E7-4825-B9B1-FF4952AA9282}" sibTransId="{EEFF5B1F-A39E-4137-BF65-AE2F867D0DD0}"/>
    <dgm:cxn modelId="{4A117FB6-A822-4E5F-80EB-9BD8ADA39D94}" type="presOf" srcId="{B4966175-B0ED-40BE-81CD-B0FEF216D41C}" destId="{BCCAF5DF-837E-4951-8F31-939BB37DA7FB}" srcOrd="0" destOrd="0" presId="urn:microsoft.com/office/officeart/2005/8/layout/cycle5"/>
    <dgm:cxn modelId="{C48E2CBC-01E4-428F-9907-9CD08209EB07}" type="presOf" srcId="{DD5B66F6-AB4A-44FF-B88E-929CBF8FD578}" destId="{C6595CF0-7C8B-41CE-9BCB-275165A26B32}" srcOrd="0" destOrd="0" presId="urn:microsoft.com/office/officeart/2005/8/layout/cycle5"/>
    <dgm:cxn modelId="{6B8439CB-EF96-4805-8476-BA3A7F81569A}" type="presOf" srcId="{A4E18126-2F18-4CF9-AAF1-8815EF44277B}" destId="{9903A080-9EC7-4BDA-9AED-607801A69133}" srcOrd="0" destOrd="0" presId="urn:microsoft.com/office/officeart/2005/8/layout/cycle5"/>
    <dgm:cxn modelId="{8B80A3D7-1358-47B5-82E8-74776595907C}" type="presOf" srcId="{CB15FB04-2739-4600-859A-CD88E553E0E1}" destId="{1021931C-C0B7-4864-8CE0-17B693E912D9}" srcOrd="0" destOrd="0" presId="urn:microsoft.com/office/officeart/2005/8/layout/cycle5"/>
    <dgm:cxn modelId="{129D80E5-0046-4CF4-B54D-702FE34F8622}" type="presOf" srcId="{C62B7DEE-B4FB-4E43-B233-D5D828A84E77}" destId="{C68FB373-5DC9-4527-8DB8-AE30827ADCAA}" srcOrd="0" destOrd="0" presId="urn:microsoft.com/office/officeart/2005/8/layout/cycle5"/>
    <dgm:cxn modelId="{F11285F2-DAD5-4626-835F-4796D1A0DC40}" srcId="{C6735575-365D-4CA2-B9FF-478CE42DA20E}" destId="{80A7B91F-9D5B-40DA-AAF8-03B6887052AC}" srcOrd="2" destOrd="0" parTransId="{FF6AABFD-9590-4A1F-9890-7F6198CC4F44}" sibTransId="{C62B7DEE-B4FB-4E43-B233-D5D828A84E77}"/>
    <dgm:cxn modelId="{C3015DF9-B470-4394-8CAE-04F9041120C5}" type="presOf" srcId="{3EF9064E-6254-4B0D-A012-9852CB3DD6DC}" destId="{1131EEE1-14ED-456D-AB6A-4E357C35F674}" srcOrd="0" destOrd="0" presId="urn:microsoft.com/office/officeart/2005/8/layout/cycle5"/>
    <dgm:cxn modelId="{0CA86FDE-ACA3-440E-9CCA-77E01DDB01A1}" type="presParOf" srcId="{2691F9D0-4F1E-4B8C-911A-8429D7EA5D9C}" destId="{12146F58-FEAA-4812-9173-5310D79EC3C8}" srcOrd="0" destOrd="0" presId="urn:microsoft.com/office/officeart/2005/8/layout/cycle5"/>
    <dgm:cxn modelId="{4088432D-AE03-4433-9260-E4BD4290CAC8}" type="presParOf" srcId="{2691F9D0-4F1E-4B8C-911A-8429D7EA5D9C}" destId="{DD61AEF1-4756-4971-98E3-BF166B8CA931}" srcOrd="1" destOrd="0" presId="urn:microsoft.com/office/officeart/2005/8/layout/cycle5"/>
    <dgm:cxn modelId="{A1210F9D-D310-4F6E-977D-53E08FA77A0D}" type="presParOf" srcId="{2691F9D0-4F1E-4B8C-911A-8429D7EA5D9C}" destId="{1021931C-C0B7-4864-8CE0-17B693E912D9}" srcOrd="2" destOrd="0" presId="urn:microsoft.com/office/officeart/2005/8/layout/cycle5"/>
    <dgm:cxn modelId="{DF04CBBE-0FCC-49D5-A065-B5D7BB4A5CED}" type="presParOf" srcId="{2691F9D0-4F1E-4B8C-911A-8429D7EA5D9C}" destId="{88D6419F-244B-4E54-A0B6-7E186101A356}" srcOrd="3" destOrd="0" presId="urn:microsoft.com/office/officeart/2005/8/layout/cycle5"/>
    <dgm:cxn modelId="{3E26BFFD-E59D-42E0-905D-3149D61FE6F5}" type="presParOf" srcId="{2691F9D0-4F1E-4B8C-911A-8429D7EA5D9C}" destId="{CC27CA44-E4AE-4342-9BA3-802A7571B955}" srcOrd="4" destOrd="0" presId="urn:microsoft.com/office/officeart/2005/8/layout/cycle5"/>
    <dgm:cxn modelId="{F56D2A25-C325-4DF6-8AF2-6EFD99437FBF}" type="presParOf" srcId="{2691F9D0-4F1E-4B8C-911A-8429D7EA5D9C}" destId="{2958FD15-BA10-40A7-9386-3047F646B2C5}" srcOrd="5" destOrd="0" presId="urn:microsoft.com/office/officeart/2005/8/layout/cycle5"/>
    <dgm:cxn modelId="{6FC8DE27-43F7-4784-B448-7BA20599B477}" type="presParOf" srcId="{2691F9D0-4F1E-4B8C-911A-8429D7EA5D9C}" destId="{C6C51F4C-9DF4-46EB-AE4E-9650F37084CD}" srcOrd="6" destOrd="0" presId="urn:microsoft.com/office/officeart/2005/8/layout/cycle5"/>
    <dgm:cxn modelId="{8ED11A1B-B4F6-4006-A337-C4A19A50E93E}" type="presParOf" srcId="{2691F9D0-4F1E-4B8C-911A-8429D7EA5D9C}" destId="{347565AF-E8B9-4F3D-9F5A-74B1A45E08D5}" srcOrd="7" destOrd="0" presId="urn:microsoft.com/office/officeart/2005/8/layout/cycle5"/>
    <dgm:cxn modelId="{A25F6979-3029-43DA-ABA2-EAF9C8B79D62}" type="presParOf" srcId="{2691F9D0-4F1E-4B8C-911A-8429D7EA5D9C}" destId="{C68FB373-5DC9-4527-8DB8-AE30827ADCAA}" srcOrd="8" destOrd="0" presId="urn:microsoft.com/office/officeart/2005/8/layout/cycle5"/>
    <dgm:cxn modelId="{8096233E-27CA-409B-A3AE-15ACD74552A2}" type="presParOf" srcId="{2691F9D0-4F1E-4B8C-911A-8429D7EA5D9C}" destId="{2BE76B45-46E9-4447-8701-CAEFBB9728AB}" srcOrd="9" destOrd="0" presId="urn:microsoft.com/office/officeart/2005/8/layout/cycle5"/>
    <dgm:cxn modelId="{C49FF441-09D9-40DB-A6FE-8DF5A87BF9AB}" type="presParOf" srcId="{2691F9D0-4F1E-4B8C-911A-8429D7EA5D9C}" destId="{9DD8E46C-4F2C-4CC2-981C-C218130128CB}" srcOrd="10" destOrd="0" presId="urn:microsoft.com/office/officeart/2005/8/layout/cycle5"/>
    <dgm:cxn modelId="{D09083A6-AED4-41E3-8432-A2F1C3F77DD4}" type="presParOf" srcId="{2691F9D0-4F1E-4B8C-911A-8429D7EA5D9C}" destId="{BCCAF5DF-837E-4951-8F31-939BB37DA7FB}" srcOrd="11" destOrd="0" presId="urn:microsoft.com/office/officeart/2005/8/layout/cycle5"/>
    <dgm:cxn modelId="{FA049D64-F801-46BD-8576-1135D8F6CF2B}" type="presParOf" srcId="{2691F9D0-4F1E-4B8C-911A-8429D7EA5D9C}" destId="{1131EEE1-14ED-456D-AB6A-4E357C35F674}" srcOrd="12" destOrd="0" presId="urn:microsoft.com/office/officeart/2005/8/layout/cycle5"/>
    <dgm:cxn modelId="{057307C4-51AF-4076-8090-BBF86A1295A9}" type="presParOf" srcId="{2691F9D0-4F1E-4B8C-911A-8429D7EA5D9C}" destId="{9B9CDB44-A3D3-4FE7-8B2A-69DECF00D93A}" srcOrd="13" destOrd="0" presId="urn:microsoft.com/office/officeart/2005/8/layout/cycle5"/>
    <dgm:cxn modelId="{B57E9FC3-6244-47B1-A506-55B7A3444360}" type="presParOf" srcId="{2691F9D0-4F1E-4B8C-911A-8429D7EA5D9C}" destId="{9903A080-9EC7-4BDA-9AED-607801A69133}" srcOrd="14" destOrd="0" presId="urn:microsoft.com/office/officeart/2005/8/layout/cycle5"/>
    <dgm:cxn modelId="{9B020EF6-7B22-400C-BA71-9DE98230CB5A}" type="presParOf" srcId="{2691F9D0-4F1E-4B8C-911A-8429D7EA5D9C}" destId="{C6595CF0-7C8B-41CE-9BCB-275165A26B32}" srcOrd="15" destOrd="0" presId="urn:microsoft.com/office/officeart/2005/8/layout/cycle5"/>
    <dgm:cxn modelId="{B0B8C6F4-9729-4718-ABBD-B5B4157B489A}" type="presParOf" srcId="{2691F9D0-4F1E-4B8C-911A-8429D7EA5D9C}" destId="{0A49E063-8E7B-4224-B4DE-A149A3058419}" srcOrd="16" destOrd="0" presId="urn:microsoft.com/office/officeart/2005/8/layout/cycle5"/>
    <dgm:cxn modelId="{32F30838-C511-49E4-AD93-CA32E7AA9C19}" type="presParOf" srcId="{2691F9D0-4F1E-4B8C-911A-8429D7EA5D9C}" destId="{A13B2BC9-277A-4FA2-8BAF-C37A20CCEDC4}" srcOrd="17" destOrd="0" presId="urn:microsoft.com/office/officeart/2005/8/layout/cycle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146F58-FEAA-4812-9173-5310D79EC3C8}">
      <dsp:nvSpPr>
        <dsp:cNvPr id="0" name=""/>
        <dsp:cNvSpPr/>
      </dsp:nvSpPr>
      <dsp:spPr>
        <a:xfrm>
          <a:off x="2273243" y="1159"/>
          <a:ext cx="1133322"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Intergenerational trauma, crisis response</a:t>
          </a:r>
        </a:p>
      </dsp:txBody>
      <dsp:txXfrm>
        <a:off x="2306876" y="34792"/>
        <a:ext cx="1066056" cy="621716"/>
      </dsp:txXfrm>
    </dsp:sp>
    <dsp:sp modelId="{1021931C-C0B7-4864-8CE0-17B693E912D9}">
      <dsp:nvSpPr>
        <dsp:cNvPr id="0" name=""/>
        <dsp:cNvSpPr/>
      </dsp:nvSpPr>
      <dsp:spPr>
        <a:xfrm>
          <a:off x="1217055" y="345650"/>
          <a:ext cx="3245699" cy="3245699"/>
        </a:xfrm>
        <a:custGeom>
          <a:avLst/>
          <a:gdLst/>
          <a:ahLst/>
          <a:cxnLst/>
          <a:rect l="0" t="0" r="0" b="0"/>
          <a:pathLst>
            <a:path>
              <a:moveTo>
                <a:pt x="2314590" y="154811"/>
              </a:moveTo>
              <a:arcTo wR="1622849" hR="1622849" stAng="17713792" swAng="87341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8D6419F-244B-4E54-A0B6-7E186101A356}">
      <dsp:nvSpPr>
        <dsp:cNvPr id="0" name=""/>
        <dsp:cNvSpPr/>
      </dsp:nvSpPr>
      <dsp:spPr>
        <a:xfrm>
          <a:off x="3405210" y="812584"/>
          <a:ext cx="1680247"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Lack of investment in a proactive and preventative child thriving [protection] environment</a:t>
          </a:r>
        </a:p>
      </dsp:txBody>
      <dsp:txXfrm>
        <a:off x="3438843" y="846217"/>
        <a:ext cx="1612981" cy="621716"/>
      </dsp:txXfrm>
    </dsp:sp>
    <dsp:sp modelId="{2958FD15-BA10-40A7-9386-3047F646B2C5}">
      <dsp:nvSpPr>
        <dsp:cNvPr id="0" name=""/>
        <dsp:cNvSpPr/>
      </dsp:nvSpPr>
      <dsp:spPr>
        <a:xfrm>
          <a:off x="1217055" y="345650"/>
          <a:ext cx="3245699" cy="3245699"/>
        </a:xfrm>
        <a:custGeom>
          <a:avLst/>
          <a:gdLst/>
          <a:ahLst/>
          <a:cxnLst/>
          <a:rect l="0" t="0" r="0" b="0"/>
          <a:pathLst>
            <a:path>
              <a:moveTo>
                <a:pt x="3220413" y="1337485"/>
              </a:moveTo>
              <a:arcTo wR="1622849" hR="1622849" stAng="20992343" swAng="121531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6C51F4C-9DF4-46EB-AE4E-9650F37084CD}">
      <dsp:nvSpPr>
        <dsp:cNvPr id="0" name=""/>
        <dsp:cNvSpPr/>
      </dsp:nvSpPr>
      <dsp:spPr>
        <a:xfrm>
          <a:off x="3483155" y="2435433"/>
          <a:ext cx="1524357"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Too high a proportion of individual children put in out of come care</a:t>
          </a:r>
        </a:p>
      </dsp:txBody>
      <dsp:txXfrm>
        <a:off x="3516788" y="2469066"/>
        <a:ext cx="1457091" cy="621716"/>
      </dsp:txXfrm>
    </dsp:sp>
    <dsp:sp modelId="{C68FB373-5DC9-4527-8DB8-AE30827ADCAA}">
      <dsp:nvSpPr>
        <dsp:cNvPr id="0" name=""/>
        <dsp:cNvSpPr/>
      </dsp:nvSpPr>
      <dsp:spPr>
        <a:xfrm>
          <a:off x="1217055" y="345650"/>
          <a:ext cx="3245699" cy="3245699"/>
        </a:xfrm>
        <a:custGeom>
          <a:avLst/>
          <a:gdLst/>
          <a:ahLst/>
          <a:cxnLst/>
          <a:rect l="0" t="0" r="0" b="0"/>
          <a:pathLst>
            <a:path>
              <a:moveTo>
                <a:pt x="2673129" y="2860005"/>
              </a:moveTo>
              <a:arcTo wR="1622849" hR="1622849" stAng="2980229" swAng="7724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BE76B45-46E9-4447-8701-CAEFBB9728AB}">
      <dsp:nvSpPr>
        <dsp:cNvPr id="0" name=""/>
        <dsp:cNvSpPr/>
      </dsp:nvSpPr>
      <dsp:spPr>
        <a:xfrm>
          <a:off x="2200460" y="3246858"/>
          <a:ext cx="1278888"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Perpetuates ongoing intergenerational disadvantage and discrimination</a:t>
          </a:r>
        </a:p>
      </dsp:txBody>
      <dsp:txXfrm>
        <a:off x="2234093" y="3280491"/>
        <a:ext cx="1211622" cy="621716"/>
      </dsp:txXfrm>
    </dsp:sp>
    <dsp:sp modelId="{BCCAF5DF-837E-4951-8F31-939BB37DA7FB}">
      <dsp:nvSpPr>
        <dsp:cNvPr id="0" name=""/>
        <dsp:cNvSpPr/>
      </dsp:nvSpPr>
      <dsp:spPr>
        <a:xfrm>
          <a:off x="1217055" y="345650"/>
          <a:ext cx="3245699" cy="3245699"/>
        </a:xfrm>
        <a:custGeom>
          <a:avLst/>
          <a:gdLst/>
          <a:ahLst/>
          <a:cxnLst/>
          <a:rect l="0" t="0" r="0" b="0"/>
          <a:pathLst>
            <a:path>
              <a:moveTo>
                <a:pt x="874623" y="3062918"/>
              </a:moveTo>
              <a:arcTo wR="1622849" hR="1622849" stAng="7047321" swAng="7724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131EEE1-14ED-456D-AB6A-4E357C35F674}">
      <dsp:nvSpPr>
        <dsp:cNvPr id="0" name=""/>
        <dsp:cNvSpPr/>
      </dsp:nvSpPr>
      <dsp:spPr>
        <a:xfrm>
          <a:off x="680342" y="2435433"/>
          <a:ext cx="1508266"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Community and family disempowerment</a:t>
          </a:r>
        </a:p>
      </dsp:txBody>
      <dsp:txXfrm>
        <a:off x="713975" y="2469066"/>
        <a:ext cx="1441000" cy="621716"/>
      </dsp:txXfrm>
    </dsp:sp>
    <dsp:sp modelId="{9903A080-9EC7-4BDA-9AED-607801A69133}">
      <dsp:nvSpPr>
        <dsp:cNvPr id="0" name=""/>
        <dsp:cNvSpPr/>
      </dsp:nvSpPr>
      <dsp:spPr>
        <a:xfrm>
          <a:off x="1217055" y="345650"/>
          <a:ext cx="3245699" cy="3245699"/>
        </a:xfrm>
        <a:custGeom>
          <a:avLst/>
          <a:gdLst/>
          <a:ahLst/>
          <a:cxnLst/>
          <a:rect l="0" t="0" r="0" b="0"/>
          <a:pathLst>
            <a:path>
              <a:moveTo>
                <a:pt x="25286" y="1908213"/>
              </a:moveTo>
              <a:arcTo wR="1622849" hR="1622849" stAng="10192343" swAng="121531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6595CF0-7C8B-41CE-9BCB-275165A26B32}">
      <dsp:nvSpPr>
        <dsp:cNvPr id="0" name=""/>
        <dsp:cNvSpPr/>
      </dsp:nvSpPr>
      <dsp:spPr>
        <a:xfrm>
          <a:off x="715618" y="812584"/>
          <a:ext cx="1437714" cy="6889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Open Sans" panose="020B0606030504020204" pitchFamily="34" charset="0"/>
              <a:ea typeface="Open Sans" panose="020B0606030504020204" pitchFamily="34" charset="0"/>
              <a:cs typeface="Open Sans" panose="020B0606030504020204" pitchFamily="34" charset="0"/>
            </a:rPr>
            <a:t>Lack of access to cultural resources</a:t>
          </a:r>
        </a:p>
      </dsp:txBody>
      <dsp:txXfrm>
        <a:off x="749251" y="846217"/>
        <a:ext cx="1370448" cy="621716"/>
      </dsp:txXfrm>
    </dsp:sp>
    <dsp:sp modelId="{A13B2BC9-277A-4FA2-8BAF-C37A20CCEDC4}">
      <dsp:nvSpPr>
        <dsp:cNvPr id="0" name=""/>
        <dsp:cNvSpPr/>
      </dsp:nvSpPr>
      <dsp:spPr>
        <a:xfrm>
          <a:off x="1217055" y="345650"/>
          <a:ext cx="3245699" cy="3245699"/>
        </a:xfrm>
        <a:custGeom>
          <a:avLst/>
          <a:gdLst/>
          <a:ahLst/>
          <a:cxnLst/>
          <a:rect l="0" t="0" r="0" b="0"/>
          <a:pathLst>
            <a:path>
              <a:moveTo>
                <a:pt x="584336" y="375800"/>
              </a:moveTo>
              <a:arcTo wR="1622849" hR="1622849" stAng="13812795" swAng="87341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WYUT Institute Colours">
      <a:dk1>
        <a:sysClr val="windowText" lastClr="000000"/>
      </a:dk1>
      <a:lt1>
        <a:sysClr val="window" lastClr="FFFFFF"/>
      </a:lt1>
      <a:dk2>
        <a:srgbClr val="0E2841"/>
      </a:dk2>
      <a:lt2>
        <a:srgbClr val="E8E8E8"/>
      </a:lt2>
      <a:accent1>
        <a:srgbClr val="68318E"/>
      </a:accent1>
      <a:accent2>
        <a:srgbClr val="789874"/>
      </a:accent2>
      <a:accent3>
        <a:srgbClr val="FF8D73"/>
      </a:accent3>
      <a:accent4>
        <a:srgbClr val="5C54BB"/>
      </a:accent4>
      <a:accent5>
        <a:srgbClr val="203143"/>
      </a:accent5>
      <a:accent6>
        <a:srgbClr val="FB561E"/>
      </a:accent6>
      <a:hlink>
        <a:srgbClr val="3B574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446184-eec1-42ed-8a8f-5fdc4bce8d71">
      <Terms xmlns="http://schemas.microsoft.com/office/infopath/2007/PartnerControls"/>
    </lcf76f155ced4ddcb4097134ff3c332f>
    <TaxCatchAll xmlns="8f242893-1fe5-489c-943c-761988924268" xsi:nil="true"/>
    <Theme xmlns="5c446184-eec1-42ed-8a8f-5fdc4bce8d71">Care</Theme>
    <Year xmlns="5c446184-eec1-42ed-8a8f-5fdc4bce8d71">2024</Year>
    <ImpactProject xmlns="5c446184-eec1-42ed-8a8f-5fdc4bce8d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A49309BF51046B5B3D7C46417D307" ma:contentTypeVersion="20" ma:contentTypeDescription="Create a new document." ma:contentTypeScope="" ma:versionID="43c8513ed7115d8cb4169376b4b0ae07">
  <xsd:schema xmlns:xsd="http://www.w3.org/2001/XMLSchema" xmlns:xs="http://www.w3.org/2001/XMLSchema" xmlns:p="http://schemas.microsoft.com/office/2006/metadata/properties" xmlns:ns2="5c446184-eec1-42ed-8a8f-5fdc4bce8d71" xmlns:ns3="8f242893-1fe5-489c-943c-761988924268" targetNamespace="http://schemas.microsoft.com/office/2006/metadata/properties" ma:root="true" ma:fieldsID="09f0a6933a7a61dbb295dac83ce42b80" ns2:_="" ns3:_="">
    <xsd:import namespace="5c446184-eec1-42ed-8a8f-5fdc4bce8d71"/>
    <xsd:import namespace="8f242893-1fe5-489c-943c-761988924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heme" minOccurs="0"/>
                <xsd:element ref="ns2:Year" minOccurs="0"/>
                <xsd:element ref="ns2:Impact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6184-eec1-42ed-8a8f-5fdc4bce8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eme" ma:index="23" nillable="true" ma:displayName="Theme" ma:format="Dropdown" ma:internalName="Theme">
      <xsd:simpleType>
        <xsd:restriction base="dms:Choice">
          <xsd:enumeration value="Justice"/>
          <xsd:enumeration value="Care"/>
          <xsd:enumeration value="Economic"/>
          <xsd:enumeration value="Knowledge &amp; Data"/>
          <xsd:enumeration value="Climate &amp; Sustainability"/>
        </xsd:restriction>
      </xsd:simpleType>
    </xsd:element>
    <xsd:element name="Year" ma:index="24" nillable="true" ma:displayName="Year" ma:format="Dropdown" ma:internalName="Year">
      <xsd:simpleType>
        <xsd:restriction base="dms:Choice">
          <xsd:enumeration value="2024"/>
          <xsd:enumeration value="2025"/>
        </xsd:restriction>
      </xsd:simpleType>
    </xsd:element>
    <xsd:element name="ImpactProject" ma:index="25" nillable="true" ma:displayName="Impact Project" ma:format="Dropdown" ma:internalName="ImpactProject">
      <xsd:simpleType>
        <xsd:restriction base="dms:Choice">
          <xsd:enumeration value="Sustainable Funding"/>
          <xsd:enumeration value="Best Practice"/>
          <xsd:enumeration value="Research Pathways"/>
          <xsd:enumeration value="Evidence Platform"/>
          <xsd:enumeration value="Engagement &amp; Network"/>
        </xsd:restriction>
      </xsd:simpleType>
    </xsd:element>
  </xsd:schema>
  <xsd:schema xmlns:xsd="http://www.w3.org/2001/XMLSchema" xmlns:xs="http://www.w3.org/2001/XMLSchema" xmlns:dms="http://schemas.microsoft.com/office/2006/documentManagement/types" xmlns:pc="http://schemas.microsoft.com/office/infopath/2007/PartnerControls" targetNamespace="8f242893-1fe5-489c-943c-761988924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65a39-55e5-4fbc-8a1d-396109f48614}" ma:internalName="TaxCatchAll" ma:showField="CatchAllData" ma:web="8f242893-1fe5-489c-943c-761988924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F1F00-98FA-472F-BE81-F2F0B52E9425}">
  <ds:schemaRefs>
    <ds:schemaRef ds:uri="http://schemas.openxmlformats.org/officeDocument/2006/bibliography"/>
  </ds:schemaRefs>
</ds:datastoreItem>
</file>

<file path=customXml/itemProps2.xml><?xml version="1.0" encoding="utf-8"?>
<ds:datastoreItem xmlns:ds="http://schemas.openxmlformats.org/officeDocument/2006/customXml" ds:itemID="{7E18F3C3-15D3-47E8-A9C0-1DE4B25F40B8}">
  <ds:schemaRefs>
    <ds:schemaRef ds:uri="http://www.w3.org/XML/1998/namespace"/>
    <ds:schemaRef ds:uri="http://purl.org/dc/elements/1.1/"/>
    <ds:schemaRef ds:uri="http://schemas.microsoft.com/office/2006/documentManagement/types"/>
    <ds:schemaRef ds:uri="5c446184-eec1-42ed-8a8f-5fdc4bce8d71"/>
    <ds:schemaRef ds:uri="http://purl.org/dc/terms/"/>
    <ds:schemaRef ds:uri="http://purl.org/dc/dcmitype/"/>
    <ds:schemaRef ds:uri="http://schemas.openxmlformats.org/package/2006/metadata/core-properties"/>
    <ds:schemaRef ds:uri="http://schemas.microsoft.com/office/infopath/2007/PartnerControls"/>
    <ds:schemaRef ds:uri="8f242893-1fe5-489c-943c-761988924268"/>
    <ds:schemaRef ds:uri="http://schemas.microsoft.com/office/2006/metadata/properties"/>
  </ds:schemaRefs>
</ds:datastoreItem>
</file>

<file path=customXml/itemProps3.xml><?xml version="1.0" encoding="utf-8"?>
<ds:datastoreItem xmlns:ds="http://schemas.openxmlformats.org/officeDocument/2006/customXml" ds:itemID="{D4BD0C1F-15CF-4C88-9658-EB3E6792C12D}"/>
</file>

<file path=customXml/itemProps4.xml><?xml version="1.0" encoding="utf-8"?>
<ds:datastoreItem xmlns:ds="http://schemas.openxmlformats.org/officeDocument/2006/customXml" ds:itemID="{98C39A05-FE04-4B17-82D2-30449CB2C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14404</Words>
  <Characters>82108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96320</CharactersWithSpaces>
  <SharedDoc>false</SharedDoc>
  <HLinks>
    <vt:vector size="264" baseType="variant">
      <vt:variant>
        <vt:i4>4915294</vt:i4>
      </vt:variant>
      <vt:variant>
        <vt:i4>129</vt:i4>
      </vt:variant>
      <vt:variant>
        <vt:i4>0</vt:i4>
      </vt:variant>
      <vt:variant>
        <vt:i4>5</vt:i4>
      </vt:variant>
      <vt:variant>
        <vt:lpwstr>https://wiyiyaniuthangani.humanrights.gov.au/sites/default/files/2023-03/ahrc_wyut_framework_2021_2-1.pdf</vt:lpwstr>
      </vt:variant>
      <vt:variant>
        <vt:lpwstr/>
      </vt:variant>
      <vt:variant>
        <vt:i4>7995432</vt:i4>
      </vt:variant>
      <vt:variant>
        <vt:i4>123</vt:i4>
      </vt:variant>
      <vt:variant>
        <vt:i4>0</vt:i4>
      </vt:variant>
      <vt:variant>
        <vt:i4>5</vt:i4>
      </vt:variant>
      <vt:variant>
        <vt:lpwstr>https://wiyiyaniuthangani.humanrights.gov.au/sites/default/files/2024-03/Caring about Care Report 2024.pdf</vt:lpwstr>
      </vt:variant>
      <vt:variant>
        <vt:lpwstr/>
      </vt:variant>
      <vt:variant>
        <vt:i4>1048623</vt:i4>
      </vt:variant>
      <vt:variant>
        <vt:i4>117</vt:i4>
      </vt:variant>
      <vt:variant>
        <vt:i4>0</vt:i4>
      </vt:variant>
      <vt:variant>
        <vt:i4>5</vt:i4>
      </vt:variant>
      <vt:variant>
        <vt:lpwstr>https://www.act.gov.au/__data/assets/pdf_file/0004/1498198/ACT-wellbeing-framework.pdf</vt:lpwstr>
      </vt:variant>
      <vt:variant>
        <vt:lpwstr/>
      </vt:variant>
      <vt:variant>
        <vt:i4>524301</vt:i4>
      </vt:variant>
      <vt:variant>
        <vt:i4>114</vt:i4>
      </vt:variant>
      <vt:variant>
        <vt:i4>0</vt:i4>
      </vt:variant>
      <vt:variant>
        <vt:i4>5</vt:i4>
      </vt:variant>
      <vt:variant>
        <vt:lpwstr>https://wiyiyaniuthangani.humanrights.gov.au/sites/default/files/2024-04/WYUT Change Agenda 2024 %28FINAL DIGITAL%29.pdf</vt:lpwstr>
      </vt:variant>
      <vt:variant>
        <vt:lpwstr/>
      </vt:variant>
      <vt:variant>
        <vt:i4>4915294</vt:i4>
      </vt:variant>
      <vt:variant>
        <vt:i4>111</vt:i4>
      </vt:variant>
      <vt:variant>
        <vt:i4>0</vt:i4>
      </vt:variant>
      <vt:variant>
        <vt:i4>5</vt:i4>
      </vt:variant>
      <vt:variant>
        <vt:lpwstr>https://wiyiyaniuthangani.humanrights.gov.au/sites/default/files/2023-03/ahrc_wyut_framework_2021_2-1.pdf</vt:lpwstr>
      </vt:variant>
      <vt:variant>
        <vt:lpwstr/>
      </vt:variant>
      <vt:variant>
        <vt:i4>3670127</vt:i4>
      </vt:variant>
      <vt:variant>
        <vt:i4>108</vt:i4>
      </vt:variant>
      <vt:variant>
        <vt:i4>0</vt:i4>
      </vt:variant>
      <vt:variant>
        <vt:i4>5</vt:i4>
      </vt:variant>
      <vt:variant>
        <vt:lpwstr>https://wiyiyaniuthangani.humanrights.gov.au/sites/default/files/2023-03/ahrc_wiyi_yani_u_thangani_report_2020.pdf</vt:lpwstr>
      </vt:variant>
      <vt:variant>
        <vt:lpwstr/>
      </vt:variant>
      <vt:variant>
        <vt:i4>7995432</vt:i4>
      </vt:variant>
      <vt:variant>
        <vt:i4>105</vt:i4>
      </vt:variant>
      <vt:variant>
        <vt:i4>0</vt:i4>
      </vt:variant>
      <vt:variant>
        <vt:i4>5</vt:i4>
      </vt:variant>
      <vt:variant>
        <vt:lpwstr>https://wiyiyaniuthangani.humanrights.gov.au/sites/default/files/2024-03/Caring about Care Report 2024.pdf</vt:lpwstr>
      </vt:variant>
      <vt:variant>
        <vt:lpwstr/>
      </vt:variant>
      <vt:variant>
        <vt:i4>1048628</vt:i4>
      </vt:variant>
      <vt:variant>
        <vt:i4>98</vt:i4>
      </vt:variant>
      <vt:variant>
        <vt:i4>0</vt:i4>
      </vt:variant>
      <vt:variant>
        <vt:i4>5</vt:i4>
      </vt:variant>
      <vt:variant>
        <vt:lpwstr/>
      </vt:variant>
      <vt:variant>
        <vt:lpwstr>_Toc168655822</vt:lpwstr>
      </vt:variant>
      <vt:variant>
        <vt:i4>1048628</vt:i4>
      </vt:variant>
      <vt:variant>
        <vt:i4>92</vt:i4>
      </vt:variant>
      <vt:variant>
        <vt:i4>0</vt:i4>
      </vt:variant>
      <vt:variant>
        <vt:i4>5</vt:i4>
      </vt:variant>
      <vt:variant>
        <vt:lpwstr/>
      </vt:variant>
      <vt:variant>
        <vt:lpwstr>_Toc168655821</vt:lpwstr>
      </vt:variant>
      <vt:variant>
        <vt:i4>1048628</vt:i4>
      </vt:variant>
      <vt:variant>
        <vt:i4>86</vt:i4>
      </vt:variant>
      <vt:variant>
        <vt:i4>0</vt:i4>
      </vt:variant>
      <vt:variant>
        <vt:i4>5</vt:i4>
      </vt:variant>
      <vt:variant>
        <vt:lpwstr/>
      </vt:variant>
      <vt:variant>
        <vt:lpwstr>_Toc168655820</vt:lpwstr>
      </vt:variant>
      <vt:variant>
        <vt:i4>1245236</vt:i4>
      </vt:variant>
      <vt:variant>
        <vt:i4>80</vt:i4>
      </vt:variant>
      <vt:variant>
        <vt:i4>0</vt:i4>
      </vt:variant>
      <vt:variant>
        <vt:i4>5</vt:i4>
      </vt:variant>
      <vt:variant>
        <vt:lpwstr/>
      </vt:variant>
      <vt:variant>
        <vt:lpwstr>_Toc168655819</vt:lpwstr>
      </vt:variant>
      <vt:variant>
        <vt:i4>1245236</vt:i4>
      </vt:variant>
      <vt:variant>
        <vt:i4>74</vt:i4>
      </vt:variant>
      <vt:variant>
        <vt:i4>0</vt:i4>
      </vt:variant>
      <vt:variant>
        <vt:i4>5</vt:i4>
      </vt:variant>
      <vt:variant>
        <vt:lpwstr/>
      </vt:variant>
      <vt:variant>
        <vt:lpwstr>_Toc168655818</vt:lpwstr>
      </vt:variant>
      <vt:variant>
        <vt:i4>1245236</vt:i4>
      </vt:variant>
      <vt:variant>
        <vt:i4>68</vt:i4>
      </vt:variant>
      <vt:variant>
        <vt:i4>0</vt:i4>
      </vt:variant>
      <vt:variant>
        <vt:i4>5</vt:i4>
      </vt:variant>
      <vt:variant>
        <vt:lpwstr/>
      </vt:variant>
      <vt:variant>
        <vt:lpwstr>_Toc168655817</vt:lpwstr>
      </vt:variant>
      <vt:variant>
        <vt:i4>1245236</vt:i4>
      </vt:variant>
      <vt:variant>
        <vt:i4>62</vt:i4>
      </vt:variant>
      <vt:variant>
        <vt:i4>0</vt:i4>
      </vt:variant>
      <vt:variant>
        <vt:i4>5</vt:i4>
      </vt:variant>
      <vt:variant>
        <vt:lpwstr/>
      </vt:variant>
      <vt:variant>
        <vt:lpwstr>_Toc168655816</vt:lpwstr>
      </vt:variant>
      <vt:variant>
        <vt:i4>1245236</vt:i4>
      </vt:variant>
      <vt:variant>
        <vt:i4>56</vt:i4>
      </vt:variant>
      <vt:variant>
        <vt:i4>0</vt:i4>
      </vt:variant>
      <vt:variant>
        <vt:i4>5</vt:i4>
      </vt:variant>
      <vt:variant>
        <vt:lpwstr/>
      </vt:variant>
      <vt:variant>
        <vt:lpwstr>_Toc168655815</vt:lpwstr>
      </vt:variant>
      <vt:variant>
        <vt:i4>1245236</vt:i4>
      </vt:variant>
      <vt:variant>
        <vt:i4>50</vt:i4>
      </vt:variant>
      <vt:variant>
        <vt:i4>0</vt:i4>
      </vt:variant>
      <vt:variant>
        <vt:i4>5</vt:i4>
      </vt:variant>
      <vt:variant>
        <vt:lpwstr/>
      </vt:variant>
      <vt:variant>
        <vt:lpwstr>_Toc168655814</vt:lpwstr>
      </vt:variant>
      <vt:variant>
        <vt:i4>1245236</vt:i4>
      </vt:variant>
      <vt:variant>
        <vt:i4>44</vt:i4>
      </vt:variant>
      <vt:variant>
        <vt:i4>0</vt:i4>
      </vt:variant>
      <vt:variant>
        <vt:i4>5</vt:i4>
      </vt:variant>
      <vt:variant>
        <vt:lpwstr/>
      </vt:variant>
      <vt:variant>
        <vt:lpwstr>_Toc168655813</vt:lpwstr>
      </vt:variant>
      <vt:variant>
        <vt:i4>1245236</vt:i4>
      </vt:variant>
      <vt:variant>
        <vt:i4>38</vt:i4>
      </vt:variant>
      <vt:variant>
        <vt:i4>0</vt:i4>
      </vt:variant>
      <vt:variant>
        <vt:i4>5</vt:i4>
      </vt:variant>
      <vt:variant>
        <vt:lpwstr/>
      </vt:variant>
      <vt:variant>
        <vt:lpwstr>_Toc168655812</vt:lpwstr>
      </vt:variant>
      <vt:variant>
        <vt:i4>1245236</vt:i4>
      </vt:variant>
      <vt:variant>
        <vt:i4>32</vt:i4>
      </vt:variant>
      <vt:variant>
        <vt:i4>0</vt:i4>
      </vt:variant>
      <vt:variant>
        <vt:i4>5</vt:i4>
      </vt:variant>
      <vt:variant>
        <vt:lpwstr/>
      </vt:variant>
      <vt:variant>
        <vt:lpwstr>_Toc168655811</vt:lpwstr>
      </vt:variant>
      <vt:variant>
        <vt:i4>1245236</vt:i4>
      </vt:variant>
      <vt:variant>
        <vt:i4>26</vt:i4>
      </vt:variant>
      <vt:variant>
        <vt:i4>0</vt:i4>
      </vt:variant>
      <vt:variant>
        <vt:i4>5</vt:i4>
      </vt:variant>
      <vt:variant>
        <vt:lpwstr/>
      </vt:variant>
      <vt:variant>
        <vt:lpwstr>_Toc168655810</vt:lpwstr>
      </vt:variant>
      <vt:variant>
        <vt:i4>1179700</vt:i4>
      </vt:variant>
      <vt:variant>
        <vt:i4>20</vt:i4>
      </vt:variant>
      <vt:variant>
        <vt:i4>0</vt:i4>
      </vt:variant>
      <vt:variant>
        <vt:i4>5</vt:i4>
      </vt:variant>
      <vt:variant>
        <vt:lpwstr/>
      </vt:variant>
      <vt:variant>
        <vt:lpwstr>_Toc168655809</vt:lpwstr>
      </vt:variant>
      <vt:variant>
        <vt:i4>1179700</vt:i4>
      </vt:variant>
      <vt:variant>
        <vt:i4>14</vt:i4>
      </vt:variant>
      <vt:variant>
        <vt:i4>0</vt:i4>
      </vt:variant>
      <vt:variant>
        <vt:i4>5</vt:i4>
      </vt:variant>
      <vt:variant>
        <vt:lpwstr/>
      </vt:variant>
      <vt:variant>
        <vt:lpwstr>_Toc168655808</vt:lpwstr>
      </vt:variant>
      <vt:variant>
        <vt:i4>1179700</vt:i4>
      </vt:variant>
      <vt:variant>
        <vt:i4>8</vt:i4>
      </vt:variant>
      <vt:variant>
        <vt:i4>0</vt:i4>
      </vt:variant>
      <vt:variant>
        <vt:i4>5</vt:i4>
      </vt:variant>
      <vt:variant>
        <vt:lpwstr/>
      </vt:variant>
      <vt:variant>
        <vt:lpwstr>_Toc168655807</vt:lpwstr>
      </vt:variant>
      <vt:variant>
        <vt:i4>1179700</vt:i4>
      </vt:variant>
      <vt:variant>
        <vt:i4>2</vt:i4>
      </vt:variant>
      <vt:variant>
        <vt:i4>0</vt:i4>
      </vt:variant>
      <vt:variant>
        <vt:i4>5</vt:i4>
      </vt:variant>
      <vt:variant>
        <vt:lpwstr/>
      </vt:variant>
      <vt:variant>
        <vt:lpwstr>_Toc168655806</vt:lpwstr>
      </vt:variant>
      <vt:variant>
        <vt:i4>6946849</vt:i4>
      </vt:variant>
      <vt:variant>
        <vt:i4>9</vt:i4>
      </vt:variant>
      <vt:variant>
        <vt:i4>0</vt:i4>
      </vt:variant>
      <vt:variant>
        <vt:i4>5</vt:i4>
      </vt:variant>
      <vt:variant>
        <vt:lpwstr>https://www.parliament.act.gov.au/__data/assets/pdf_file/0003/1483365/List_Our-Booris,-Our-Way-Final-Report.pdf</vt:lpwstr>
      </vt:variant>
      <vt:variant>
        <vt:lpwstr/>
      </vt:variant>
      <vt:variant>
        <vt:i4>6946849</vt:i4>
      </vt:variant>
      <vt:variant>
        <vt:i4>6</vt:i4>
      </vt:variant>
      <vt:variant>
        <vt:i4>0</vt:i4>
      </vt:variant>
      <vt:variant>
        <vt:i4>5</vt:i4>
      </vt:variant>
      <vt:variant>
        <vt:lpwstr>https://www.parliament.act.gov.au/__data/assets/pdf_file/0003/1483365/List_Our-Booris,-Our-Way-Final-Report.pdf</vt:lpwstr>
      </vt:variant>
      <vt:variant>
        <vt:lpwstr/>
      </vt:variant>
      <vt:variant>
        <vt:i4>5046360</vt:i4>
      </vt:variant>
      <vt:variant>
        <vt:i4>3</vt:i4>
      </vt:variant>
      <vt:variant>
        <vt:i4>0</vt:i4>
      </vt:variant>
      <vt:variant>
        <vt:i4>5</vt:i4>
      </vt:variant>
      <vt:variant>
        <vt:lpwstr>https://www.humanrights.dk/publications/human-rights-economic-growth</vt:lpwstr>
      </vt:variant>
      <vt:variant>
        <vt:lpwstr/>
      </vt:variant>
      <vt:variant>
        <vt:i4>3276910</vt:i4>
      </vt:variant>
      <vt:variant>
        <vt:i4>0</vt:i4>
      </vt:variant>
      <vt:variant>
        <vt:i4>0</vt:i4>
      </vt:variant>
      <vt:variant>
        <vt:i4>5</vt:i4>
      </vt:variant>
      <vt:variant>
        <vt:lpwstr>https://www.wgea.gov.au/sites/default/files/documents/australian-unpaid-care-work-and-the-labour-market.pdf</vt:lpwstr>
      </vt:variant>
      <vt:variant>
        <vt:lpwstr/>
      </vt:variant>
      <vt:variant>
        <vt:i4>4718601</vt:i4>
      </vt:variant>
      <vt:variant>
        <vt:i4>42</vt:i4>
      </vt:variant>
      <vt:variant>
        <vt:i4>0</vt:i4>
      </vt:variant>
      <vt:variant>
        <vt:i4>5</vt:i4>
      </vt:variant>
      <vt:variant>
        <vt:lpwstr>https://www.snaicc.org.au/wp-content/uploads/2023/05/SNAICC-Stronger-ACCOs-Stronger-Families-report-2022.pdf</vt:lpwstr>
      </vt:variant>
      <vt:variant>
        <vt:lpwstr/>
      </vt:variant>
      <vt:variant>
        <vt:i4>589899</vt:i4>
      </vt:variant>
      <vt:variant>
        <vt:i4>39</vt:i4>
      </vt:variant>
      <vt:variant>
        <vt:i4>0</vt:i4>
      </vt:variant>
      <vt:variant>
        <vt:i4>5</vt:i4>
      </vt:variant>
      <vt:variant>
        <vt:lpwstr>https://eprints.qut.edu.au/115966/1/Gendered Indigenous Health and Wellbeing within the Australian Health System. A Review of the Literature.pdf %281%29.pdf</vt:lpwstr>
      </vt:variant>
      <vt:variant>
        <vt:lpwstr/>
      </vt:variant>
      <vt:variant>
        <vt:i4>2162738</vt:i4>
      </vt:variant>
      <vt:variant>
        <vt:i4>36</vt:i4>
      </vt:variant>
      <vt:variant>
        <vt:i4>0</vt:i4>
      </vt:variant>
      <vt:variant>
        <vt:i4>5</vt:i4>
      </vt:variant>
      <vt:variant>
        <vt:lpwstr>https://www.sbs.com.au/nitv/article/why-are-aboriginal-communities-better-at-preventing-the-spread-of-coronavirus/ktkf05oub</vt:lpwstr>
      </vt:variant>
      <vt:variant>
        <vt:lpwstr/>
      </vt:variant>
      <vt:variant>
        <vt:i4>4718601</vt:i4>
      </vt:variant>
      <vt:variant>
        <vt:i4>33</vt:i4>
      </vt:variant>
      <vt:variant>
        <vt:i4>0</vt:i4>
      </vt:variant>
      <vt:variant>
        <vt:i4>5</vt:i4>
      </vt:variant>
      <vt:variant>
        <vt:lpwstr>https://www.snaicc.org.au/wp-content/uploads/2023/05/SNAICC-Stronger-ACCOs-Stronger-Families-report-2022.pdf</vt:lpwstr>
      </vt:variant>
      <vt:variant>
        <vt:lpwstr/>
      </vt:variant>
      <vt:variant>
        <vt:i4>327688</vt:i4>
      </vt:variant>
      <vt:variant>
        <vt:i4>30</vt:i4>
      </vt:variant>
      <vt:variant>
        <vt:i4>0</vt:i4>
      </vt:variant>
      <vt:variant>
        <vt:i4>5</vt:i4>
      </vt:variant>
      <vt:variant>
        <vt:lpwstr>https://www.aihw.gov.au/reports/australias-welfare/disability-support-for-indigenous-australians</vt:lpwstr>
      </vt:variant>
      <vt:variant>
        <vt:lpwstr/>
      </vt:variant>
      <vt:variant>
        <vt:i4>1114121</vt:i4>
      </vt:variant>
      <vt:variant>
        <vt:i4>27</vt:i4>
      </vt:variant>
      <vt:variant>
        <vt:i4>0</vt:i4>
      </vt:variant>
      <vt:variant>
        <vt:i4>5</vt:i4>
      </vt:variant>
      <vt:variant>
        <vt:lpwstr>https://www.dewr.gov.au/parentsnext/announcements/changes-parentsnext</vt:lpwstr>
      </vt:variant>
      <vt:variant>
        <vt:lpwstr>:~:text=The%20Australian%20Government%20will%20move,requirements%20for%20participants%20in%20ParentsNext.</vt:lpwstr>
      </vt:variant>
      <vt:variant>
        <vt:i4>5046291</vt:i4>
      </vt:variant>
      <vt:variant>
        <vt:i4>24</vt:i4>
      </vt:variant>
      <vt:variant>
        <vt:i4>0</vt:i4>
      </vt:variant>
      <vt:variant>
        <vt:i4>5</vt:i4>
      </vt:variant>
      <vt:variant>
        <vt:lpwstr>https://www.niaa.gov.au/indigenous-affairs/employment/remote-jobs</vt:lpwstr>
      </vt:variant>
      <vt:variant>
        <vt:lpwstr/>
      </vt:variant>
      <vt:variant>
        <vt:i4>1638401</vt:i4>
      </vt:variant>
      <vt:variant>
        <vt:i4>21</vt:i4>
      </vt:variant>
      <vt:variant>
        <vt:i4>0</vt:i4>
      </vt:variant>
      <vt:variant>
        <vt:i4>5</vt:i4>
      </vt:variant>
      <vt:variant>
        <vt:lpwstr>https://www.berrystreet.org.au/uploads/main/Files/SVA-ResearchPaper-TheEconomicCaseForEarlyIntervention-2019.pdf</vt:lpwstr>
      </vt:variant>
      <vt:variant>
        <vt:lpwstr/>
      </vt:variant>
      <vt:variant>
        <vt:i4>917512</vt:i4>
      </vt:variant>
      <vt:variant>
        <vt:i4>18</vt:i4>
      </vt:variant>
      <vt:variant>
        <vt:i4>0</vt:i4>
      </vt:variant>
      <vt:variant>
        <vt:i4>5</vt:i4>
      </vt:variant>
      <vt:variant>
        <vt:lpwstr>https://www.pc.gov.au/inquiries/completed/mental-health/report/mental-health.pdf</vt:lpwstr>
      </vt:variant>
      <vt:variant>
        <vt:lpwstr/>
      </vt:variant>
      <vt:variant>
        <vt:i4>8323140</vt:i4>
      </vt:variant>
      <vt:variant>
        <vt:i4>15</vt:i4>
      </vt:variant>
      <vt:variant>
        <vt:i4>0</vt:i4>
      </vt:variant>
      <vt:variant>
        <vt:i4>5</vt:i4>
      </vt:variant>
      <vt:variant>
        <vt:lpwstr>https://www.familyisculture.nsw.gov.au/__data/assets/pdf_file/0011/726329/Family-Is-Culture-Review-Report.pdf</vt:lpwstr>
      </vt:variant>
      <vt:variant>
        <vt:lpwstr/>
      </vt:variant>
      <vt:variant>
        <vt:i4>5832713</vt:i4>
      </vt:variant>
      <vt:variant>
        <vt:i4>12</vt:i4>
      </vt:variant>
      <vt:variant>
        <vt:i4>0</vt:i4>
      </vt:variant>
      <vt:variant>
        <vt:i4>5</vt:i4>
      </vt:variant>
      <vt:variant>
        <vt:lpwstr>https://documents-dds-ny.un.org/doc/UNDOC/GEN/G22/323/90/PDF/G2232390.pdf?OpenElement</vt:lpwstr>
      </vt:variant>
      <vt:variant>
        <vt:lpwstr/>
      </vt:variant>
      <vt:variant>
        <vt:i4>5767176</vt:i4>
      </vt:variant>
      <vt:variant>
        <vt:i4>9</vt:i4>
      </vt:variant>
      <vt:variant>
        <vt:i4>0</vt:i4>
      </vt:variant>
      <vt:variant>
        <vt:i4>5</vt:i4>
      </vt:variant>
      <vt:variant>
        <vt:lpwstr>https://www.earlyyearscatalyst.org.au/wp-content/uploads/2022/08/EYC-Document-System-Mapping-Report-Aug-2022.pdf</vt:lpwstr>
      </vt:variant>
      <vt:variant>
        <vt:lpwstr/>
      </vt:variant>
      <vt:variant>
        <vt:i4>3080297</vt:i4>
      </vt:variant>
      <vt:variant>
        <vt:i4>6</vt:i4>
      </vt:variant>
      <vt:variant>
        <vt:i4>0</vt:i4>
      </vt:variant>
      <vt:variant>
        <vt:i4>5</vt:i4>
      </vt:variant>
      <vt:variant>
        <vt:lpwstr>https://www.ohchr.org/en/good-governance/about-good-governance</vt:lpwstr>
      </vt:variant>
      <vt:variant>
        <vt:lpwstr/>
      </vt:variant>
      <vt:variant>
        <vt:i4>7995502</vt:i4>
      </vt:variant>
      <vt:variant>
        <vt:i4>3</vt:i4>
      </vt:variant>
      <vt:variant>
        <vt:i4>0</vt:i4>
      </vt:variant>
      <vt:variant>
        <vt:i4>5</vt:i4>
      </vt:variant>
      <vt:variant>
        <vt:lpwstr>https://www.ohchr.org/en/what-are-human-rights</vt:lpwstr>
      </vt:variant>
      <vt:variant>
        <vt:lpwstr/>
      </vt:variant>
      <vt:variant>
        <vt:i4>5046360</vt:i4>
      </vt:variant>
      <vt:variant>
        <vt:i4>0</vt:i4>
      </vt:variant>
      <vt:variant>
        <vt:i4>0</vt:i4>
      </vt:variant>
      <vt:variant>
        <vt:i4>5</vt:i4>
      </vt:variant>
      <vt:variant>
        <vt:lpwstr>https://www.humanrights.dk/publications/human-rights-economic-growth</vt:lpwstr>
      </vt:variant>
      <vt:variant>
        <vt:lpwstr/>
      </vt:variant>
      <vt:variant>
        <vt:i4>5767207</vt:i4>
      </vt:variant>
      <vt:variant>
        <vt:i4>0</vt:i4>
      </vt:variant>
      <vt:variant>
        <vt:i4>0</vt:i4>
      </vt:variant>
      <vt:variant>
        <vt:i4>5</vt:i4>
      </vt:variant>
      <vt:variant>
        <vt:lpwstr>https://www.parliament.act.gov.au/__data/assets/pdf_file/0005/2424542/Terms-of-Reference-Inquiry-into-unpaid-work.pdf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Wegener</dc:creator>
  <cp:keywords/>
  <dc:description/>
  <cp:lastModifiedBy>Niamh Kealy</cp:lastModifiedBy>
  <cp:revision>64</cp:revision>
  <cp:lastPrinted>2024-06-07T02:45:00Z</cp:lastPrinted>
  <dcterms:created xsi:type="dcterms:W3CDTF">2024-06-07T01:57:00Z</dcterms:created>
  <dcterms:modified xsi:type="dcterms:W3CDTF">2024-08-22T06:17:00Z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0x010100A70A49309BF51046B5B3D7C46417D307</vt:lpwstr>
  </property>
</Properties>
</file>