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</w:pPr>
      <w:r>
        <w:drawing>
          <wp:inline xmlns:a="http://schemas.openxmlformats.org/drawingml/2006/main" xmlns:pic="http://schemas.openxmlformats.org/drawingml/2006/picture">
            <wp:extent cx="384048" cy="230279"/>
            <wp:docPr id="1" name="Picture 1" descr="Course Correction Consulting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2302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</w:pPr>
      <w:r>
        <w:rPr>
          <w:rFonts w:ascii="Calibri" w:hAnsi="Calibri"/>
          <w:b/>
          <w:color w:val="15647A"/>
          <w:sz w:val="18"/>
        </w:rPr>
        <w:t>MANAGER-EMPLOYEE WORKING FORM</w:t>
      </w:r>
    </w:p>
    <w:p>
      <w:pPr>
        <w:spacing w:after="40"/>
      </w:pPr>
      <w:r>
        <w:rPr>
          <w:rFonts w:ascii="Calibri" w:hAnsi="Calibri"/>
          <w:b/>
          <w:color w:val="10364A"/>
          <w:sz w:val="36"/>
        </w:rPr>
        <w:t>Simple Role Clarity and Performance Agreement</w:t>
      </w:r>
    </w:p>
    <w:p>
      <w:pPr>
        <w:spacing w:after="80"/>
      </w:pPr>
      <w:r>
        <w:rPr>
          <w:rFonts w:ascii="Calibri" w:hAnsi="Calibri"/>
          <w:i/>
          <w:color w:val="53636D"/>
          <w:sz w:val="19"/>
        </w:rPr>
        <w:t>For well-defined operational roles | Complete together in 30 minutes</w:t>
      </w:r>
    </w:p>
    <w:p>
      <w:pPr>
        <w:keepLines/>
        <w:spacing w:before="80" w:after="120"/>
        <w:ind w:left="115" w:right="115"/>
        <w:shd w:fill="EAF3F4"/>
      </w:pPr>
      <w:r>
        <w:rPr>
          <w:rFonts w:ascii="Calibri" w:hAnsi="Calibri"/>
          <w:b/>
          <w:color w:val="15647A"/>
          <w:sz w:val="22"/>
        </w:rPr>
        <w:t xml:space="preserve">Purpose. </w:t>
      </w:r>
      <w:r>
        <w:rPr>
          <w:rFonts w:ascii="Calibri" w:hAnsi="Calibri"/>
          <w:color w:val="17252E"/>
          <w:sz w:val="22"/>
        </w:rPr>
        <w:t>Complete this together. Agree the job's purpose, standards, decision limits and support.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  <w:cantSplit/>
        </w:trPr>
        <w:tc>
          <w:tcPr>
            <w:tcW w:type="dxa" w:w="234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Employee</w:t>
            </w:r>
          </w:p>
        </w:tc>
        <w:tc>
          <w:tcPr>
            <w:tcW w:type="dxa" w:w="234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234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Manager</w:t>
            </w:r>
          </w:p>
        </w:tc>
        <w:tc>
          <w:tcPr>
            <w:tcW w:type="dxa" w:w="234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Date</w:t>
            </w:r>
          </w:p>
        </w:tc>
      </w:tr>
      <w:tr>
        <w:trPr>
          <w:cantSplit/>
        </w:trPr>
        <w:tc>
          <w:tcPr>
            <w:tcW w:type="dxa" w:w="234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i/>
                <w:color w:val="53636D"/>
                <w:sz w:val="19"/>
              </w:rPr>
              <w:t>[Type here]</w:t>
            </w:r>
          </w:p>
        </w:tc>
        <w:tc>
          <w:tcPr>
            <w:tcW w:type="dxa" w:w="234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i/>
                <w:color w:val="53636D"/>
                <w:sz w:val="19"/>
              </w:rPr>
              <w:t>[Type here]</w:t>
            </w:r>
          </w:p>
        </w:tc>
        <w:tc>
          <w:tcPr>
            <w:tcW w:type="dxa" w:w="234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i/>
                <w:color w:val="53636D"/>
                <w:sz w:val="19"/>
              </w:rPr>
              <w:t>[Type here]</w:t>
            </w:r>
          </w:p>
        </w:tc>
        <w:tc>
          <w:tcPr>
            <w:tcW w:type="dxa" w:w="234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i/>
                <w:color w:val="53636D"/>
                <w:sz w:val="19"/>
              </w:rPr>
              <w:t>[Type here]</w:t>
            </w:r>
          </w:p>
        </w:tc>
      </w:tr>
    </w:tbl>
    <w:p>
      <w:pPr>
        <w:spacing w:after="20"/>
      </w:pPr>
    </w:p>
    <w:p>
      <w:pPr>
        <w:keepNext/>
        <w:spacing w:before="100" w:after="40"/>
      </w:pPr>
      <w:r>
        <w:rPr>
          <w:rFonts w:ascii="Calibri" w:hAnsi="Calibri"/>
          <w:b/>
          <w:color w:val="15647A"/>
          <w:sz w:val="26"/>
        </w:rPr>
        <w:t>1. Purpose</w:t>
      </w:r>
    </w:p>
    <w:p>
      <w:pPr>
        <w:keepNext/>
        <w:spacing w:before="40" w:after="20"/>
      </w:pPr>
      <w:r>
        <w:rPr>
          <w:rFonts w:ascii="Calibri" w:hAnsi="Calibri"/>
          <w:b/>
          <w:color w:val="10364A"/>
          <w:sz w:val="19"/>
        </w:rPr>
        <w:t>In one sentence, what is this role here to achieve?</w:t>
      </w:r>
    </w:p>
    <w:p>
      <w:pPr>
        <w:keepNext/>
        <w:spacing w:after="40"/>
      </w:pPr>
      <w:r>
        <w:rPr>
          <w:rFonts w:ascii="Calibri" w:hAnsi="Calibri"/>
          <w:i/>
          <w:color w:val="53636D"/>
          <w:sz w:val="16"/>
        </w:rPr>
        <w:t>Describe the useful result, not a list of tasks.</w:t>
      </w:r>
    </w:p>
    <w:p>
      <w:pPr>
        <w:keepLines/>
        <w:spacing w:after="40" w:line="240" w:lineRule="auto"/>
        <w:ind w:left="86" w:right="86"/>
        <w:shd w:fill="F5F8F9"/>
      </w:pPr>
      <w:r>
        <w:rPr>
          <w:rFonts w:ascii="Calibri" w:hAnsi="Calibri"/>
          <w:i/>
          <w:color w:val="53636D"/>
          <w:sz w:val="18"/>
        </w:rPr>
        <w:t>[Type here]</w:t>
      </w:r>
    </w:p>
    <w:p>
      <w:pPr>
        <w:keepNext/>
        <w:spacing w:before="100" w:after="40"/>
      </w:pPr>
      <w:r>
        <w:rPr>
          <w:rFonts w:ascii="Calibri" w:hAnsi="Calibri"/>
          <w:b/>
          <w:color w:val="15647A"/>
          <w:sz w:val="26"/>
        </w:rPr>
        <w:t>2. Main responsibilities and standards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900"/>
        <w:gridCol w:w="5460"/>
      </w:tblGrid>
      <w:tr>
        <w:trPr>
          <w:tblHeader w:val="true"/>
          <w:cantSplit/>
        </w:trPr>
        <w:tc>
          <w:tcPr>
            <w:tcW w:type="dxa" w:w="390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Main responsibility</w:t>
            </w:r>
          </w:p>
        </w:tc>
        <w:tc>
          <w:tcPr>
            <w:tcW w:type="dxa" w:w="546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What good work looks like</w:t>
            </w:r>
          </w:p>
        </w:tc>
      </w:tr>
      <w:tr>
        <w:trPr>
          <w:cantSplit/>
        </w:trPr>
        <w:tc>
          <w:tcPr>
            <w:tcW w:type="dxa" w:w="3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  <w:tc>
          <w:tcPr>
            <w:tcW w:type="dxa" w:w="54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</w:tr>
      <w:tr>
        <w:trPr>
          <w:cantSplit/>
        </w:trPr>
        <w:tc>
          <w:tcPr>
            <w:tcW w:type="dxa" w:w="390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  <w:tc>
          <w:tcPr>
            <w:tcW w:type="dxa" w:w="546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</w:tr>
      <w:tr>
        <w:trPr>
          <w:cantSplit/>
        </w:trPr>
        <w:tc>
          <w:tcPr>
            <w:tcW w:type="dxa" w:w="3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  <w:tc>
          <w:tcPr>
            <w:tcW w:type="dxa" w:w="54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</w:tr>
      <w:tr>
        <w:trPr>
          <w:cantSplit/>
        </w:trPr>
        <w:tc>
          <w:tcPr>
            <w:tcW w:type="dxa" w:w="390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  <w:tc>
          <w:tcPr>
            <w:tcW w:type="dxa" w:w="546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</w:tr>
    </w:tbl>
    <w:p>
      <w:pPr>
        <w:keepNext/>
        <w:spacing w:before="100" w:after="40"/>
      </w:pPr>
      <w:r>
        <w:rPr>
          <w:rFonts w:ascii="Calibri" w:hAnsi="Calibri"/>
          <w:b/>
          <w:color w:val="15647A"/>
          <w:sz w:val="26"/>
        </w:rPr>
        <w:t>3. Decisions and help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900"/>
        <w:gridCol w:w="3660"/>
      </w:tblGrid>
      <w:tr>
        <w:trPr>
          <w:tblHeader w:val="true"/>
          <w:cantSplit/>
        </w:trPr>
        <w:tc>
          <w:tcPr>
            <w:tcW w:type="dxa" w:w="180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Decision level</w:t>
            </w:r>
          </w:p>
        </w:tc>
        <w:tc>
          <w:tcPr>
            <w:tcW w:type="dxa" w:w="390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Simple meaning</w:t>
            </w:r>
          </w:p>
        </w:tc>
        <w:tc>
          <w:tcPr>
            <w:tcW w:type="dxa" w:w="366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Examples for this role</w:t>
            </w:r>
          </w:p>
        </w:tc>
      </w:tr>
      <w:tr>
        <w:trPr>
          <w:cantSplit/>
        </w:trP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15647A"/>
                <w:sz w:val="17"/>
              </w:rPr>
              <w:t>Decide and act</w:t>
            </w:r>
          </w:p>
        </w:tc>
        <w:tc>
          <w:tcPr>
            <w:tcW w:type="dxa" w:w="3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color w:val="17252E"/>
                <w:sz w:val="17"/>
              </w:rPr>
              <w:t>Work within the agreed method and limits.</w:t>
            </w:r>
          </w:p>
        </w:tc>
        <w:tc>
          <w:tcPr>
            <w:tcW w:type="dxa" w:w="36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</w:tr>
      <w:tr>
        <w:trPr>
          <w:cantSplit/>
        </w:trPr>
        <w:tc>
          <w:tcPr>
            <w:tcW w:type="dxa" w:w="180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15647A"/>
                <w:sz w:val="17"/>
              </w:rPr>
              <w:t>Decide, then tell</w:t>
            </w:r>
          </w:p>
        </w:tc>
        <w:tc>
          <w:tcPr>
            <w:tcW w:type="dxa" w:w="390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color w:val="17252E"/>
                <w:sz w:val="17"/>
              </w:rPr>
              <w:t>Act, then keep the named person informed.</w:t>
            </w:r>
          </w:p>
        </w:tc>
        <w:tc>
          <w:tcPr>
            <w:tcW w:type="dxa" w:w="366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</w:tr>
      <w:tr>
        <w:trPr>
          <w:cantSplit/>
        </w:trP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15647A"/>
                <w:sz w:val="17"/>
              </w:rPr>
              <w:t>Ask first</w:t>
            </w:r>
          </w:p>
        </w:tc>
        <w:tc>
          <w:tcPr>
            <w:tcW w:type="dxa" w:w="3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color w:val="17252E"/>
                <w:sz w:val="17"/>
              </w:rPr>
              <w:t>Get help when the issue is outside your authority or competence.</w:t>
            </w:r>
          </w:p>
        </w:tc>
        <w:tc>
          <w:tcPr>
            <w:tcW w:type="dxa" w:w="36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</w:tr>
    </w:tbl>
    <w:p>
      <w:pPr>
        <w:keepNext/>
        <w:spacing w:before="40" w:after="20"/>
      </w:pPr>
      <w:r>
        <w:rPr>
          <w:rFonts w:ascii="Calibri" w:hAnsi="Calibri"/>
          <w:b/>
          <w:color w:val="10364A"/>
          <w:sz w:val="19"/>
        </w:rPr>
        <w:t>Ask for help immediately when...</w:t>
      </w:r>
    </w:p>
    <w:p>
      <w:pPr>
        <w:keepNext/>
        <w:spacing w:after="40"/>
      </w:pPr>
      <w:r>
        <w:rPr>
          <w:rFonts w:ascii="Calibri" w:hAnsi="Calibri"/>
          <w:i/>
          <w:color w:val="53636D"/>
          <w:sz w:val="16"/>
        </w:rPr>
        <w:t>Name any safety, customer, quality, cost or unusual situations that should not wait.</w:t>
      </w:r>
    </w:p>
    <w:p>
      <w:pPr>
        <w:keepLines/>
        <w:spacing w:after="40" w:line="240" w:lineRule="auto"/>
        <w:ind w:left="86" w:right="86"/>
        <w:shd w:fill="F5F8F9"/>
      </w:pPr>
      <w:r>
        <w:rPr>
          <w:rFonts w:ascii="Calibri" w:hAnsi="Calibri"/>
          <w:i/>
          <w:color w:val="53636D"/>
          <w:sz w:val="18"/>
        </w:rPr>
        <w:t>[Type here]</w:t>
      </w:r>
    </w:p>
    <w:p>
      <w:r>
        <w:br w:type="page"/>
      </w:r>
    </w:p>
    <w:p>
      <w:pPr>
        <w:keepNext/>
        <w:spacing w:before="100" w:after="40"/>
      </w:pPr>
      <w:r>
        <w:rPr>
          <w:rFonts w:ascii="Calibri" w:hAnsi="Calibri"/>
          <w:b/>
          <w:color w:val="15647A"/>
          <w:sz w:val="26"/>
        </w:rPr>
        <w:t>4. How performance will be recognised</w:t>
      </w:r>
    </w:p>
    <w:p>
      <w:pPr>
        <w:spacing w:after="60"/>
      </w:pPr>
      <w:r>
        <w:rPr>
          <w:rFonts w:ascii="Calibri" w:hAnsi="Calibri"/>
          <w:i/>
          <w:color w:val="53636D"/>
          <w:sz w:val="17"/>
        </w:rPr>
        <w:t>Choose three useful signals only. If a measure will not change a conversation, decision or action, leave it out.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3360"/>
        <w:gridCol w:w="3500"/>
      </w:tblGrid>
      <w:tr>
        <w:trPr>
          <w:tblHeader w:val="true"/>
          <w:cantSplit/>
        </w:trPr>
        <w:tc>
          <w:tcPr>
            <w:tcW w:type="dxa" w:w="250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What we will review</w:t>
            </w:r>
          </w:p>
        </w:tc>
        <w:tc>
          <w:tcPr>
            <w:tcW w:type="dxa" w:w="336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Expected standard</w:t>
            </w:r>
          </w:p>
        </w:tc>
        <w:tc>
          <w:tcPr>
            <w:tcW w:type="dxa" w:w="350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Evidence or source</w:t>
            </w:r>
          </w:p>
        </w:tc>
      </w:tr>
      <w:tr>
        <w:trPr>
          <w:cantSplit/>
        </w:trPr>
        <w:tc>
          <w:tcPr>
            <w:tcW w:type="dxa" w:w="2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15647A"/>
                <w:sz w:val="18"/>
              </w:rPr>
              <w:t>Result</w:t>
            </w:r>
          </w:p>
        </w:tc>
        <w:tc>
          <w:tcPr>
            <w:tcW w:type="dxa" w:w="33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  <w:tc>
          <w:tcPr>
            <w:tcW w:type="dxa" w:w="3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</w:tr>
      <w:tr>
        <w:trPr>
          <w:cantSplit/>
        </w:trPr>
        <w:tc>
          <w:tcPr>
            <w:tcW w:type="dxa" w:w="250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15647A"/>
                <w:sz w:val="18"/>
              </w:rPr>
              <w:t>Quality / reliability</w:t>
            </w:r>
          </w:p>
        </w:tc>
        <w:tc>
          <w:tcPr>
            <w:tcW w:type="dxa" w:w="336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  <w:tc>
          <w:tcPr>
            <w:tcW w:type="dxa" w:w="350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</w:tr>
      <w:tr>
        <w:trPr>
          <w:cantSplit/>
        </w:trPr>
        <w:tc>
          <w:tcPr>
            <w:tcW w:type="dxa" w:w="2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15647A"/>
                <w:sz w:val="18"/>
              </w:rPr>
              <w:t>Teamwork / work habit</w:t>
            </w:r>
          </w:p>
        </w:tc>
        <w:tc>
          <w:tcPr>
            <w:tcW w:type="dxa" w:w="33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  <w:tc>
          <w:tcPr>
            <w:tcW w:type="dxa" w:w="3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i/>
                <w:color w:val="53636D"/>
                <w:sz w:val="17"/>
              </w:rPr>
              <w:t>[Type here]</w:t>
            </w:r>
          </w:p>
        </w:tc>
      </w:tr>
    </w:tbl>
    <w:p>
      <w:pPr>
        <w:keepNext/>
        <w:spacing w:before="100" w:after="40"/>
      </w:pPr>
      <w:r>
        <w:rPr>
          <w:rFonts w:ascii="Calibri" w:hAnsi="Calibri"/>
          <w:b/>
          <w:color w:val="15647A"/>
          <w:sz w:val="26"/>
        </w:rPr>
        <w:t>5. Support and development</w:t>
      </w:r>
    </w:p>
    <w:p>
      <w:pPr>
        <w:keepNext/>
        <w:spacing w:before="40" w:after="20"/>
      </w:pPr>
      <w:r>
        <w:rPr>
          <w:rFonts w:ascii="Calibri" w:hAnsi="Calibri"/>
          <w:b/>
          <w:color w:val="10364A"/>
          <w:sz w:val="19"/>
        </w:rPr>
        <w:t>The manager will provide...</w:t>
      </w:r>
    </w:p>
    <w:p>
      <w:pPr>
        <w:keepNext/>
        <w:spacing w:after="40"/>
      </w:pPr>
      <w:r>
        <w:rPr>
          <w:rFonts w:ascii="Calibri" w:hAnsi="Calibri"/>
          <w:i/>
          <w:color w:val="53636D"/>
          <w:sz w:val="16"/>
        </w:rPr>
        <w:t>Include information, time, equipment, access, feedback, training or cover.</w:t>
      </w:r>
    </w:p>
    <w:p>
      <w:pPr>
        <w:keepLines/>
        <w:spacing w:after="40" w:line="240" w:lineRule="auto"/>
        <w:ind w:left="86" w:right="86"/>
        <w:shd w:fill="F5F8F9"/>
      </w:pPr>
      <w:r>
        <w:rPr>
          <w:rFonts w:ascii="Calibri" w:hAnsi="Calibri"/>
          <w:i/>
          <w:color w:val="53636D"/>
          <w:sz w:val="18"/>
        </w:rPr>
        <w:t>[Type here]</w:t>
      </w:r>
    </w:p>
    <w:p>
      <w:pPr>
        <w:keepNext/>
        <w:spacing w:before="40" w:after="20"/>
      </w:pPr>
      <w:r>
        <w:rPr>
          <w:rFonts w:ascii="Calibri" w:hAnsi="Calibri"/>
          <w:b/>
          <w:color w:val="10364A"/>
          <w:sz w:val="19"/>
        </w:rPr>
        <w:t>One skill or area of confidence to develop</w:t>
      </w:r>
    </w:p>
    <w:p>
      <w:pPr>
        <w:keepLines/>
        <w:spacing w:after="40" w:line="240" w:lineRule="auto"/>
        <w:ind w:left="86" w:right="86"/>
        <w:shd w:fill="F5F8F9"/>
      </w:pPr>
      <w:r>
        <w:rPr>
          <w:rFonts w:ascii="Calibri" w:hAnsi="Calibri"/>
          <w:i/>
          <w:color w:val="53636D"/>
          <w:sz w:val="18"/>
        </w:rPr>
        <w:t>[Type here]</w:t>
      </w:r>
    </w:p>
    <w:p>
      <w:pPr>
        <w:keepNext/>
        <w:spacing w:before="100" w:after="40"/>
      </w:pPr>
      <w:r>
        <w:rPr>
          <w:rFonts w:ascii="Calibri" w:hAnsi="Calibri"/>
          <w:b/>
          <w:color w:val="15647A"/>
          <w:sz w:val="26"/>
        </w:rPr>
        <w:t>6. Immediate priority</w:t>
      </w:r>
    </w:p>
    <w:p>
      <w:pPr>
        <w:keepNext/>
        <w:spacing w:before="40" w:after="20"/>
      </w:pPr>
      <w:r>
        <w:rPr>
          <w:rFonts w:ascii="Calibri" w:hAnsi="Calibri"/>
          <w:b/>
          <w:color w:val="10364A"/>
          <w:sz w:val="19"/>
        </w:rPr>
        <w:t>What is the one improvement or priority for the next 30 days?</w:t>
      </w:r>
    </w:p>
    <w:p>
      <w:pPr>
        <w:keepLines/>
        <w:spacing w:after="40" w:line="240" w:lineRule="auto"/>
        <w:ind w:left="86" w:right="86"/>
        <w:shd w:fill="F5F8F9"/>
      </w:pPr>
      <w:r>
        <w:rPr>
          <w:rFonts w:ascii="Calibri" w:hAnsi="Calibri"/>
          <w:i/>
          <w:color w:val="53636D"/>
          <w:sz w:val="18"/>
        </w:rPr>
        <w:t>[Type here]</w:t>
      </w:r>
    </w:p>
    <w:p>
      <w:pPr>
        <w:keepNext/>
        <w:spacing w:before="100" w:after="40"/>
      </w:pPr>
      <w:r>
        <w:rPr>
          <w:rFonts w:ascii="Calibri" w:hAnsi="Calibri"/>
          <w:b/>
          <w:color w:val="15647A"/>
          <w:sz w:val="26"/>
        </w:rPr>
        <w:t>7. Review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2200"/>
        <w:gridCol w:w="4560"/>
      </w:tblGrid>
      <w:tr>
        <w:trPr>
          <w:tblHeader w:val="true"/>
          <w:cantSplit/>
        </w:trPr>
        <w:tc>
          <w:tcPr>
            <w:tcW w:type="dxa" w:w="260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Check-in rhythm</w:t>
            </w:r>
          </w:p>
        </w:tc>
        <w:tc>
          <w:tcPr>
            <w:tcW w:type="dxa" w:w="220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Review date</w:t>
            </w:r>
          </w:p>
        </w:tc>
        <w:tc>
          <w:tcPr>
            <w:tcW w:type="dxa" w:w="4560"/>
            <w:shd w:fill="15647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Change this agreement when...</w:t>
            </w:r>
          </w:p>
        </w:tc>
      </w:tr>
      <w:tr>
        <w:trPr>
          <w:cantSplit/>
        </w:trPr>
        <w:tc>
          <w:tcPr>
            <w:tcW w:type="dxa" w:w="260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i/>
                <w:color w:val="53636D"/>
                <w:sz w:val="18"/>
              </w:rPr>
              <w:t>Weekly / fortnightly / monthly</w:t>
            </w:r>
          </w:p>
        </w:tc>
        <w:tc>
          <w:tcPr>
            <w:tcW w:type="dxa" w:w="220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i/>
                <w:color w:val="53636D"/>
                <w:sz w:val="18"/>
              </w:rPr>
              <w:t>[Date]</w:t>
            </w:r>
          </w:p>
        </w:tc>
        <w:tc>
          <w:tcPr>
            <w:tcW w:type="dxa" w:w="4560"/>
            <w:shd w:fill="F5F8F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i/>
                <w:color w:val="53636D"/>
                <w:sz w:val="18"/>
              </w:rPr>
              <w:t>The work, standard or support changes</w:t>
            </w:r>
          </w:p>
        </w:tc>
      </w:tr>
    </w:tbl>
    <w:p>
      <w:pPr>
        <w:keepLines/>
        <w:spacing w:before="80" w:after="120"/>
        <w:ind w:left="115" w:right="115"/>
        <w:shd w:fill="F6E7B0"/>
      </w:pPr>
      <w:r>
        <w:rPr>
          <w:rFonts w:ascii="Calibri" w:hAnsi="Calibri"/>
          <w:b/>
          <w:color w:val="15647A"/>
          <w:sz w:val="22"/>
        </w:rPr>
        <w:t xml:space="preserve">Important. </w:t>
      </w:r>
      <w:r>
        <w:rPr>
          <w:rFonts w:ascii="Calibri" w:hAnsi="Calibri"/>
          <w:color w:val="17252E"/>
          <w:sz w:val="22"/>
        </w:rPr>
        <w:t>This is a practical working agreement, not a substitute for an employment contract or a disciplinary process. Review it when the job or operating conditions change.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Calibri" w:hAnsi="Calibri"/>
        <w:color w:val="53636D"/>
        <w:sz w:val="18"/>
      </w:rPr>
      <w:t>Course Correction Consulting LTD</w:t>
    </w:r>
  </w:p>
  <w:p>
    <w:pPr>
      <w:jc w:val="right"/>
    </w:pPr>
    <w:r>
      <w:rPr>
        <w:rFonts w:ascii="Calibri" w:hAnsi="Calibri"/>
        <w:color w:val="53636D"/>
        <w:sz w:val="18"/>
      </w:rPr>
      <w:t xml:space="preserve">Page </w:t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3636D"/>
        <w:sz w:val="18"/>
      </w:rPr>
      <w:t>Course Correction Consulting LTD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5" w:space="3" w:color="E8ECEF"/>
      </w:pBdr>
    </w:pPr>
    <w:r>
      <w:rPr>
        <w:rFonts w:ascii="Calibri" w:hAnsi="Calibri"/>
        <w:b/>
        <w:color w:val="53636D"/>
        <w:sz w:val="17"/>
      </w:rPr>
      <w:t>SIMPLE ROLE CLARITY AND PERFORMANCE AGREEMENT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252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76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15647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76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1564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76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036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0364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40" w:lineRule="auto"/>
    </w:pPr>
    <w:rPr>
      <w:rFonts w:asciiTheme="majorHAnsi" w:eastAsiaTheme="majorEastAsia" w:hAnsiTheme="majorHAnsi" w:cstheme="majorBidi" w:ascii="Calibri" w:hAnsi="Calibri"/>
      <w:b w:val="0"/>
      <w:i/>
      <w:iCs/>
      <w:color w:val="53636D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Simple Operational Role Clarity and Performance Agreement</dc:title>
  <dc:subject>Manager-employee working form for well-defined operational roles</dc:subject>
  <dc:creator>Course Correction Consulting LTD</dc:creator>
  <cp:keywords>role clarity; decision rights; performance; organisational judgement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