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280" w:lineRule="auto"/>
        <w:jc w:val="center"/>
        <w:rPr>
          <w:u w:val="single"/>
        </w:rPr>
      </w:pPr>
      <w:bookmarkStart w:colFirst="0" w:colLast="0" w:name="_fw5gl02vbo10" w:id="0"/>
      <w:bookmarkEnd w:id="0"/>
      <w:r w:rsidDel="00000000" w:rsidR="00000000" w:rsidRPr="00000000">
        <w:rPr>
          <w:u w:val="single"/>
          <w:rtl w:val="0"/>
        </w:rPr>
        <w:t xml:space="preserve">Uhubs Security &amp; Trust Overview</w:t>
      </w:r>
    </w:p>
    <w:p w:rsidR="00000000" w:rsidDel="00000000" w:rsidP="00000000" w:rsidRDefault="00000000" w:rsidRPr="00000000" w14:paraId="00000002">
      <w:pPr>
        <w:pStyle w:val="Heading2"/>
        <w:keepNext w:val="0"/>
        <w:keepLines w:val="0"/>
        <w:spacing w:after="40" w:before="240" w:lineRule="auto"/>
        <w:rPr>
          <w:b w:val="1"/>
          <w:bCs w:val="1"/>
        </w:rPr>
      </w:pPr>
      <w:bookmarkStart w:colFirst="0" w:colLast="0" w:name="_ekh0sysq367s" w:id="1"/>
      <w:bookmarkEnd w:id="1"/>
      <w:r w:rsidDel="00000000" w:rsidR="00000000" w:rsidRPr="00000000">
        <w:rPr>
          <w:b w:val="1"/>
          <w:bCs w:val="1"/>
          <w:rtl w:val="0"/>
        </w:rPr>
        <w:t xml:space="preserve">Executive Summary</w:t>
      </w:r>
    </w:p>
    <w:p w:rsidR="00000000" w:rsidDel="00000000" w:rsidP="00000000" w:rsidRDefault="00000000" w:rsidRPr="00000000" w14:paraId="000000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Uhubs, information security and data governance are foundational to our operations. We are committed to protecting customer data, ensuring compliance with industry standards, and fostering transparency. Our policies are structured in alignment with the Cloud Security Alliance (CSA) Consensus Assessments Initiative Questionnaire (CAIQ) v4.0.3 and the SOC 2 standard, emphasizing robust controls across audit, risk management, data protection, and operational resilience. While we are not yet SOC 2 certified, our practices are designed to meet SOC 2 criteria, including regular risk assessments, incident response, and third-party vendor evaluations. We store minimal personal data using techniques like encryption, anonymization, and data minimization to mitigate risks. Our Data Protection Officer (DPO), Matt Milligan, oversees compliance, and policies are reviewed annually to adapt to evolving threats. This overview summarizes our key controls, with the full Uhubs Trust Center attached as evidence.</w:t>
      </w:r>
    </w:p>
    <w:p w:rsidR="00000000" w:rsidDel="00000000" w:rsidP="00000000" w:rsidRDefault="00000000" w:rsidRPr="00000000" w14:paraId="00000004">
      <w:pPr>
        <w:pStyle w:val="Heading2"/>
        <w:keepNext w:val="0"/>
        <w:keepLines w:val="0"/>
        <w:spacing w:after="40" w:before="240" w:lineRule="auto"/>
        <w:rPr>
          <w:b w:val="1"/>
          <w:bCs w:val="1"/>
        </w:rPr>
      </w:pPr>
      <w:bookmarkStart w:colFirst="0" w:colLast="0" w:name="_aiq9qw5p77io" w:id="2"/>
      <w:bookmarkEnd w:id="2"/>
      <w:r w:rsidDel="00000000" w:rsidR="00000000" w:rsidRPr="00000000">
        <w:rPr>
          <w:b w:val="1"/>
          <w:bCs w:val="1"/>
          <w:rtl w:val="0"/>
        </w:rPr>
        <w:t xml:space="preserve">Governance &amp; Ownership</w:t>
      </w:r>
    </w:p>
    <w:p w:rsidR="00000000" w:rsidDel="00000000" w:rsidP="00000000" w:rsidRDefault="00000000" w:rsidRPr="00000000" w14:paraId="000000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Uhubs maintains a structured governance framework to ensure accountability and compliance:</w:t>
      </w:r>
    </w:p>
    <w:p w:rsidR="00000000" w:rsidDel="00000000" w:rsidP="00000000" w:rsidRDefault="00000000" w:rsidRPr="00000000" w14:paraId="00000006">
      <w:pPr>
        <w:numPr>
          <w:ilvl w:val="0"/>
          <w:numId w:val="2"/>
        </w:numPr>
        <w:spacing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Protection Officer (DPO)</w:t>
      </w:r>
      <w:r w:rsidDel="00000000" w:rsidR="00000000" w:rsidRPr="00000000">
        <w:rPr>
          <w:rFonts w:ascii="Times New Roman" w:cs="Times New Roman" w:eastAsia="Times New Roman" w:hAnsi="Times New Roman"/>
          <w:rtl w:val="0"/>
        </w:rPr>
        <w:t xml:space="preserve">: Matt Milligan holds ultimate responsibility for data governance, including compliance with GDPR, oversight of Data Protection Impact Assessments (DPIAs), and handling user data requests (via support@uhubs.co.uk).</w:t>
      </w:r>
    </w:p>
    <w:p w:rsidR="00000000" w:rsidDel="00000000" w:rsidP="00000000" w:rsidRDefault="00000000" w:rsidRPr="00000000" w14:paraId="00000007">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Policies Creator</w:t>
      </w:r>
      <w:r w:rsidDel="00000000" w:rsidR="00000000" w:rsidRPr="00000000">
        <w:rPr>
          <w:rFonts w:ascii="Times New Roman" w:cs="Times New Roman" w:eastAsia="Times New Roman" w:hAnsi="Times New Roman"/>
          <w:rtl w:val="0"/>
        </w:rPr>
        <w:t xml:space="preserve">: Radu Matei is responsible for developing and maintaining our policies.</w:t>
      </w:r>
    </w:p>
    <w:p w:rsidR="00000000" w:rsidDel="00000000" w:rsidP="00000000" w:rsidRDefault="00000000" w:rsidRPr="00000000" w14:paraId="00000008">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Advisory Board</w:t>
      </w:r>
      <w:r w:rsidDel="00000000" w:rsidR="00000000" w:rsidRPr="00000000">
        <w:rPr>
          <w:rFonts w:ascii="Times New Roman" w:cs="Times New Roman" w:eastAsia="Times New Roman" w:hAnsi="Times New Roman"/>
          <w:rtl w:val="0"/>
        </w:rPr>
        <w:t xml:space="preserve">: An informal board of experienced ex-operators, founders, and advisors provides feedback on security and governance, with external independent guidance sought for high-risk projects.</w:t>
      </w:r>
    </w:p>
    <w:p w:rsidR="00000000" w:rsidDel="00000000" w:rsidP="00000000" w:rsidRDefault="00000000" w:rsidRPr="00000000" w14:paraId="00000009">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Management</w:t>
      </w:r>
      <w:r w:rsidDel="00000000" w:rsidR="00000000" w:rsidRPr="00000000">
        <w:rPr>
          <w:rFonts w:ascii="Times New Roman" w:cs="Times New Roman" w:eastAsia="Times New Roman" w:hAnsi="Times New Roman"/>
          <w:rtl w:val="0"/>
        </w:rPr>
        <w:t xml:space="preserve">: Comprehensive risk identification, assessments, and mitigation plans are conducted regularly, with escalation to senior management and clients as needed.</w:t>
      </w:r>
    </w:p>
    <w:p w:rsidR="00000000" w:rsidDel="00000000" w:rsidP="00000000" w:rsidRDefault="00000000" w:rsidRPr="00000000" w14:paraId="0000000A">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Compliance Assurance</w:t>
      </w:r>
      <w:r w:rsidDel="00000000" w:rsidR="00000000" w:rsidRPr="00000000">
        <w:rPr>
          <w:rFonts w:ascii="Times New Roman" w:cs="Times New Roman" w:eastAsia="Times New Roman" w:hAnsi="Times New Roman"/>
          <w:rtl w:val="0"/>
        </w:rPr>
        <w:t xml:space="preserve">: Policies align with applicable laws (e.g GDPR, UK employment laws), with periodic audits, training, and legal consultations to ensure adherence.</w:t>
      </w:r>
    </w:p>
    <w:p w:rsidR="00000000" w:rsidDel="00000000" w:rsidP="00000000" w:rsidRDefault="00000000" w:rsidRPr="00000000" w14:paraId="0000000B">
      <w:pPr>
        <w:numPr>
          <w:ilvl w:val="0"/>
          <w:numId w:val="2"/>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Continuous Improvement</w:t>
      </w:r>
      <w:r w:rsidDel="00000000" w:rsidR="00000000" w:rsidRPr="00000000">
        <w:rPr>
          <w:rFonts w:ascii="Times New Roman" w:cs="Times New Roman" w:eastAsia="Times New Roman" w:hAnsi="Times New Roman"/>
          <w:rtl w:val="0"/>
        </w:rPr>
        <w:t xml:space="preserve">: Annual policy reviews integrate feedback and adapt to regulatory changes.</w:t>
      </w:r>
      <w:r w:rsidDel="00000000" w:rsidR="00000000" w:rsidRPr="00000000">
        <w:rPr>
          <w:rtl w:val="0"/>
        </w:rPr>
      </w:r>
    </w:p>
    <w:p w:rsidR="00000000" w:rsidDel="00000000" w:rsidP="00000000" w:rsidRDefault="00000000" w:rsidRPr="00000000" w14:paraId="0000000C">
      <w:pPr>
        <w:pStyle w:val="Heading2"/>
        <w:keepNext w:val="0"/>
        <w:keepLines w:val="0"/>
        <w:spacing w:after="40" w:before="240" w:lineRule="auto"/>
        <w:rPr>
          <w:b w:val="1"/>
          <w:bCs w:val="1"/>
        </w:rPr>
      </w:pPr>
      <w:bookmarkStart w:colFirst="0" w:colLast="0" w:name="_j8fvwda54muo" w:id="3"/>
      <w:bookmarkEnd w:id="3"/>
      <w:r w:rsidDel="00000000" w:rsidR="00000000" w:rsidRPr="00000000">
        <w:rPr>
          <w:b w:val="1"/>
          <w:bCs w:val="1"/>
          <w:rtl w:val="0"/>
        </w:rPr>
        <w:t xml:space="preserve">Control Domains</w:t>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policies cover key domains in line with SOC 2 and CAIQ standards. Below is a high-level overview:</w:t>
      </w:r>
    </w:p>
    <w:tbl>
      <w:tblPr>
        <w:tblStyle w:val="Table1"/>
        <w:tblW w:w="9220.0" w:type="dxa"/>
        <w:jc w:val="left"/>
        <w:tblInd w:w="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50"/>
        <w:gridCol w:w="6170"/>
        <w:tblGridChange w:id="0">
          <w:tblGrid>
            <w:gridCol w:w="3050"/>
            <w:gridCol w:w="6170"/>
          </w:tblGrid>
        </w:tblGridChange>
      </w:tblGrid>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shd w:fill="cfe2f3" w:val="clear"/>
            <w:tcMar>
              <w:top w:w="100.0" w:type="dxa"/>
              <w:left w:w="100.0" w:type="dxa"/>
              <w:bottom w:w="100.0" w:type="dxa"/>
              <w:right w:w="100.0" w:type="dxa"/>
            </w:tcMar>
          </w:tcPr>
          <w:p w:rsidR="00000000" w:rsidDel="00000000" w:rsidP="00000000" w:rsidRDefault="00000000" w:rsidRPr="00000000" w14:paraId="0000000E">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Domain</w:t>
            </w:r>
          </w:p>
        </w:tc>
        <w:tc>
          <w:tcPr>
            <w:tcBorders>
              <w:top w:color="000000" w:space="0" w:sz="6" w:val="single"/>
              <w:left w:color="000000" w:space="0" w:sz="6" w:val="single"/>
              <w:bottom w:color="000000" w:space="0" w:sz="6" w:val="single"/>
              <w:right w:color="000000" w:space="0" w:sz="6" w:val="single"/>
            </w:tcBorders>
            <w:shd w:fill="cfe2f3" w:val="clear"/>
            <w:tcMar>
              <w:top w:w="100.0" w:type="dxa"/>
              <w:left w:w="100.0" w:type="dxa"/>
              <w:bottom w:w="100.0" w:type="dxa"/>
              <w:right w:w="100.0" w:type="dxa"/>
            </w:tcMar>
          </w:tcPr>
          <w:p w:rsidR="00000000" w:rsidDel="00000000" w:rsidP="00000000" w:rsidRDefault="00000000" w:rsidRPr="00000000" w14:paraId="0000000F">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Controls and Practices</w:t>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 &amp; Assurance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compliance checks, risk analysis, incident reporting, 5-step audit process, advisory board engagement, and continuous improvement.</w:t>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Application &amp; Interface Security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Gold-standard partners (e.g GCP, Postgres), Agile SDLC with bi-monthly releases, automated/manual testing, APM monitoring, and secure deployment via Gitlab.</w:t>
            </w:r>
          </w:p>
        </w:tc>
      </w:tr>
      <w:tr>
        <w:trPr>
          <w:cantSplit w:val="0"/>
          <w:trHeight w:val="131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Continuity Management &amp; Operational Resilience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 risk discussions, pre/post-mortems, data backups with fire drills, redundancy/failover systems, disaster response plans, employee training, and regulatory compliance.</w:t>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Change Control &amp; Configuration Management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Quarterly access reviews (least privilege), performance monitoring (Sentry), system drills, risk assessments for changes, detailed documentation, and 3-step rollback process.</w:t>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Security, Privacy Lifecycle Management &amp; Sub-Processors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classification, encryption, minimization, DPIAs, GDPR compliance, and vetted sub-processors (e.g Google Cloud, Fivetran).</w:t>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Governance, Risk &amp; Compliance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assessments, transparent communication, defined roles, incident response plans, third-party risk management, and employee training.</w:t>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 Resources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Rigorous recruitment/onboarding, background checks, data security training, clean desk policy, remote work guidelines, off-boarding, and incident reporting.</w:t>
            </w:r>
          </w:p>
        </w:tc>
      </w:tr>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Identity &amp; Access Management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RBAC (least privilege), MFA enforcement, VPNs, SSO, strong password policies, and regular access reviews.</w:t>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Interoperability &amp; Portability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API documentation (JIRA, Swagger), secure development lifecycle, incident response for APIs, and GDPR-compliant data retrieval.</w:t>
            </w:r>
          </w:p>
        </w:tc>
      </w:tr>
      <w:tr>
        <w:trPr>
          <w:cantSplit w:val="0"/>
          <w:trHeight w:val="131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Infrastructure &amp; Virtualization Security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 monitoring, restricted access, annual network reviews, segmentation, staged deployment (local/dev/staging/prod), and metrics tracking (bandwidth, resources).</w:t>
            </w:r>
          </w:p>
        </w:tc>
      </w:tr>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Logging &amp; Monitoring</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APM/in-house tools for event detection, automated alerts, RBAC for logs, structured logging, and pre/post-mortems.</w:t>
            </w:r>
          </w:p>
        </w:tc>
      </w:tr>
      <w:tr>
        <w:trPr>
          <w:cantSplit w:val="0"/>
          <w:trHeight w:val="131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Security Incident Management, E-Discovery &amp; Cloud Forensics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Vendor SLAs, incident response testing (simulations), KPIs (e.g resolution time), event triage (1-5 severity levels), breach notifications (within 72 hours), and contact maintenance.</w:t>
            </w:r>
          </w:p>
        </w:tc>
      </w:tr>
      <w:tr>
        <w:trPr>
          <w:cantSplit w:val="0"/>
          <w:trHeight w:val="131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Supply Chain Management, Transparency &amp; Accountability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Vendor assessments (security, certifications, stability), continuous monitoring, transparent communication, risk mitigation plans, and annual reviews.</w:t>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Threat &amp; Vulnerability Management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 scans, threat intelligence integration, severity classification, timed responses, tabletop exercises, and pre/post-mortems.</w:t>
            </w:r>
          </w:p>
        </w:tc>
      </w:tr>
    </w:tbl>
    <w:p w:rsidR="00000000" w:rsidDel="00000000" w:rsidP="00000000" w:rsidRDefault="00000000" w:rsidRPr="00000000" w14:paraId="0000002C">
      <w:pPr>
        <w:pStyle w:val="Heading4"/>
        <w:keepNext w:val="0"/>
        <w:keepLines w:val="0"/>
        <w:spacing w:after="40" w:before="240" w:lineRule="auto"/>
        <w:rPr>
          <w:rFonts w:ascii="Times New Roman" w:cs="Times New Roman" w:eastAsia="Times New Roman" w:hAnsi="Times New Roman"/>
          <w:color w:val="000000"/>
          <w:sz w:val="22"/>
          <w:szCs w:val="22"/>
        </w:rPr>
      </w:pPr>
      <w:bookmarkStart w:colFirst="0" w:colLast="0" w:name="_9f8xrf6m8pui" w:id="4"/>
      <w:bookmarkEnd w:id="4"/>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2"/>
        <w:keepNext w:val="0"/>
        <w:keepLines w:val="0"/>
        <w:spacing w:after="40" w:before="240" w:lineRule="auto"/>
        <w:rPr>
          <w:b w:val="1"/>
          <w:bCs w:val="1"/>
        </w:rPr>
      </w:pPr>
      <w:bookmarkStart w:colFirst="0" w:colLast="0" w:name="_2zc7pdqrykga" w:id="5"/>
      <w:bookmarkEnd w:id="5"/>
      <w:r w:rsidDel="00000000" w:rsidR="00000000" w:rsidRPr="00000000">
        <w:rPr>
          <w:b w:val="1"/>
          <w:bCs w:val="1"/>
          <w:rtl w:val="0"/>
        </w:rPr>
        <w:t xml:space="preserve">Incident Response &amp; BCDR</w:t>
      </w:r>
    </w:p>
    <w:p w:rsidR="00000000" w:rsidDel="00000000" w:rsidP="00000000" w:rsidRDefault="00000000" w:rsidRPr="00000000" w14:paraId="0000002E">
      <w:pPr>
        <w:numPr>
          <w:ilvl w:val="0"/>
          <w:numId w:val="4"/>
        </w:numPr>
        <w:spacing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Incident Response Plan</w:t>
      </w:r>
      <w:r w:rsidDel="00000000" w:rsidR="00000000" w:rsidRPr="00000000">
        <w:rPr>
          <w:rFonts w:ascii="Times New Roman" w:cs="Times New Roman" w:eastAsia="Times New Roman" w:hAnsi="Times New Roman"/>
          <w:rtl w:val="0"/>
        </w:rPr>
        <w:t xml:space="preserve">: Outlined in our Governance policy, it includes identification, assessment, containment, eradication/recovery, communication (via Slack/email), post-incident reviews, and continuous improvement. Incidents are categorized by severity (1-5), with protocols for overcommunication and stakeholder notification.</w:t>
      </w:r>
    </w:p>
    <w:p w:rsidR="00000000" w:rsidDel="00000000" w:rsidP="00000000" w:rsidRDefault="00000000" w:rsidRPr="00000000" w14:paraId="0000002F">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Business Continuity &amp; Disaster Recovery (BCDR</w:t>
      </w:r>
      <w:r w:rsidDel="00000000" w:rsidR="00000000" w:rsidRPr="00000000">
        <w:rPr>
          <w:rFonts w:ascii="Times New Roman" w:cs="Times New Roman" w:eastAsia="Times New Roman" w:hAnsi="Times New Roman"/>
          <w:rtl w:val="0"/>
        </w:rPr>
        <w:t xml:space="preserve">): Weekly management discussions on risks, pre/post-mortems for releases/issues, partnerships with GCP/Postgres for backups, redundancy/failover systems, remote work infrastructure, fire drill restorations, rapid response teams, employee training, regular drills, and cybersecurity-specific responses. Communication uses Slack, with contingency plans for failures.</w:t>
      </w:r>
    </w:p>
    <w:p w:rsidR="00000000" w:rsidDel="00000000" w:rsidP="00000000" w:rsidRDefault="00000000" w:rsidRPr="00000000" w14:paraId="00000030">
      <w:pPr>
        <w:numPr>
          <w:ilvl w:val="0"/>
          <w:numId w:val="4"/>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Testing</w:t>
      </w:r>
      <w:r w:rsidDel="00000000" w:rsidR="00000000" w:rsidRPr="00000000">
        <w:rPr>
          <w:rFonts w:ascii="Times New Roman" w:cs="Times New Roman" w:eastAsia="Times New Roman" w:hAnsi="Times New Roman"/>
          <w:rtl w:val="0"/>
        </w:rPr>
        <w:t xml:space="preserve">: Regular simulations (e.g cloud disruptions, data exfiltration) and drills ensure preparedness.</w:t>
      </w:r>
    </w:p>
    <w:p w:rsidR="00000000" w:rsidDel="00000000" w:rsidP="00000000" w:rsidRDefault="00000000" w:rsidRPr="00000000" w14:paraId="00000031">
      <w:pPr>
        <w:pStyle w:val="Heading2"/>
        <w:keepNext w:val="0"/>
        <w:keepLines w:val="0"/>
        <w:spacing w:after="40" w:before="240" w:lineRule="auto"/>
        <w:rPr>
          <w:b w:val="1"/>
          <w:bCs w:val="1"/>
        </w:rPr>
      </w:pPr>
      <w:bookmarkStart w:colFirst="0" w:colLast="0" w:name="_ta9jzgt73j3m" w:id="6"/>
      <w:bookmarkEnd w:id="6"/>
      <w:r w:rsidDel="00000000" w:rsidR="00000000" w:rsidRPr="00000000">
        <w:rPr>
          <w:b w:val="1"/>
          <w:bCs w:val="1"/>
          <w:rtl w:val="0"/>
        </w:rPr>
        <w:t xml:space="preserve">Data Protection &amp; Privacy</w:t>
      </w:r>
    </w:p>
    <w:p w:rsidR="00000000" w:rsidDel="00000000" w:rsidP="00000000" w:rsidRDefault="00000000" w:rsidRPr="00000000" w14:paraId="00000032">
      <w:pPr>
        <w:numPr>
          <w:ilvl w:val="0"/>
          <w:numId w:val="5"/>
        </w:numPr>
        <w:spacing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Governance</w:t>
      </w:r>
      <w:r w:rsidDel="00000000" w:rsidR="00000000" w:rsidRPr="00000000">
        <w:rPr>
          <w:rFonts w:ascii="Times New Roman" w:cs="Times New Roman" w:eastAsia="Times New Roman" w:hAnsi="Times New Roman"/>
          <w:rtl w:val="0"/>
        </w:rPr>
        <w:t xml:space="preserve">: Comprehensive policies aligned with GDPR, including classification (sensitivity-based), encryption, access controls, and minimization (hashing, anonymization).</w:t>
      </w:r>
    </w:p>
    <w:p w:rsidR="00000000" w:rsidDel="00000000" w:rsidP="00000000" w:rsidRDefault="00000000" w:rsidRPr="00000000" w14:paraId="00000033">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Stored Data</w:t>
      </w:r>
      <w:r w:rsidDel="00000000" w:rsidR="00000000" w:rsidRPr="00000000">
        <w:rPr>
          <w:rFonts w:ascii="Times New Roman" w:cs="Times New Roman" w:eastAsia="Times New Roman" w:hAnsi="Times New Roman"/>
          <w:rtl w:val="0"/>
        </w:rPr>
        <w:t xml:space="preserve">: Personal data (names, emails, job titles, performance reviews) and business metrics (sales/CRM/activity/call/deal/calendar data) are stored minimally to enhance user experience.</w:t>
      </w:r>
    </w:p>
    <w:p w:rsidR="00000000" w:rsidDel="00000000" w:rsidP="00000000" w:rsidRDefault="00000000" w:rsidRPr="00000000" w14:paraId="00000034">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DPIA Framework</w:t>
      </w:r>
      <w:r w:rsidDel="00000000" w:rsidR="00000000" w:rsidRPr="00000000">
        <w:rPr>
          <w:rFonts w:ascii="Times New Roman" w:cs="Times New Roman" w:eastAsia="Times New Roman" w:hAnsi="Times New Roman"/>
          <w:rtl w:val="0"/>
        </w:rPr>
        <w:t xml:space="preserve">: Systematic process assessing necessity, risks, and impacts, with stakeholder consultation and regular updates.</w:t>
      </w:r>
    </w:p>
    <w:p w:rsidR="00000000" w:rsidDel="00000000" w:rsidP="00000000" w:rsidRDefault="00000000" w:rsidRPr="00000000" w14:paraId="00000035">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User Rights</w:t>
      </w:r>
      <w:r w:rsidDel="00000000" w:rsidR="00000000" w:rsidRPr="00000000">
        <w:rPr>
          <w:rFonts w:ascii="Times New Roman" w:cs="Times New Roman" w:eastAsia="Times New Roman" w:hAnsi="Times New Roman"/>
          <w:rtl w:val="0"/>
        </w:rPr>
        <w:t xml:space="preserve">: Users can request data copies or deletion via support@uhubs.co.uk, with prompt responses.</w:t>
      </w:r>
    </w:p>
    <w:p w:rsidR="00000000" w:rsidDel="00000000" w:rsidP="00000000" w:rsidRDefault="00000000" w:rsidRPr="00000000" w14:paraId="00000036">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Sub-Processors</w:t>
      </w:r>
      <w:r w:rsidDel="00000000" w:rsidR="00000000" w:rsidRPr="00000000">
        <w:rPr>
          <w:rFonts w:ascii="Times New Roman" w:cs="Times New Roman" w:eastAsia="Times New Roman" w:hAnsi="Times New Roman"/>
          <w:rtl w:val="0"/>
        </w:rPr>
        <w:t xml:space="preserve">: Vetted for security (e.g SOC 2/ISO 27001 where available), transparency, and compliance. List includes Google Cloud, Postgres, Airtable, CustomerIO, Auth0, Zapier, Typeform, Amplitude, Tableau, and Fivetran.</w:t>
      </w:r>
    </w:p>
    <w:p w:rsidR="00000000" w:rsidDel="00000000" w:rsidP="00000000" w:rsidRDefault="00000000" w:rsidRPr="00000000" w14:paraId="00000037">
      <w:pPr>
        <w:numPr>
          <w:ilvl w:val="0"/>
          <w:numId w:val="5"/>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Documentation</w:t>
      </w:r>
      <w:r w:rsidDel="00000000" w:rsidR="00000000" w:rsidRPr="00000000">
        <w:rPr>
          <w:rFonts w:ascii="Times New Roman" w:cs="Times New Roman" w:eastAsia="Times New Roman" w:hAnsi="Times New Roman"/>
          <w:rtl w:val="0"/>
        </w:rPr>
        <w:t xml:space="preserve">: Maintained in JIRA for systems/pipelines.</w:t>
      </w:r>
    </w:p>
    <w:p w:rsidR="00000000" w:rsidDel="00000000" w:rsidP="00000000" w:rsidRDefault="00000000" w:rsidRPr="00000000" w14:paraId="000000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full details, see our Privacy Policy:</w:t>
      </w:r>
      <w:hyperlink r:id="rId6">
        <w:r w:rsidDel="00000000" w:rsidR="00000000" w:rsidRPr="00000000">
          <w:rPr>
            <w:rFonts w:ascii="Times New Roman" w:cs="Times New Roman" w:eastAsia="Times New Roman" w:hAnsi="Times New Roman"/>
            <w:rtl w:val="0"/>
          </w:rPr>
          <w:t xml:space="preserve"> </w:t>
        </w:r>
      </w:hyperlink>
      <w:hyperlink r:id="rId7">
        <w:r w:rsidDel="00000000" w:rsidR="00000000" w:rsidRPr="00000000">
          <w:rPr>
            <w:rFonts w:ascii="Times New Roman" w:cs="Times New Roman" w:eastAsia="Times New Roman" w:hAnsi="Times New Roman"/>
            <w:color w:val="1155cc"/>
            <w:u w:val="single"/>
            <w:rtl w:val="0"/>
          </w:rPr>
          <w:t xml:space="preserve">https://www.uhubs.ai/privacy-policy</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9">
      <w:pPr>
        <w:pStyle w:val="Heading2"/>
        <w:keepNext w:val="0"/>
        <w:keepLines w:val="0"/>
        <w:spacing w:after="40" w:before="240" w:lineRule="auto"/>
        <w:rPr>
          <w:b w:val="1"/>
          <w:bCs w:val="1"/>
        </w:rPr>
      </w:pPr>
      <w:bookmarkStart w:colFirst="0" w:colLast="0" w:name="_6tlpkk9438cj" w:id="7"/>
      <w:bookmarkEnd w:id="7"/>
      <w:r w:rsidDel="00000000" w:rsidR="00000000" w:rsidRPr="00000000">
        <w:rPr>
          <w:b w:val="1"/>
          <w:bCs w:val="1"/>
          <w:rtl w:val="0"/>
        </w:rPr>
        <w:t xml:space="preserve">Vendor Risk Management</w:t>
      </w:r>
    </w:p>
    <w:p w:rsidR="00000000" w:rsidDel="00000000" w:rsidP="00000000" w:rsidRDefault="00000000" w:rsidRPr="00000000" w14:paraId="0000003A">
      <w:pPr>
        <w:numPr>
          <w:ilvl w:val="0"/>
          <w:numId w:val="3"/>
        </w:numPr>
        <w:spacing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 Criteria</w:t>
      </w:r>
      <w:r w:rsidDel="00000000" w:rsidR="00000000" w:rsidRPr="00000000">
        <w:rPr>
          <w:rFonts w:ascii="Times New Roman" w:cs="Times New Roman" w:eastAsia="Times New Roman" w:hAnsi="Times New Roman"/>
          <w:rtl w:val="0"/>
        </w:rPr>
        <w:t xml:space="preserve">: Vendors evaluated on security practices, certifications (SOC 2/ISO 27001), market position, financial stability, and reliability.</w:t>
      </w:r>
    </w:p>
    <w:p w:rsidR="00000000" w:rsidDel="00000000" w:rsidP="00000000" w:rsidRDefault="00000000" w:rsidRPr="00000000" w14:paraId="0000003B">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Monitoring</w:t>
      </w:r>
      <w:r w:rsidDel="00000000" w:rsidR="00000000" w:rsidRPr="00000000">
        <w:rPr>
          <w:rFonts w:ascii="Times New Roman" w:cs="Times New Roman" w:eastAsia="Times New Roman" w:hAnsi="Times New Roman"/>
          <w:rtl w:val="0"/>
        </w:rPr>
        <w:t xml:space="preserve">: Continuous audits, communication on changes/risks, and documentation reviews.</w:t>
      </w:r>
    </w:p>
    <w:p w:rsidR="00000000" w:rsidDel="00000000" w:rsidP="00000000" w:rsidRDefault="00000000" w:rsidRPr="00000000" w14:paraId="0000003C">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Accountability</w:t>
      </w:r>
      <w:r w:rsidDel="00000000" w:rsidR="00000000" w:rsidRPr="00000000">
        <w:rPr>
          <w:rFonts w:ascii="Times New Roman" w:cs="Times New Roman" w:eastAsia="Times New Roman" w:hAnsi="Times New Roman"/>
          <w:rtl w:val="0"/>
        </w:rPr>
        <w:t xml:space="preserve">: Assigned points of contact, escalation procedures, scheduled sessions, and risk mitigation plans (e.g for breaches/disruptions).</w:t>
      </w:r>
    </w:p>
    <w:p w:rsidR="00000000" w:rsidDel="00000000" w:rsidP="00000000" w:rsidRDefault="00000000" w:rsidRPr="00000000" w14:paraId="0000003D">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Reviews</w:t>
      </w:r>
      <w:r w:rsidDel="00000000" w:rsidR="00000000" w:rsidRPr="00000000">
        <w:rPr>
          <w:rFonts w:ascii="Times New Roman" w:cs="Times New Roman" w:eastAsia="Times New Roman" w:hAnsi="Times New Roman"/>
          <w:rtl w:val="0"/>
        </w:rPr>
        <w:t xml:space="preserve">: Annual and event-triggered (e.g., leadership changes, incidents), with a tick-list for security, stability, operations, transparency, and compliance.</w:t>
      </w:r>
    </w:p>
    <w:p w:rsidR="00000000" w:rsidDel="00000000" w:rsidP="00000000" w:rsidRDefault="00000000" w:rsidRPr="00000000" w14:paraId="0000003E">
      <w:pPr>
        <w:numPr>
          <w:ilvl w:val="0"/>
          <w:numId w:val="3"/>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Sub-Processor Engagement</w:t>
      </w:r>
      <w:r w:rsidDel="00000000" w:rsidR="00000000" w:rsidRPr="00000000">
        <w:rPr>
          <w:rFonts w:ascii="Times New Roman" w:cs="Times New Roman" w:eastAsia="Times New Roman" w:hAnsi="Times New Roman"/>
          <w:rtl w:val="0"/>
        </w:rPr>
        <w:t xml:space="preserve">: Based on transparency, security, and legal compliance, with contractual obligations.</w:t>
      </w:r>
    </w:p>
    <w:p w:rsidR="00000000" w:rsidDel="00000000" w:rsidP="00000000" w:rsidRDefault="00000000" w:rsidRPr="00000000" w14:paraId="0000003F">
      <w:pPr>
        <w:pStyle w:val="Heading4"/>
        <w:keepNext w:val="0"/>
        <w:keepLines w:val="0"/>
        <w:spacing w:after="40" w:before="240" w:lineRule="auto"/>
        <w:rPr>
          <w:rFonts w:ascii="Times New Roman" w:cs="Times New Roman" w:eastAsia="Times New Roman" w:hAnsi="Times New Roman"/>
          <w:color w:val="000000"/>
          <w:sz w:val="22"/>
          <w:szCs w:val="22"/>
        </w:rPr>
      </w:pPr>
      <w:bookmarkStart w:colFirst="0" w:colLast="0" w:name="_umhpdhe0zfzu" w:id="8"/>
      <w:bookmarkEnd w:id="8"/>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2"/>
        <w:keepNext w:val="0"/>
        <w:keepLines w:val="0"/>
        <w:spacing w:after="40" w:before="240" w:lineRule="auto"/>
        <w:rPr>
          <w:b w:val="1"/>
          <w:bCs w:val="1"/>
        </w:rPr>
      </w:pPr>
      <w:bookmarkStart w:colFirst="0" w:colLast="0" w:name="_gmn6fgf3jdzo" w:id="9"/>
      <w:bookmarkEnd w:id="9"/>
      <w:r w:rsidDel="00000000" w:rsidR="00000000" w:rsidRPr="00000000">
        <w:rPr>
          <w:b w:val="1"/>
          <w:bCs w:val="1"/>
          <w:rtl w:val="0"/>
        </w:rPr>
        <w:t xml:space="preserve">SOC 2 Roadmap &amp; Trust Center Links</w:t>
      </w:r>
    </w:p>
    <w:p w:rsidR="00000000" w:rsidDel="00000000" w:rsidP="00000000" w:rsidRDefault="00000000" w:rsidRPr="00000000" w14:paraId="000000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Uhubs's policies are designed in line with SOC 2 standards via CSA's CAIQ framework. We are actively working toward SOC 2 Type I certification, with a target completion by mid-2026, followed by Type II. This includes ongoing internal audits, enhanced controls, and third-party assessments. Our full CAIQ Assessment is available.</w:t>
      </w:r>
    </w:p>
    <w:p w:rsidR="00000000" w:rsidDel="00000000" w:rsidP="00000000" w:rsidRDefault="00000000" w:rsidRPr="00000000" w14:paraId="00000042">
      <w:pPr>
        <w:numPr>
          <w:ilvl w:val="0"/>
          <w:numId w:val="1"/>
        </w:numPr>
        <w:spacing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Trust Center</w:t>
      </w:r>
      <w:r w:rsidDel="00000000" w:rsidR="00000000" w:rsidRPr="00000000">
        <w:rPr>
          <w:rFonts w:ascii="Times New Roman" w:cs="Times New Roman" w:eastAsia="Times New Roman" w:hAnsi="Times New Roman"/>
          <w:rtl w:val="0"/>
        </w:rPr>
        <w:t xml:space="preserve">: Attached as evidence</w:t>
      </w:r>
      <w:hyperlink r:id="rId8">
        <w:r w:rsidDel="00000000" w:rsidR="00000000" w:rsidRPr="00000000">
          <w:rPr>
            <w:rFonts w:ascii="Times New Roman" w:cs="Times New Roman" w:eastAsia="Times New Roman" w:hAnsi="Times New Roman"/>
            <w:color w:val="1155cc"/>
            <w:u w:val="single"/>
            <w:rtl w:val="0"/>
          </w:rPr>
          <w:t xml:space="preserve"> here</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3">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Privacy Policy</w:t>
      </w:r>
      <w:r w:rsidDel="00000000" w:rsidR="00000000" w:rsidRPr="00000000">
        <w:rPr>
          <w:rFonts w:ascii="Times New Roman" w:cs="Times New Roman" w:eastAsia="Times New Roman" w:hAnsi="Times New Roman"/>
          <w:rtl w:val="0"/>
        </w:rPr>
        <w:t xml:space="preserve">:</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https://www.uhubs.ai/privacy-policy</w:t>
        </w:r>
      </w:hyperlink>
      <w:r w:rsidDel="00000000" w:rsidR="00000000" w:rsidRPr="00000000">
        <w:rPr>
          <w:rtl w:val="0"/>
        </w:rPr>
      </w:r>
    </w:p>
    <w:p w:rsidR="00000000" w:rsidDel="00000000" w:rsidP="00000000" w:rsidRDefault="00000000" w:rsidRPr="00000000" w14:paraId="00000044">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Terms of Service</w:t>
      </w:r>
      <w:r w:rsidDel="00000000" w:rsidR="00000000" w:rsidRPr="00000000">
        <w:rPr>
          <w:rFonts w:ascii="Times New Roman" w:cs="Times New Roman" w:eastAsia="Times New Roman" w:hAnsi="Times New Roman"/>
          <w:rtl w:val="0"/>
        </w:rPr>
        <w:t xml:space="preserve">:</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color w:val="1155cc"/>
            <w:u w:val="single"/>
            <w:rtl w:val="0"/>
          </w:rPr>
          <w:t xml:space="preserve">https://www.uhubs.ai/terms-and-conditions</w:t>
        </w:r>
      </w:hyperlink>
      <w:r w:rsidDel="00000000" w:rsidR="00000000" w:rsidRPr="00000000">
        <w:rPr>
          <w:rtl w:val="0"/>
        </w:rPr>
      </w:r>
    </w:p>
    <w:p w:rsidR="00000000" w:rsidDel="00000000" w:rsidP="00000000" w:rsidRDefault="00000000" w:rsidRPr="00000000" w14:paraId="00000045">
      <w:pPr>
        <w:numPr>
          <w:ilvl w:val="0"/>
          <w:numId w:val="1"/>
        </w:numPr>
        <w:spacing w:after="0" w:after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Integration Setup</w:t>
      </w:r>
      <w:r w:rsidDel="00000000" w:rsidR="00000000" w:rsidRPr="00000000">
        <w:rPr>
          <w:rFonts w:ascii="Times New Roman" w:cs="Times New Roman" w:eastAsia="Times New Roman" w:hAnsi="Times New Roman"/>
          <w:rtl w:val="0"/>
        </w:rPr>
        <w:t xml:space="preserve">: Documentation for KPI syncing into Uhubs dashboard</w:t>
      </w:r>
    </w:p>
    <w:p w:rsidR="00000000" w:rsidDel="00000000" w:rsidP="00000000" w:rsidRDefault="00000000" w:rsidRPr="00000000" w14:paraId="00000046">
      <w:pPr>
        <w:numPr>
          <w:ilvl w:val="0"/>
          <w:numId w:val="1"/>
        </w:numPr>
        <w:spacing w:after="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Redacted Pentest Report: Attached as evidence here</w:t>
      </w:r>
    </w:p>
    <w:p w:rsidR="00000000" w:rsidDel="00000000" w:rsidP="00000000" w:rsidRDefault="00000000" w:rsidRPr="00000000" w14:paraId="00000047">
      <w:pPr>
        <w:spacing w:after="240" w:before="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For questions or access to additional evidence (DPIA samples, audit reports), contact support@uhubs.co.uk or DPO Matt Milligan.</w:t>
      </w:r>
    </w:p>
    <w:sectPr>
      <w:head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uhubs.ai/terms-and-conditions" TargetMode="External"/><Relationship Id="rId10" Type="http://schemas.openxmlformats.org/officeDocument/2006/relationships/hyperlink" Target="https://www.uhubs.ai/privacy-policy" TargetMode="External"/><Relationship Id="rId13" Type="http://schemas.openxmlformats.org/officeDocument/2006/relationships/header" Target="header1.xml"/><Relationship Id="rId12" Type="http://schemas.openxmlformats.org/officeDocument/2006/relationships/hyperlink" Target="https://www.uhubs.ai/terms-and-conditio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hubs.ai/privacy-policy" TargetMode="External"/><Relationship Id="rId5" Type="http://schemas.openxmlformats.org/officeDocument/2006/relationships/styles" Target="styles.xml"/><Relationship Id="rId6" Type="http://schemas.openxmlformats.org/officeDocument/2006/relationships/hyperlink" Target="https://www.uhubs.ai/privacy-policy" TargetMode="External"/><Relationship Id="rId7" Type="http://schemas.openxmlformats.org/officeDocument/2006/relationships/hyperlink" Target="https://www.uhubs.ai/privacy-policy" TargetMode="External"/><Relationship Id="rId8" Type="http://schemas.openxmlformats.org/officeDocument/2006/relationships/hyperlink" Target="https://dandelion-magic-37f.notion.site/Uhubs-Trust-Center-Information-Security-Data-Governance-af093e5c7cf2413db2903fad99fb33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