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d5kb8up9om6g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Executive Summary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Building a Strong, Sustainable Local Donor Base for St. Vincent de Paul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presentation outlines a practical, faith-rooted strategy for strengthening local donor support for St. Vincent de Paul. The approach is organized around three spheres of influence: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Prayer (Foundation)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Within the Parish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Within Your Sphere of Influence &amp; Community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its core, fundraising for St. Vincent de Paul is not transactional — it is spiritual. Donors give through the Society, not merely to it. It is very important to recognize this as a fundraiser.  Your role is as conduit, not owner.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5512v2tkwa0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Prayer: The Essential Foundation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development efforts must be rooted in persistent prayer.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Prayer invites grace — a force beyond our control working in our favor.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 are serving the very populations Scripture highlights: “Father to the fatherless and defender of widows” (Psalm 68:5).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Fundraising becomes an invitation to others’ spiritual growth in service to their neighbor, not a financial ask.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prayer, fundraising becomes effort-driven. With prayer, it becomes grace-driven.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aaltqufgc2l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Within the Parish: Working With Your Pastor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thriving St. Vincent de Paul conference strengthens parish vitality. Research consistently shows that active service ministries increase engagement and generosity.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uuszxecv7t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Parish Engagement Matters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Parishes with active outreach grow in participation and giving.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Service to the poor is central to Church teaching (affirmed by all three recent popes).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St. Vincent de Paul supports parish staff by absorbing social service burdens.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Active ministries attract active donors.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geibyi55upa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How to Work With Your Pastor (Best Practices)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qk1i4zsomtd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Start With Relationship — Not an Agenda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Get to know the pastor as a person.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Learn what motivates him.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Build trust before requesting support.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Pray for discernment on timing.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trust exists, truth can be shared.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wwofqlppib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Be Clear and Transparent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inviting him to dinner or a meeting: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Tell him beforehand you’ll discuss St. Vincent de Paul.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Respect his time and responsibilities.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Transparency builds credibility.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2x81mw0b8o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Help Him Win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Frame St. Vincent de Paul as: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Supporting parish mission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Strengthening parish vitality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Freeing staff time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Advancing evangelization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Offer solutions to his pressures — don’t add new ones.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ki84q8b7308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Invite Participation, Not Just Prayer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Avoid inviting him only to: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Say opening prayer and leave.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Instead: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Give him a meaningful role.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Let him witness the work firsthand.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Follow up and share outcomes.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Transformation happens through experience.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qn91arz9w6x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Leverage the Mass Announcement (Once a Year)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Treat it like your “Super Bowl commercial.”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2–3 minutes maximum.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Lead with story, not statistics.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Know your final line before you begin.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Ask the celebrant beforehand for a brief endorsement.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Envelopes are preferable to cash: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Capture donor information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Enable recurring gifts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oyy6ftc9hmys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How 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dx95kjoa9ujb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Not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3asytpcfozzi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to Work With Your Pastor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gmxamhnvvvt" w:id="13"/>
      <w:bookmarkEnd w:id="13"/>
      <w:sdt>
        <w:sdtPr>
          <w:id w:val="186935099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Ambush Him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Inviting him socially and then pitching immediately damages trust.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b23gyc8kxbrr" w:id="14"/>
      <w:bookmarkEnd w:id="14"/>
      <w:sdt>
        <w:sdtPr>
          <w:id w:val="-11752490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Start With a Long PowerPoint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 precedes presentation.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31a73wio0de" w:id="15"/>
      <w:bookmarkEnd w:id="15"/>
      <w:sdt>
        <w:sdtPr>
          <w:id w:val="-29086128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Treat Him Transactionally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is not a gatekeeper to be managed.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du5y2lilw6e" w:id="16"/>
      <w:bookmarkEnd w:id="16"/>
      <w:sdt>
        <w:sdtPr>
          <w:id w:val="169004963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Assume He Understands the Society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clergy are unaware of: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Its origins (founded by young adults)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Its evangelizing mission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Its parish-staff support role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Educate gently.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xwz183llq72" w:id="17"/>
      <w:bookmarkEnd w:id="17"/>
      <w:sdt>
        <w:sdtPr>
          <w:id w:val="66860995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Compete With Parish Giving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Avoid framing St. Vincent de Paul as competing for collection dollars.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Research shows active ministries increase overall parish generosity.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wufzm29aua" w:id="18"/>
      <w:bookmarkEnd w:id="18"/>
      <w:sdt>
        <w:sdtPr>
          <w:id w:val="156128762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26"/>
              <w:szCs w:val="26"/>
              <w:rtl w:val="0"/>
            </w:rPr>
            <w:t xml:space="preserve">❌ Do Not Rely Solely on “National” or “Top-Down” Influence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if diocesan leadership supports the Society, local trust drives local engagement.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qthvdmeewg1e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Within Your Sphere of Influence &amp; Community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3vgactiaadi8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Speak About the Society Naturally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love it, share it.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Tell real stories (without breaking confidentiality).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Share what moves you.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Avoid false humility.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can recommend a restaurant enthusiastically, you can recommend St. Vincent de Paul.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hqoicyixsev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Ask the “Magic Question”</w:t>
      </w:r>
    </w:p>
    <w:p w:rsidR="00000000" w:rsidDel="00000000" w:rsidP="00000000" w:rsidRDefault="00000000" w:rsidRPr="00000000" w14:paraId="00000060">
      <w:pPr>
        <w:ind w:left="440" w:firstLine="0"/>
        <w:rPr>
          <w:color w:val="111111"/>
          <w:sz w:val="35"/>
          <w:szCs w:val="35"/>
        </w:rPr>
      </w:pPr>
      <w:r w:rsidDel="00000000" w:rsidR="00000000" w:rsidRPr="00000000">
        <w:rPr>
          <w:color w:val="111111"/>
          <w:sz w:val="35"/>
          <w:szCs w:val="35"/>
          <w:rtl w:val="0"/>
        </w:rPr>
        <w:t xml:space="preserve">“Do you know anyone who might be willing to support us — financially or as a volunteer?”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Three of four responses are positive: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“Yes, I know someone.”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“That someone is me.”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“Tell me more.”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Even “No” clarifies and moves forward.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d6fjvy44ixp8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Partner With Local Businesses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Approach bulletin advertisers.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Seek percentage-of-day partnerships.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Request in-kind support (printing, supplies).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 partnership language, not rescue language.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“Thank you for helping us,” say:</w:t>
      </w:r>
    </w:p>
    <w:p w:rsidR="00000000" w:rsidDel="00000000" w:rsidP="00000000" w:rsidRDefault="00000000" w:rsidRPr="00000000" w14:paraId="0000006E">
      <w:pPr>
        <w:ind w:left="440" w:firstLine="0"/>
        <w:rPr>
          <w:color w:val="111111"/>
          <w:sz w:val="35"/>
          <w:szCs w:val="35"/>
        </w:rPr>
      </w:pPr>
      <w:r w:rsidDel="00000000" w:rsidR="00000000" w:rsidRPr="00000000">
        <w:rPr>
          <w:color w:val="111111"/>
          <w:sz w:val="35"/>
          <w:szCs w:val="35"/>
          <w:rtl w:val="0"/>
        </w:rPr>
        <w:t xml:space="preserve">“Thank you for helping your neighbors through us.”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t54z2kn9yeh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Core Message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St. Vincent de Paul is: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Evangelization in action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Parish-strengthening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Community-unifying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Spiritually transformative for donors</w:t>
        <w:br w:type="textWrapping"/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Personal invitation — rooted in prayer, relationship, and enthusiasm — is the most powerful driver of growth.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1dgeoe6as8l6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Final Takeaway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strong donor base is built through: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Persistent prayer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Relational trust with the pastor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Clear parish visibility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Story-driven appeals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Personal enthusiasm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Partnership language</w:t>
        <w:br w:type="textWrapping"/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Society is not a fundraiser that happens to serve the poor.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a spiritual mission that invites others into service.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when approached with humility, clarity, and courage, it strengthens not only finances — but the parish itself.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T3aP+giwFQMVUC9EgQECaxPrI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