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BAA56" w14:textId="24305E07" w:rsidR="00FB7E13" w:rsidRPr="00CC061F" w:rsidRDefault="006A77E3" w:rsidP="00CC061F">
      <w:pPr>
        <w:spacing w:line="240" w:lineRule="auto"/>
        <w:ind w:left="720" w:hanging="360"/>
        <w:jc w:val="center"/>
        <w:rPr>
          <w:b/>
          <w:sz w:val="28"/>
          <w:szCs w:val="28"/>
        </w:rPr>
      </w:pPr>
      <w:bookmarkStart w:id="0" w:name="_Toc91073119"/>
      <w:bookmarkStart w:id="1" w:name="_Toc94780782"/>
      <w:bookmarkStart w:id="2" w:name="_Toc161831217"/>
      <w:r w:rsidRPr="00CC061F">
        <w:rPr>
          <w:b/>
          <w:bCs/>
          <w:sz w:val="28"/>
          <w:szCs w:val="28"/>
        </w:rPr>
        <w:t xml:space="preserve">Sparrow Link </w:t>
      </w:r>
      <w:r w:rsidR="00CC061F" w:rsidRPr="00CC061F">
        <w:rPr>
          <w:b/>
          <w:bCs/>
          <w:sz w:val="28"/>
          <w:szCs w:val="28"/>
        </w:rPr>
        <w:t>Protocol Templates for IRB</w:t>
      </w:r>
    </w:p>
    <w:bookmarkEnd w:id="0"/>
    <w:bookmarkEnd w:id="1"/>
    <w:bookmarkEnd w:id="2"/>
    <w:p w14:paraId="73A592E7" w14:textId="77777777" w:rsidR="00FB7E13" w:rsidRPr="00CC061F" w:rsidRDefault="00FB7E13" w:rsidP="00CC061F">
      <w:pPr>
        <w:spacing w:line="240" w:lineRule="auto"/>
        <w:rPr>
          <w:b/>
          <w:bCs/>
        </w:rPr>
      </w:pPr>
    </w:p>
    <w:p w14:paraId="463851C7" w14:textId="5E4E6EBC" w:rsidR="006A77E3" w:rsidRPr="00CC061F" w:rsidRDefault="006A77E3" w:rsidP="00CC061F">
      <w:pPr>
        <w:pStyle w:val="ListParagraph"/>
        <w:numPr>
          <w:ilvl w:val="0"/>
          <w:numId w:val="5"/>
        </w:numPr>
        <w:spacing w:line="240" w:lineRule="auto"/>
        <w:rPr>
          <w:b/>
          <w:bCs/>
        </w:rPr>
      </w:pPr>
      <w:bookmarkStart w:id="3" w:name="_Toc91073033"/>
      <w:bookmarkStart w:id="4" w:name="_Toc94780697"/>
      <w:bookmarkStart w:id="5" w:name="_Toc140155664"/>
      <w:r w:rsidRPr="00CC061F">
        <w:rPr>
          <w:b/>
          <w:bCs/>
        </w:rPr>
        <w:t>Sparrow Link Device Description</w:t>
      </w:r>
    </w:p>
    <w:p w14:paraId="6E359B4C" w14:textId="038C8654" w:rsidR="00E13A20" w:rsidRPr="00CC061F" w:rsidRDefault="00E13A20" w:rsidP="00CC061F">
      <w:pPr>
        <w:pStyle w:val="DocumentText"/>
        <w:spacing w:after="0" w:line="240" w:lineRule="auto"/>
        <w:rPr>
          <w:rFonts w:ascii="Arial" w:hAnsi="Arial" w:cs="Arial"/>
          <w:sz w:val="22"/>
          <w:szCs w:val="22"/>
        </w:rPr>
      </w:pPr>
      <w:r w:rsidRPr="00CC061F">
        <w:rPr>
          <w:rFonts w:ascii="Arial" w:hAnsi="Arial" w:cs="Arial"/>
          <w:sz w:val="22"/>
          <w:szCs w:val="22"/>
        </w:rPr>
        <w:t>Sparrow Link is an extension of the FDA-cleared Sparrow Ascent wearable neurostimulation device</w:t>
      </w:r>
      <w:r w:rsidR="007B449F" w:rsidRPr="00CC061F">
        <w:rPr>
          <w:rFonts w:ascii="Arial" w:hAnsi="Arial" w:cs="Arial"/>
          <w:sz w:val="22"/>
          <w:szCs w:val="22"/>
        </w:rPr>
        <w:t xml:space="preserve"> </w:t>
      </w:r>
      <w:r w:rsidR="00C851A6" w:rsidRPr="00CC061F">
        <w:rPr>
          <w:rFonts w:ascii="Arial" w:hAnsi="Arial" w:cs="Arial"/>
          <w:sz w:val="22"/>
          <w:szCs w:val="22"/>
        </w:rPr>
        <w:t>(K230796)</w:t>
      </w:r>
      <w:r w:rsidRPr="00CC061F">
        <w:rPr>
          <w:rFonts w:ascii="Arial" w:hAnsi="Arial" w:cs="Arial"/>
          <w:sz w:val="22"/>
          <w:szCs w:val="22"/>
        </w:rPr>
        <w:t>. Sparrow Link is an investigational platform that allows researchers to customize the stimulation parameter output by the Sparrow Link Pulse Generator</w:t>
      </w:r>
      <w:r w:rsidR="00C851A6" w:rsidRPr="00CC061F">
        <w:rPr>
          <w:rFonts w:ascii="Arial" w:hAnsi="Arial" w:cs="Arial"/>
          <w:sz w:val="22"/>
          <w:szCs w:val="22"/>
        </w:rPr>
        <w:t xml:space="preserve"> for use in studies using non-invasive transcutaneous auricular neurostimulation (tAN) therapy. </w:t>
      </w:r>
    </w:p>
    <w:p w14:paraId="379DEFE2" w14:textId="77777777" w:rsidR="00C851A6" w:rsidRPr="00CC061F" w:rsidRDefault="00C851A6" w:rsidP="00CC061F">
      <w:pPr>
        <w:pStyle w:val="DocumentText"/>
        <w:spacing w:after="0" w:line="240" w:lineRule="auto"/>
        <w:rPr>
          <w:rFonts w:ascii="Arial" w:hAnsi="Arial" w:cs="Arial"/>
          <w:sz w:val="22"/>
          <w:szCs w:val="22"/>
        </w:rPr>
      </w:pPr>
    </w:p>
    <w:p w14:paraId="0093280B" w14:textId="63BF3B5F" w:rsidR="00C851A6" w:rsidRPr="00CC061F" w:rsidRDefault="00C851A6" w:rsidP="00CC061F">
      <w:pPr>
        <w:pStyle w:val="DocumentText"/>
        <w:spacing w:after="0" w:line="240" w:lineRule="auto"/>
        <w:rPr>
          <w:rFonts w:ascii="Arial" w:hAnsi="Arial" w:cs="Arial"/>
          <w:sz w:val="22"/>
          <w:szCs w:val="22"/>
        </w:rPr>
      </w:pPr>
      <w:r w:rsidRPr="00CC061F">
        <w:rPr>
          <w:rFonts w:ascii="Arial" w:hAnsi="Arial" w:cs="Arial"/>
          <w:sz w:val="22"/>
          <w:szCs w:val="22"/>
        </w:rPr>
        <w:t>The Sparrow Link Platform is comprised of the Sparrow Link Pulse Generator, Sparrow Link Mobile App, Sparrow Link Hub, and Sparrow Link Application Programming Interface (API)</w:t>
      </w:r>
      <w:r w:rsidR="009F50D1" w:rsidRPr="00CC061F">
        <w:rPr>
          <w:rFonts w:ascii="Arial" w:hAnsi="Arial" w:cs="Arial"/>
          <w:sz w:val="22"/>
          <w:szCs w:val="22"/>
        </w:rPr>
        <w:t xml:space="preserve"> (</w:t>
      </w:r>
      <w:r w:rsidR="009F50D1" w:rsidRPr="00CC061F">
        <w:rPr>
          <w:rFonts w:ascii="Arial" w:hAnsi="Arial" w:cs="Arial"/>
          <w:b/>
          <w:bCs/>
          <w:sz w:val="22"/>
          <w:szCs w:val="22"/>
        </w:rPr>
        <w:t>Figure 1</w:t>
      </w:r>
      <w:r w:rsidR="009F50D1" w:rsidRPr="00CC061F">
        <w:rPr>
          <w:rFonts w:ascii="Arial" w:hAnsi="Arial" w:cs="Arial"/>
          <w:sz w:val="22"/>
          <w:szCs w:val="22"/>
        </w:rPr>
        <w:t>)</w:t>
      </w:r>
      <w:r w:rsidRPr="00CC061F">
        <w:rPr>
          <w:rFonts w:ascii="Arial" w:hAnsi="Arial" w:cs="Arial"/>
          <w:sz w:val="22"/>
          <w:szCs w:val="22"/>
        </w:rPr>
        <w:t xml:space="preserve">. Researchers may customize the Sparrow Link Pulse Generator’s device settings and stimulation output parameters by using the Sparrow Link Mobile Application of Sparrow Link Hub with the Sparrow Link API developed by Spark Biomedical, Inc. </w:t>
      </w:r>
    </w:p>
    <w:p w14:paraId="50375ECB" w14:textId="77777777" w:rsidR="00E13A20" w:rsidRPr="00CC061F" w:rsidRDefault="00E13A20" w:rsidP="00CC061F">
      <w:pPr>
        <w:pStyle w:val="DocumentText"/>
        <w:spacing w:after="0" w:line="240" w:lineRule="auto"/>
        <w:rPr>
          <w:rFonts w:ascii="Arial" w:hAnsi="Arial" w:cs="Arial"/>
          <w:sz w:val="22"/>
          <w:szCs w:val="22"/>
        </w:rPr>
      </w:pPr>
    </w:p>
    <w:p w14:paraId="3B9FBE03" w14:textId="77777777" w:rsidR="00817B94" w:rsidRPr="00CC061F" w:rsidRDefault="00817B94" w:rsidP="00CC061F">
      <w:pPr>
        <w:pStyle w:val="DocumentText"/>
        <w:spacing w:after="0" w:line="240" w:lineRule="auto"/>
        <w:jc w:val="center"/>
        <w:rPr>
          <w:rFonts w:ascii="Arial" w:eastAsiaTheme="minorHAnsi" w:hAnsi="Arial" w:cs="Arial"/>
          <w:kern w:val="0"/>
          <w:sz w:val="22"/>
          <w:szCs w:val="22"/>
        </w:rPr>
      </w:pPr>
      <w:r w:rsidRPr="00CC061F">
        <w:rPr>
          <w:rFonts w:ascii="Arial" w:eastAsiaTheme="minorHAnsi" w:hAnsi="Arial" w:cs="Arial"/>
          <w:noProof/>
          <w:kern w:val="0"/>
          <w:sz w:val="22"/>
          <w:szCs w:val="22"/>
        </w:rPr>
        <w:drawing>
          <wp:inline distT="0" distB="0" distL="0" distR="0" wp14:anchorId="67618443" wp14:editId="231BFF4B">
            <wp:extent cx="5943600" cy="3404870"/>
            <wp:effectExtent l="0" t="0" r="0" b="5080"/>
            <wp:docPr id="1410244567"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44567" name="Picture 1" descr="A close-up of a device&#10;&#10;Description automatically generated"/>
                    <pic:cNvPicPr/>
                  </pic:nvPicPr>
                  <pic:blipFill>
                    <a:blip r:embed="rId8"/>
                    <a:stretch>
                      <a:fillRect/>
                    </a:stretch>
                  </pic:blipFill>
                  <pic:spPr>
                    <a:xfrm>
                      <a:off x="0" y="0"/>
                      <a:ext cx="5943600" cy="3404870"/>
                    </a:xfrm>
                    <a:prstGeom prst="rect">
                      <a:avLst/>
                    </a:prstGeom>
                  </pic:spPr>
                </pic:pic>
              </a:graphicData>
            </a:graphic>
          </wp:inline>
        </w:drawing>
      </w:r>
    </w:p>
    <w:p w14:paraId="7A494178" w14:textId="77777777" w:rsidR="00817B94" w:rsidRDefault="00817B94" w:rsidP="00CC061F">
      <w:pPr>
        <w:pStyle w:val="DocumentText"/>
        <w:spacing w:after="0" w:line="240" w:lineRule="auto"/>
        <w:jc w:val="center"/>
        <w:rPr>
          <w:rFonts w:ascii="Arial" w:eastAsiaTheme="minorHAnsi" w:hAnsi="Arial" w:cs="Arial"/>
          <w:kern w:val="0"/>
          <w:sz w:val="22"/>
          <w:szCs w:val="22"/>
        </w:rPr>
      </w:pPr>
      <w:r w:rsidRPr="00CC061F">
        <w:rPr>
          <w:rFonts w:ascii="Arial" w:eastAsiaTheme="minorHAnsi" w:hAnsi="Arial" w:cs="Arial"/>
          <w:b/>
          <w:bCs/>
          <w:kern w:val="0"/>
          <w:sz w:val="22"/>
          <w:szCs w:val="22"/>
        </w:rPr>
        <w:t>Figure 1:</w:t>
      </w:r>
      <w:r w:rsidRPr="00CC061F">
        <w:rPr>
          <w:rFonts w:ascii="Arial" w:eastAsiaTheme="minorHAnsi" w:hAnsi="Arial" w:cs="Arial"/>
          <w:kern w:val="0"/>
          <w:sz w:val="22"/>
          <w:szCs w:val="22"/>
        </w:rPr>
        <w:t xml:space="preserve"> Sparrow Link System. Earpiece (top), Hub (bottom left), Pulse Generator (middle), Cable (bottom right)</w:t>
      </w:r>
    </w:p>
    <w:p w14:paraId="3E6EECD4" w14:textId="77777777" w:rsidR="00251396" w:rsidRDefault="00251396" w:rsidP="00CC061F">
      <w:pPr>
        <w:pStyle w:val="DocumentText"/>
        <w:spacing w:after="0" w:line="240" w:lineRule="auto"/>
        <w:jc w:val="center"/>
        <w:rPr>
          <w:rFonts w:ascii="Arial" w:eastAsiaTheme="minorHAnsi" w:hAnsi="Arial" w:cs="Arial"/>
          <w:kern w:val="0"/>
          <w:sz w:val="22"/>
          <w:szCs w:val="22"/>
        </w:rPr>
      </w:pPr>
    </w:p>
    <w:p w14:paraId="7FEE917C" w14:textId="05B92EAA" w:rsidR="00251396" w:rsidRDefault="00C95736" w:rsidP="00CC061F">
      <w:pPr>
        <w:pStyle w:val="DocumentText"/>
        <w:spacing w:after="0" w:line="240" w:lineRule="auto"/>
        <w:jc w:val="center"/>
        <w:rPr>
          <w:rFonts w:ascii="Arial" w:eastAsiaTheme="minorHAnsi" w:hAnsi="Arial" w:cs="Arial"/>
          <w:kern w:val="0"/>
          <w:sz w:val="22"/>
          <w:szCs w:val="22"/>
        </w:rPr>
      </w:pPr>
      <w:r w:rsidRPr="003C050B">
        <w:rPr>
          <w:rFonts w:cs="Arial"/>
          <w:noProof/>
          <w:szCs w:val="22"/>
        </w:rPr>
        <w:lastRenderedPageBreak/>
        <w:drawing>
          <wp:inline distT="0" distB="0" distL="0" distR="0" wp14:anchorId="2C3FE3FC" wp14:editId="2A1A052D">
            <wp:extent cx="4638675" cy="3286224"/>
            <wp:effectExtent l="0" t="0" r="0" b="9525"/>
            <wp:docPr id="3" name="Picture 2" descr="A device with a cord attached to it&#10;&#10;AI-generated content may be incorrect.">
              <a:extLst xmlns:a="http://schemas.openxmlformats.org/drawingml/2006/main">
                <a:ext uri="{FF2B5EF4-FFF2-40B4-BE49-F238E27FC236}">
                  <a16:creationId xmlns:a16="http://schemas.microsoft.com/office/drawing/2014/main" id="{58A5A622-1BC8-B382-A96C-E90024E8F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evice with a cord attached to it&#10;&#10;AI-generated content may be incorrect.">
                      <a:extLst>
                        <a:ext uri="{FF2B5EF4-FFF2-40B4-BE49-F238E27FC236}">
                          <a16:creationId xmlns:a16="http://schemas.microsoft.com/office/drawing/2014/main" id="{58A5A622-1BC8-B382-A96C-E90024E8F36F}"/>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4601" cy="3290422"/>
                    </a:xfrm>
                    <a:prstGeom prst="rect">
                      <a:avLst/>
                    </a:prstGeom>
                    <a:noFill/>
                  </pic:spPr>
                </pic:pic>
              </a:graphicData>
            </a:graphic>
          </wp:inline>
        </w:drawing>
      </w:r>
    </w:p>
    <w:p w14:paraId="42CB0979" w14:textId="566B9891" w:rsidR="00C95736" w:rsidRPr="00C95736" w:rsidRDefault="00C95736" w:rsidP="00CC061F">
      <w:pPr>
        <w:pStyle w:val="DocumentText"/>
        <w:spacing w:after="0" w:line="240" w:lineRule="auto"/>
        <w:jc w:val="center"/>
        <w:rPr>
          <w:rFonts w:ascii="Arial" w:eastAsiaTheme="minorHAnsi" w:hAnsi="Arial" w:cs="Arial"/>
          <w:kern w:val="0"/>
          <w:sz w:val="22"/>
          <w:szCs w:val="22"/>
        </w:rPr>
      </w:pPr>
      <w:r>
        <w:rPr>
          <w:rFonts w:ascii="Arial" w:eastAsiaTheme="minorHAnsi" w:hAnsi="Arial" w:cs="Arial"/>
          <w:b/>
          <w:bCs/>
          <w:kern w:val="0"/>
          <w:sz w:val="22"/>
          <w:szCs w:val="22"/>
        </w:rPr>
        <w:t>Figure 1</w:t>
      </w:r>
      <w:r w:rsidR="00CA1578">
        <w:rPr>
          <w:rFonts w:ascii="Arial" w:eastAsiaTheme="minorHAnsi" w:hAnsi="Arial" w:cs="Arial"/>
          <w:b/>
          <w:bCs/>
          <w:kern w:val="0"/>
          <w:sz w:val="22"/>
          <w:szCs w:val="22"/>
        </w:rPr>
        <w:t>:</w:t>
      </w:r>
      <w:r>
        <w:rPr>
          <w:rFonts w:ascii="Arial" w:eastAsiaTheme="minorHAnsi" w:hAnsi="Arial" w:cs="Arial"/>
          <w:b/>
          <w:bCs/>
          <w:kern w:val="0"/>
          <w:sz w:val="22"/>
          <w:szCs w:val="22"/>
        </w:rPr>
        <w:t xml:space="preserve"> Alternate</w:t>
      </w:r>
      <w:r>
        <w:rPr>
          <w:rFonts w:ascii="Arial" w:eastAsiaTheme="minorHAnsi" w:hAnsi="Arial" w:cs="Arial"/>
          <w:kern w:val="0"/>
          <w:sz w:val="22"/>
          <w:szCs w:val="22"/>
        </w:rPr>
        <w:t xml:space="preserve"> (without Hub</w:t>
      </w:r>
      <w:r w:rsidR="00E50210">
        <w:rPr>
          <w:rFonts w:ascii="Arial" w:eastAsiaTheme="minorHAnsi" w:hAnsi="Arial" w:cs="Arial"/>
          <w:kern w:val="0"/>
          <w:sz w:val="22"/>
          <w:szCs w:val="22"/>
        </w:rPr>
        <w:t xml:space="preserve"> and with Mastoid Earpiece</w:t>
      </w:r>
      <w:r>
        <w:rPr>
          <w:rFonts w:ascii="Arial" w:eastAsiaTheme="minorHAnsi" w:hAnsi="Arial" w:cs="Arial"/>
          <w:kern w:val="0"/>
          <w:sz w:val="22"/>
          <w:szCs w:val="22"/>
        </w:rPr>
        <w:t xml:space="preserve">): The Sparrow Link System: (A) Earpiece </w:t>
      </w:r>
      <w:r w:rsidR="00E50210">
        <w:rPr>
          <w:rFonts w:ascii="Arial" w:eastAsiaTheme="minorHAnsi" w:hAnsi="Arial" w:cs="Arial"/>
          <w:kern w:val="0"/>
          <w:sz w:val="22"/>
          <w:szCs w:val="22"/>
        </w:rPr>
        <w:t>(Model 510), (B) Cable, and (C) Patient Controller</w:t>
      </w:r>
    </w:p>
    <w:p w14:paraId="41E9A65B" w14:textId="77777777" w:rsidR="00817B94" w:rsidRPr="00CC061F" w:rsidRDefault="00817B94" w:rsidP="00CC061F">
      <w:pPr>
        <w:pStyle w:val="DocumentText"/>
        <w:spacing w:after="0" w:line="240" w:lineRule="auto"/>
        <w:rPr>
          <w:rFonts w:ascii="Arial" w:hAnsi="Arial" w:cs="Arial"/>
          <w:sz w:val="22"/>
          <w:szCs w:val="22"/>
        </w:rPr>
      </w:pPr>
    </w:p>
    <w:p w14:paraId="5B1F7107" w14:textId="77777777" w:rsidR="00575BCE" w:rsidRPr="00CC061F" w:rsidRDefault="00575BCE" w:rsidP="00CC061F">
      <w:pPr>
        <w:pStyle w:val="TableParagraph"/>
        <w:rPr>
          <w:rFonts w:ascii="Arial" w:hAnsi="Arial" w:cs="Arial"/>
          <w:b/>
          <w:bCs/>
        </w:rPr>
      </w:pPr>
    </w:p>
    <w:p w14:paraId="60400A88" w14:textId="7A6173DB" w:rsidR="00575BCE" w:rsidRPr="00CC061F" w:rsidRDefault="00622335" w:rsidP="00CC061F">
      <w:pPr>
        <w:pStyle w:val="ProtocolHeading2"/>
        <w:rPr>
          <w:rFonts w:cs="Arial"/>
          <w:szCs w:val="22"/>
        </w:rPr>
      </w:pPr>
      <w:bookmarkStart w:id="6" w:name="_Toc91073028"/>
      <w:bookmarkStart w:id="7" w:name="_Toc94780691"/>
      <w:bookmarkStart w:id="8" w:name="_Toc140155658"/>
      <w:r w:rsidRPr="00CC061F">
        <w:rPr>
          <w:rFonts w:cs="Arial"/>
          <w:szCs w:val="22"/>
        </w:rPr>
        <w:t>Sparrow Link Pulse Generator</w:t>
      </w:r>
      <w:r w:rsidR="00575BCE" w:rsidRPr="00CC061F">
        <w:rPr>
          <w:rFonts w:cs="Arial"/>
          <w:szCs w:val="22"/>
        </w:rPr>
        <w:t xml:space="preserve"> (Model </w:t>
      </w:r>
      <w:r w:rsidRPr="00CC061F">
        <w:rPr>
          <w:rFonts w:cs="Arial"/>
          <w:szCs w:val="22"/>
        </w:rPr>
        <w:t>910</w:t>
      </w:r>
      <w:r w:rsidR="00575BCE" w:rsidRPr="00CC061F">
        <w:rPr>
          <w:rFonts w:cs="Arial"/>
          <w:szCs w:val="22"/>
        </w:rPr>
        <w:t>)</w:t>
      </w:r>
      <w:bookmarkEnd w:id="6"/>
      <w:bookmarkEnd w:id="7"/>
      <w:bookmarkEnd w:id="8"/>
    </w:p>
    <w:p w14:paraId="564D535E" w14:textId="51098691" w:rsidR="009F3D89" w:rsidRPr="00251396" w:rsidRDefault="00622335" w:rsidP="00251396">
      <w:pPr>
        <w:pStyle w:val="TableParagraph"/>
        <w:rPr>
          <w:rFonts w:ascii="Arial" w:eastAsia="Times New Roman" w:hAnsi="Arial" w:cs="Arial"/>
          <w:kern w:val="24"/>
        </w:rPr>
      </w:pPr>
      <w:r w:rsidRPr="00CC061F">
        <w:rPr>
          <w:rFonts w:ascii="Arial" w:eastAsia="Times New Roman" w:hAnsi="Arial" w:cs="Arial"/>
          <w:kern w:val="24"/>
        </w:rPr>
        <w:t xml:space="preserve">The Sparrow Link Pulse Generator is a hand-held, battery-powered, bi-phasic pulse generator designed to be carried </w:t>
      </w:r>
      <w:r w:rsidR="00463EFF">
        <w:rPr>
          <w:rFonts w:ascii="Arial" w:eastAsia="Times New Roman" w:hAnsi="Arial" w:cs="Arial"/>
          <w:kern w:val="24"/>
        </w:rPr>
        <w:t xml:space="preserve">or stationary </w:t>
      </w:r>
      <w:r w:rsidRPr="00CC061F">
        <w:rPr>
          <w:rFonts w:ascii="Arial" w:eastAsia="Times New Roman" w:hAnsi="Arial" w:cs="Arial"/>
          <w:kern w:val="24"/>
        </w:rPr>
        <w:t xml:space="preserve">while receiving tAN therapy. The Sparrow Link Pulse Generator is compatible with Sparrow Ascent components and accessories. The Pulse Generator delivers adjustable stimulation to the Sparrow Ascent Earpiece via the </w:t>
      </w:r>
      <w:r w:rsidR="00A9712D" w:rsidRPr="00CC061F">
        <w:rPr>
          <w:rFonts w:ascii="Arial" w:eastAsia="Times New Roman" w:hAnsi="Arial" w:cs="Arial"/>
          <w:kern w:val="24"/>
        </w:rPr>
        <w:t>Sparrow Ascent Cable. The Pulse Generator has a physical user interface compris</w:t>
      </w:r>
      <w:r w:rsidR="002310A2" w:rsidRPr="00CC061F">
        <w:rPr>
          <w:rFonts w:ascii="Arial" w:eastAsia="Times New Roman" w:hAnsi="Arial" w:cs="Arial"/>
          <w:kern w:val="24"/>
        </w:rPr>
        <w:t>ed of a 6-button keypad with a 1.5” LCD</w:t>
      </w:r>
      <w:r w:rsidR="00200CDD" w:rsidRPr="00CC061F">
        <w:rPr>
          <w:rFonts w:ascii="Arial" w:eastAsia="Times New Roman" w:hAnsi="Arial" w:cs="Arial"/>
          <w:kern w:val="24"/>
        </w:rPr>
        <w:t xml:space="preserve"> screen display and is powered by three standard Alkaline AAA batteries. The</w:t>
      </w:r>
      <w:r w:rsidR="00575BCE" w:rsidRPr="00CC061F">
        <w:rPr>
          <w:rFonts w:ascii="Arial" w:eastAsia="Times New Roman" w:hAnsi="Arial" w:cs="Arial"/>
          <w:kern w:val="24"/>
        </w:rPr>
        <w:t xml:space="preserve"> membrane keypad allows users the ability to power the device on and off, adjust stimulation intensity, and use an optional therapy timer. The 1.5” screen display allows users to navigate these settings easily while also displaying system status and battery life. The </w:t>
      </w:r>
      <w:r w:rsidR="004B244D" w:rsidRPr="00CC061F">
        <w:rPr>
          <w:rFonts w:ascii="Arial" w:eastAsia="Times New Roman" w:hAnsi="Arial" w:cs="Arial"/>
          <w:kern w:val="24"/>
        </w:rPr>
        <w:t>Pulse Generator</w:t>
      </w:r>
      <w:r w:rsidR="00575BCE" w:rsidRPr="00CC061F">
        <w:rPr>
          <w:rFonts w:ascii="Arial" w:eastAsia="Times New Roman" w:hAnsi="Arial" w:cs="Arial"/>
          <w:kern w:val="24"/>
        </w:rPr>
        <w:t xml:space="preserve"> also indicates to the user alerts and notifications. </w:t>
      </w:r>
      <w:bookmarkStart w:id="9" w:name="_Toc91073029"/>
      <w:bookmarkStart w:id="10" w:name="_Toc94780692"/>
      <w:bookmarkStart w:id="11" w:name="_Toc140155659"/>
    </w:p>
    <w:p w14:paraId="78361BAE" w14:textId="312E3FAB" w:rsidR="00575BCE" w:rsidRPr="00CC061F" w:rsidRDefault="009F50D1" w:rsidP="00CC061F">
      <w:pPr>
        <w:pStyle w:val="ProtocolHeading2"/>
        <w:rPr>
          <w:rFonts w:cs="Arial"/>
          <w:szCs w:val="22"/>
        </w:rPr>
      </w:pPr>
      <w:r w:rsidRPr="00CC061F">
        <w:rPr>
          <w:rFonts w:cs="Arial"/>
          <w:szCs w:val="22"/>
        </w:rPr>
        <w:t xml:space="preserve">Sparrow Ascent </w:t>
      </w:r>
      <w:r w:rsidR="00575BCE" w:rsidRPr="00CC061F">
        <w:rPr>
          <w:rFonts w:cs="Arial"/>
          <w:szCs w:val="22"/>
        </w:rPr>
        <w:t>Earpiece (Model 210/211)</w:t>
      </w:r>
      <w:bookmarkEnd w:id="9"/>
      <w:bookmarkEnd w:id="10"/>
      <w:bookmarkEnd w:id="11"/>
    </w:p>
    <w:p w14:paraId="4ED0E496" w14:textId="77777777" w:rsidR="00575BCE" w:rsidRPr="00CC061F" w:rsidRDefault="00575BCE" w:rsidP="00CC061F">
      <w:pPr>
        <w:pStyle w:val="TableParagraph"/>
        <w:rPr>
          <w:rFonts w:ascii="Arial" w:hAnsi="Arial" w:cs="Arial"/>
          <w:b/>
          <w:bCs/>
        </w:rPr>
      </w:pPr>
      <w:r w:rsidRPr="00CC061F">
        <w:rPr>
          <w:rFonts w:ascii="Arial" w:hAnsi="Arial" w:cs="Arial"/>
        </w:rPr>
        <w:t>The Earpiece is an ergonomically designed wearable stimulation interface designed to be worn around the left (Model 210) and right (Model 211) ear for up to 24 hours. Both the outer and inner parts are designed to be flexible and adjustable to fit various sized ears. The disposable component is designed to stay adhered to the skin and provide electrical connectivity up to 24 hours. The component is comprised of a printed circuit board embedded into polyethylene terephthalate (PET). The skin-facing surface of the Earpiece contains conductive ink covered with hydrocolloid medical grade adhesive to ensure sufficient skin contact (</w:t>
      </w:r>
      <w:r w:rsidRPr="00CC061F">
        <w:rPr>
          <w:rFonts w:ascii="Arial" w:hAnsi="Arial" w:cs="Arial"/>
          <w:b/>
          <w:bCs/>
        </w:rPr>
        <w:t>Figure 2A</w:t>
      </w:r>
      <w:r w:rsidRPr="00CC061F">
        <w:rPr>
          <w:rFonts w:ascii="Arial" w:hAnsi="Arial" w:cs="Arial"/>
        </w:rPr>
        <w:t>). The adhesive is water based and can be easily removed as desired. The Earpiece is worn on and around the auricle. The Earpiece is applied for each participant to position the electrodes to stimulate three key dermatome regions (</w:t>
      </w:r>
      <w:r w:rsidRPr="00CC061F">
        <w:rPr>
          <w:rFonts w:ascii="Arial" w:hAnsi="Arial" w:cs="Arial"/>
          <w:b/>
          <w:bCs/>
        </w:rPr>
        <w:t>Figure 2B</w:t>
      </w:r>
      <w:r w:rsidRPr="00CC061F">
        <w:rPr>
          <w:rFonts w:ascii="Arial" w:hAnsi="Arial" w:cs="Arial"/>
        </w:rPr>
        <w:t>). These regions are adjacent to several cranial nerve branches (V, VII, IX, X) and occipital nerves. In particular, the electrodes are located on the cymba concha (</w:t>
      </w:r>
      <w:r w:rsidRPr="00CC061F">
        <w:rPr>
          <w:rFonts w:ascii="Arial" w:hAnsi="Arial" w:cs="Arial"/>
          <w:b/>
          <w:bCs/>
        </w:rPr>
        <w:t>Figure 2B, Region 1</w:t>
      </w:r>
      <w:r w:rsidRPr="00CC061F">
        <w:rPr>
          <w:rFonts w:ascii="Arial" w:hAnsi="Arial" w:cs="Arial"/>
        </w:rPr>
        <w:t>), on the temporomandibular joint region, just anterior to the tragus (</w:t>
      </w:r>
      <w:r w:rsidRPr="00CC061F">
        <w:rPr>
          <w:rFonts w:ascii="Arial" w:hAnsi="Arial" w:cs="Arial"/>
          <w:b/>
          <w:bCs/>
        </w:rPr>
        <w:t>Figure 2B, Region 2</w:t>
      </w:r>
      <w:r w:rsidRPr="00CC061F">
        <w:rPr>
          <w:rFonts w:ascii="Arial" w:hAnsi="Arial" w:cs="Arial"/>
        </w:rPr>
        <w:t>), and behind the auricle (</w:t>
      </w:r>
      <w:r w:rsidRPr="00CC061F">
        <w:rPr>
          <w:rFonts w:ascii="Arial" w:hAnsi="Arial" w:cs="Arial"/>
          <w:b/>
          <w:bCs/>
        </w:rPr>
        <w:t>Figure 2B, Region 3).</w:t>
      </w:r>
    </w:p>
    <w:p w14:paraId="3EDE2A6E" w14:textId="77777777" w:rsidR="00575BCE" w:rsidRPr="00CC061F" w:rsidRDefault="00575BCE" w:rsidP="00CC061F">
      <w:pPr>
        <w:pStyle w:val="TableParagraph"/>
        <w:rPr>
          <w:rFonts w:ascii="Arial" w:hAnsi="Arial" w:cs="Arial"/>
          <w:b/>
          <w:bCs/>
        </w:rPr>
      </w:pPr>
    </w:p>
    <w:p w14:paraId="6C0E92ED" w14:textId="77777777" w:rsidR="00575BCE" w:rsidRPr="00CC061F" w:rsidRDefault="00575BCE" w:rsidP="00CC061F">
      <w:pPr>
        <w:pStyle w:val="TableParagraph"/>
        <w:jc w:val="center"/>
        <w:rPr>
          <w:rFonts w:ascii="Arial" w:hAnsi="Arial" w:cs="Arial"/>
        </w:rPr>
      </w:pPr>
      <w:r w:rsidRPr="00CC061F">
        <w:rPr>
          <w:rFonts w:ascii="Arial" w:hAnsi="Arial" w:cs="Arial"/>
          <w:noProof/>
        </w:rPr>
        <w:lastRenderedPageBreak/>
        <w:drawing>
          <wp:inline distT="0" distB="0" distL="0" distR="0" wp14:anchorId="5DFE701D" wp14:editId="1315AE8A">
            <wp:extent cx="4127500" cy="2292630"/>
            <wp:effectExtent l="0" t="0" r="6350" b="0"/>
            <wp:docPr id="16" name="Picture 16" descr="A close-up of a hand holding a silicone ear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hand holding a silicone earplu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489" cy="2295956"/>
                    </a:xfrm>
                    <a:prstGeom prst="rect">
                      <a:avLst/>
                    </a:prstGeom>
                    <a:noFill/>
                  </pic:spPr>
                </pic:pic>
              </a:graphicData>
            </a:graphic>
          </wp:inline>
        </w:drawing>
      </w:r>
    </w:p>
    <w:p w14:paraId="06278D8E" w14:textId="77777777" w:rsidR="00575BCE" w:rsidRPr="00CC061F" w:rsidRDefault="00575BCE" w:rsidP="00CC061F">
      <w:pPr>
        <w:pStyle w:val="TableParagraph"/>
        <w:ind w:left="360"/>
        <w:jc w:val="center"/>
        <w:rPr>
          <w:rFonts w:ascii="Arial" w:hAnsi="Arial" w:cs="Arial"/>
        </w:rPr>
      </w:pPr>
      <w:bookmarkStart w:id="12" w:name="_Hlk43288073"/>
      <w:r w:rsidRPr="00CC061F">
        <w:rPr>
          <w:rFonts w:ascii="Arial" w:hAnsi="Arial" w:cs="Arial"/>
          <w:b/>
          <w:bCs/>
        </w:rPr>
        <w:t>Figure 2</w:t>
      </w:r>
      <w:r w:rsidRPr="00CC061F">
        <w:rPr>
          <w:rFonts w:ascii="Arial" w:hAnsi="Arial" w:cs="Arial"/>
        </w:rPr>
        <w:t>. A) Sparrow Ascent Earpiece with Medical Grade Adhesive, B) Sparrow Ascent Placement on Dermatome Regions</w:t>
      </w:r>
    </w:p>
    <w:bookmarkEnd w:id="12"/>
    <w:p w14:paraId="366E3303" w14:textId="77777777" w:rsidR="00575BCE" w:rsidRPr="00CC061F" w:rsidRDefault="00575BCE" w:rsidP="00CC061F">
      <w:pPr>
        <w:pStyle w:val="TableParagraph"/>
        <w:ind w:left="360"/>
        <w:rPr>
          <w:rFonts w:ascii="Arial" w:hAnsi="Arial" w:cs="Arial"/>
          <w:b/>
          <w:bCs/>
        </w:rPr>
      </w:pPr>
    </w:p>
    <w:p w14:paraId="3CA7DD4C" w14:textId="77777777" w:rsidR="00575BCE" w:rsidRPr="00CC061F" w:rsidRDefault="00575BCE" w:rsidP="00CC061F">
      <w:pPr>
        <w:pStyle w:val="TableParagraph"/>
        <w:rPr>
          <w:rFonts w:ascii="Arial" w:eastAsia="Times New Roman" w:hAnsi="Arial" w:cs="Arial"/>
          <w:kern w:val="24"/>
        </w:rPr>
      </w:pPr>
      <w:r w:rsidRPr="00CC061F">
        <w:rPr>
          <w:rFonts w:ascii="Arial" w:eastAsia="Times New Roman" w:hAnsi="Arial" w:cs="Arial"/>
          <w:kern w:val="24"/>
        </w:rPr>
        <w:t xml:space="preserve">As shown in </w:t>
      </w:r>
      <w:r w:rsidRPr="00CC061F">
        <w:rPr>
          <w:rFonts w:ascii="Arial" w:eastAsia="Times New Roman" w:hAnsi="Arial" w:cs="Arial"/>
          <w:b/>
          <w:bCs/>
          <w:kern w:val="24"/>
        </w:rPr>
        <w:t>Figure 2B</w:t>
      </w:r>
      <w:r w:rsidRPr="00CC061F">
        <w:rPr>
          <w:rFonts w:ascii="Arial" w:eastAsia="Times New Roman" w:hAnsi="Arial" w:cs="Arial"/>
          <w:kern w:val="24"/>
        </w:rPr>
        <w:t>, the three electrodes are placed in three different regions. Each dermatome is targeted specifically based on the subcutaneous nerves that run through or terminate in each region, as outlined below.</w:t>
      </w:r>
    </w:p>
    <w:p w14:paraId="0EE172F8" w14:textId="77777777" w:rsidR="00575BCE" w:rsidRPr="00CC061F" w:rsidRDefault="00575BCE" w:rsidP="00CC061F">
      <w:pPr>
        <w:pStyle w:val="TableParagraph"/>
        <w:rPr>
          <w:rFonts w:ascii="Arial" w:eastAsia="Times New Roman" w:hAnsi="Arial" w:cs="Arial"/>
          <w:kern w:val="24"/>
        </w:rPr>
      </w:pPr>
    </w:p>
    <w:p w14:paraId="7A045D12" w14:textId="77777777" w:rsidR="00575BCE" w:rsidRPr="00CC061F" w:rsidRDefault="00575BCE" w:rsidP="00CC061F">
      <w:pPr>
        <w:pStyle w:val="TableParagraph"/>
        <w:rPr>
          <w:rFonts w:ascii="Arial" w:eastAsia="Times New Roman" w:hAnsi="Arial" w:cs="Arial"/>
          <w:b/>
          <w:bCs/>
          <w:i/>
          <w:iCs/>
          <w:kern w:val="24"/>
        </w:rPr>
      </w:pPr>
      <w:r w:rsidRPr="00CC061F">
        <w:rPr>
          <w:rFonts w:ascii="Arial" w:eastAsia="Times New Roman" w:hAnsi="Arial" w:cs="Arial"/>
          <w:b/>
          <w:bCs/>
          <w:i/>
          <w:iCs/>
          <w:kern w:val="24"/>
        </w:rPr>
        <w:t>Region 1 - ABVN</w:t>
      </w:r>
    </w:p>
    <w:p w14:paraId="14737899" w14:textId="703D8059" w:rsidR="00575BCE" w:rsidRPr="00CC061F" w:rsidRDefault="00575BCE" w:rsidP="00CC061F">
      <w:pPr>
        <w:pStyle w:val="TableParagraph"/>
        <w:rPr>
          <w:rFonts w:ascii="Arial" w:eastAsia="Times New Roman" w:hAnsi="Arial" w:cs="Arial"/>
          <w:kern w:val="24"/>
          <w:vertAlign w:val="superscript"/>
        </w:rPr>
      </w:pPr>
      <w:r w:rsidRPr="00CC061F">
        <w:rPr>
          <w:rFonts w:ascii="Arial" w:eastAsia="Times New Roman" w:hAnsi="Arial" w:cs="Arial"/>
          <w:kern w:val="24"/>
        </w:rPr>
        <w:t>The subcutaneous tissue in Region 1 is innervated by the auricular branch of the vagus nerve (ABVN), also known as Arnold’s nerve. Arnold's nerve arises from the superior vagal ganglion and is joined by a branch from the inferior ganglion of the glossopharyngeal nerve.</w:t>
      </w:r>
    </w:p>
    <w:p w14:paraId="2CE63F34" w14:textId="77777777" w:rsidR="00575BCE" w:rsidRPr="00CC061F" w:rsidRDefault="00575BCE" w:rsidP="00CC061F">
      <w:pPr>
        <w:pStyle w:val="TableParagraph"/>
        <w:rPr>
          <w:rFonts w:ascii="Arial" w:eastAsia="Times New Roman" w:hAnsi="Arial" w:cs="Arial"/>
          <w:kern w:val="24"/>
        </w:rPr>
      </w:pPr>
    </w:p>
    <w:p w14:paraId="18137B85" w14:textId="77777777" w:rsidR="00575BCE" w:rsidRPr="00CC061F" w:rsidRDefault="00575BCE" w:rsidP="00CC061F">
      <w:pPr>
        <w:pStyle w:val="TableParagraph"/>
        <w:rPr>
          <w:rFonts w:ascii="Arial" w:eastAsia="Times New Roman" w:hAnsi="Arial" w:cs="Arial"/>
          <w:b/>
          <w:bCs/>
          <w:i/>
          <w:iCs/>
          <w:kern w:val="24"/>
        </w:rPr>
      </w:pPr>
      <w:r w:rsidRPr="00CC061F">
        <w:rPr>
          <w:rFonts w:ascii="Arial" w:eastAsia="Times New Roman" w:hAnsi="Arial" w:cs="Arial"/>
          <w:b/>
          <w:bCs/>
          <w:i/>
          <w:iCs/>
          <w:kern w:val="24"/>
        </w:rPr>
        <w:t>Region 2 - ATN</w:t>
      </w:r>
    </w:p>
    <w:p w14:paraId="3E7657B0" w14:textId="291AD5BA" w:rsidR="00575BCE" w:rsidRPr="00CC061F" w:rsidRDefault="00575BCE" w:rsidP="00CC061F">
      <w:pPr>
        <w:pStyle w:val="TableParagraph"/>
        <w:rPr>
          <w:rFonts w:ascii="Arial" w:eastAsia="Times New Roman" w:hAnsi="Arial" w:cs="Arial"/>
          <w:kern w:val="24"/>
          <w:vertAlign w:val="superscript"/>
        </w:rPr>
      </w:pPr>
      <w:r w:rsidRPr="00CC061F">
        <w:rPr>
          <w:rFonts w:ascii="Arial" w:eastAsia="Times New Roman" w:hAnsi="Arial" w:cs="Arial"/>
          <w:kern w:val="24"/>
        </w:rPr>
        <w:t>Subcutaneous to the electrode located in Region 2, ascends the auriculotemporal nerve (ATN), which is a branch of the mandibular division of Cranial nerve V (Trigeminal nerve). The ATN arises from the mandibular nerve, it also communicates with the facial nerve (Cranial nerve VII).</w:t>
      </w:r>
    </w:p>
    <w:p w14:paraId="5D0EC185" w14:textId="77777777" w:rsidR="00575BCE" w:rsidRPr="00CC061F" w:rsidRDefault="00575BCE" w:rsidP="00CC061F">
      <w:pPr>
        <w:pStyle w:val="TableParagraph"/>
        <w:rPr>
          <w:rFonts w:ascii="Arial" w:eastAsia="Times New Roman" w:hAnsi="Arial" w:cs="Arial"/>
          <w:kern w:val="24"/>
        </w:rPr>
      </w:pPr>
    </w:p>
    <w:p w14:paraId="1A22E934" w14:textId="77777777" w:rsidR="00575BCE" w:rsidRPr="00CC061F" w:rsidRDefault="00575BCE" w:rsidP="00CC061F">
      <w:pPr>
        <w:pStyle w:val="TableParagraph"/>
        <w:rPr>
          <w:rFonts w:ascii="Arial" w:eastAsia="Times New Roman" w:hAnsi="Arial" w:cs="Arial"/>
          <w:b/>
          <w:bCs/>
          <w:i/>
          <w:iCs/>
          <w:kern w:val="24"/>
        </w:rPr>
      </w:pPr>
      <w:r w:rsidRPr="00CC061F">
        <w:rPr>
          <w:rFonts w:ascii="Arial" w:eastAsia="Times New Roman" w:hAnsi="Arial" w:cs="Arial"/>
          <w:b/>
          <w:bCs/>
          <w:i/>
          <w:iCs/>
          <w:kern w:val="24"/>
        </w:rPr>
        <w:t>Region 3 - Mastoid</w:t>
      </w:r>
    </w:p>
    <w:p w14:paraId="48593A38" w14:textId="6FDAECF0" w:rsidR="00575BCE" w:rsidRPr="00CC061F" w:rsidRDefault="00575BCE" w:rsidP="00CC061F">
      <w:pPr>
        <w:pStyle w:val="TableParagraph"/>
        <w:rPr>
          <w:rFonts w:ascii="Arial" w:eastAsia="Times New Roman" w:hAnsi="Arial" w:cs="Arial"/>
          <w:kern w:val="24"/>
        </w:rPr>
      </w:pPr>
      <w:r w:rsidRPr="00CC061F">
        <w:rPr>
          <w:rFonts w:ascii="Arial" w:eastAsia="Times New Roman" w:hAnsi="Arial" w:cs="Arial"/>
          <w:kern w:val="24"/>
        </w:rPr>
        <w:t xml:space="preserve">Branches from the posterior auricular nerve (arising from Cranial nerve VII) and branches of the lesser occipital nerve terminate behind the auricle. As shown in </w:t>
      </w:r>
      <w:r w:rsidRPr="00CC061F">
        <w:rPr>
          <w:rFonts w:ascii="Arial" w:eastAsia="Times New Roman" w:hAnsi="Arial" w:cs="Arial"/>
          <w:b/>
          <w:bCs/>
          <w:kern w:val="24"/>
        </w:rPr>
        <w:t>Figure 2B</w:t>
      </w:r>
      <w:r w:rsidRPr="00CC061F">
        <w:rPr>
          <w:rFonts w:ascii="Arial" w:eastAsia="Times New Roman" w:hAnsi="Arial" w:cs="Arial"/>
          <w:kern w:val="24"/>
        </w:rPr>
        <w:t>, the electrodes in Region 3 are located such that the branches of both the lesser occipital nerve and posterior auricular nerve are subcutaneous to the electrodes.</w:t>
      </w:r>
    </w:p>
    <w:p w14:paraId="221B5761" w14:textId="77777777" w:rsidR="00575BCE" w:rsidRPr="00CC061F" w:rsidRDefault="00575BCE" w:rsidP="00CC061F">
      <w:pPr>
        <w:pStyle w:val="TableParagraph"/>
        <w:rPr>
          <w:rFonts w:ascii="Arial" w:hAnsi="Arial" w:cs="Arial"/>
          <w:b/>
          <w:bCs/>
        </w:rPr>
      </w:pPr>
    </w:p>
    <w:p w14:paraId="14B1606B" w14:textId="7242CF45" w:rsidR="00454949" w:rsidRPr="00454949" w:rsidRDefault="00454949" w:rsidP="00CC061F">
      <w:pPr>
        <w:pStyle w:val="ProtocolHeading2"/>
        <w:rPr>
          <w:rFonts w:cs="Arial"/>
          <w:szCs w:val="22"/>
        </w:rPr>
      </w:pPr>
      <w:bookmarkStart w:id="13" w:name="_Toc91073030"/>
      <w:bookmarkStart w:id="14" w:name="_Toc94780693"/>
      <w:bookmarkStart w:id="15" w:name="_Toc140155660"/>
      <w:r>
        <w:rPr>
          <w:rFonts w:cs="Arial"/>
          <w:szCs w:val="22"/>
        </w:rPr>
        <w:t xml:space="preserve">Sparrow Left Earpiece (Model 510) </w:t>
      </w:r>
      <w:r>
        <w:rPr>
          <w:rFonts w:cs="Arial"/>
          <w:b w:val="0"/>
          <w:bCs/>
          <w:szCs w:val="22"/>
        </w:rPr>
        <w:t>(New FDA-cleared Mastoid Earpiece)</w:t>
      </w:r>
    </w:p>
    <w:p w14:paraId="29CA7E66" w14:textId="77777777" w:rsidR="003F63A8" w:rsidRPr="003112CB" w:rsidRDefault="003F63A8" w:rsidP="003F63A8">
      <w:pPr>
        <w:pStyle w:val="TableParagraph"/>
        <w:rPr>
          <w:rFonts w:ascii="Arial" w:hAnsi="Arial" w:cs="Arial"/>
          <w:b/>
          <w:bCs/>
        </w:rPr>
      </w:pPr>
      <w:r w:rsidRPr="003112CB">
        <w:rPr>
          <w:rFonts w:ascii="Arial" w:hAnsi="Arial" w:cs="Arial"/>
        </w:rPr>
        <w:t>The Earpiece is an ergonomically designed wearable stimulation interface designed to be worn around the left ear for up to 24 hours. The earpiece is designed to be flexible and adjustable to fit various sized ears. The disposable component is designed to stay adhered to the skin and provide electrical connectivity up to 24 hours. The component is comprised of a printed circuit board embedded into polyethylene terephthalate (PET). The skin-facing surface of the Earpiece contains conductive ink covered with hydrocolloid medical grade adhesive to ensure sufficient skin contact. The adhesive is water based and can be easily removed as desired. The Earpiece is worn around the auricle. The Earpiece is applied for each participant to position the electrodes to stimulate three key dermatome regions (</w:t>
      </w:r>
      <w:r w:rsidRPr="003112CB">
        <w:rPr>
          <w:rFonts w:ascii="Arial" w:hAnsi="Arial" w:cs="Arial"/>
          <w:b/>
          <w:bCs/>
        </w:rPr>
        <w:t>Figure 2B</w:t>
      </w:r>
      <w:r w:rsidRPr="003112CB">
        <w:rPr>
          <w:rFonts w:ascii="Arial" w:hAnsi="Arial" w:cs="Arial"/>
        </w:rPr>
        <w:t>). These regions are adjacent to several cranial nerve branches (V, VII, IX, X) and occipital nerves. In particular, the electrodes are located on the mastoid (</w:t>
      </w:r>
      <w:r w:rsidRPr="003112CB">
        <w:rPr>
          <w:rFonts w:ascii="Arial" w:hAnsi="Arial" w:cs="Arial"/>
          <w:b/>
          <w:bCs/>
        </w:rPr>
        <w:t>Figure 2B, Region 1</w:t>
      </w:r>
      <w:r w:rsidRPr="003112CB">
        <w:rPr>
          <w:rFonts w:ascii="Arial" w:hAnsi="Arial" w:cs="Arial"/>
        </w:rPr>
        <w:t>), on the temporomandibular joint region, just anterior to the tragus (</w:t>
      </w:r>
      <w:r w:rsidRPr="003112CB">
        <w:rPr>
          <w:rFonts w:ascii="Arial" w:hAnsi="Arial" w:cs="Arial"/>
          <w:b/>
          <w:bCs/>
        </w:rPr>
        <w:t>Figure 2B, Region 2</w:t>
      </w:r>
      <w:r w:rsidRPr="003112CB">
        <w:rPr>
          <w:rFonts w:ascii="Arial" w:hAnsi="Arial" w:cs="Arial"/>
        </w:rPr>
        <w:t xml:space="preserve">), and behind the auricle near the </w:t>
      </w:r>
      <w:r w:rsidRPr="003112CB">
        <w:rPr>
          <w:rFonts w:ascii="Arial" w:hAnsi="Arial" w:cs="Arial"/>
        </w:rPr>
        <w:lastRenderedPageBreak/>
        <w:t>mastoid (</w:t>
      </w:r>
      <w:r w:rsidRPr="003112CB">
        <w:rPr>
          <w:rFonts w:ascii="Arial" w:hAnsi="Arial" w:cs="Arial"/>
          <w:b/>
          <w:bCs/>
        </w:rPr>
        <w:t>Figure 2B, Region 3).</w:t>
      </w:r>
    </w:p>
    <w:p w14:paraId="585FCD52" w14:textId="77777777" w:rsidR="003F63A8" w:rsidRPr="003112CB" w:rsidRDefault="003F63A8" w:rsidP="003F63A8">
      <w:pPr>
        <w:pStyle w:val="TableParagraph"/>
        <w:rPr>
          <w:rFonts w:ascii="Arial" w:hAnsi="Arial" w:cs="Arial"/>
          <w:b/>
          <w:bCs/>
        </w:rPr>
      </w:pPr>
    </w:p>
    <w:p w14:paraId="6E549A74" w14:textId="77777777" w:rsidR="003F63A8" w:rsidRPr="003112CB" w:rsidRDefault="003F63A8" w:rsidP="003F63A8">
      <w:pPr>
        <w:pStyle w:val="TableParagraph"/>
        <w:jc w:val="center"/>
        <w:rPr>
          <w:rFonts w:ascii="Arial" w:hAnsi="Arial" w:cs="Arial"/>
        </w:rPr>
      </w:pPr>
      <w:r w:rsidRPr="003C050B">
        <w:rPr>
          <w:rFonts w:ascii="Arial" w:hAnsi="Arial" w:cs="Arial"/>
          <w:noProof/>
        </w:rPr>
        <w:drawing>
          <wp:inline distT="0" distB="0" distL="0" distR="0" wp14:anchorId="524BC107" wp14:editId="3F390568">
            <wp:extent cx="4133489" cy="2180858"/>
            <wp:effectExtent l="0" t="0" r="635" b="0"/>
            <wp:docPr id="436185991" name="Picture 43618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33489" cy="2180858"/>
                    </a:xfrm>
                    <a:prstGeom prst="rect">
                      <a:avLst/>
                    </a:prstGeom>
                    <a:noFill/>
                  </pic:spPr>
                </pic:pic>
              </a:graphicData>
            </a:graphic>
          </wp:inline>
        </w:drawing>
      </w:r>
    </w:p>
    <w:p w14:paraId="3EB641E9" w14:textId="77777777" w:rsidR="003F63A8" w:rsidRPr="003112CB" w:rsidRDefault="003F63A8" w:rsidP="003F63A8">
      <w:pPr>
        <w:pStyle w:val="DocumentText"/>
        <w:spacing w:line="240" w:lineRule="auto"/>
        <w:jc w:val="center"/>
        <w:rPr>
          <w:rFonts w:cs="Arial"/>
        </w:rPr>
      </w:pPr>
      <w:r w:rsidRPr="003112CB">
        <w:rPr>
          <w:rFonts w:cs="Arial"/>
          <w:b/>
          <w:bCs/>
        </w:rPr>
        <w:t>Figure 2</w:t>
      </w:r>
      <w:r w:rsidRPr="003112CB">
        <w:rPr>
          <w:rFonts w:cs="Arial"/>
        </w:rPr>
        <w:t>. (A) Sparrow Left Earpiece (B) Target Dermatome Regions</w:t>
      </w:r>
    </w:p>
    <w:p w14:paraId="710B6587" w14:textId="77777777" w:rsidR="003F63A8" w:rsidRPr="003112CB" w:rsidRDefault="003F63A8" w:rsidP="003F63A8">
      <w:pPr>
        <w:pStyle w:val="TableParagraph"/>
        <w:rPr>
          <w:rFonts w:ascii="Arial" w:eastAsia="Times New Roman" w:hAnsi="Arial" w:cs="Arial"/>
          <w:kern w:val="24"/>
        </w:rPr>
      </w:pPr>
      <w:r w:rsidRPr="003112CB">
        <w:rPr>
          <w:rFonts w:ascii="Arial" w:eastAsia="Times New Roman" w:hAnsi="Arial" w:cs="Arial"/>
          <w:kern w:val="24"/>
        </w:rPr>
        <w:t xml:space="preserve">As shown in </w:t>
      </w:r>
      <w:r w:rsidRPr="003112CB">
        <w:rPr>
          <w:rFonts w:ascii="Arial" w:eastAsia="Times New Roman" w:hAnsi="Arial" w:cs="Arial"/>
          <w:b/>
          <w:bCs/>
          <w:kern w:val="24"/>
        </w:rPr>
        <w:t>Figure 2B</w:t>
      </w:r>
      <w:r w:rsidRPr="003112CB">
        <w:rPr>
          <w:rFonts w:ascii="Arial" w:eastAsia="Times New Roman" w:hAnsi="Arial" w:cs="Arial"/>
          <w:kern w:val="24"/>
        </w:rPr>
        <w:t>, the three electrodes are placed in three different regions. Each dermatome is targeted specifically based on the subcutaneous nerves that run through or terminate in each region, as outlined below.</w:t>
      </w:r>
    </w:p>
    <w:p w14:paraId="5D42DCBC" w14:textId="77777777" w:rsidR="003F63A8" w:rsidRPr="003112CB" w:rsidRDefault="003F63A8" w:rsidP="003F63A8">
      <w:pPr>
        <w:pStyle w:val="TableParagraph"/>
        <w:rPr>
          <w:rFonts w:ascii="Arial" w:eastAsia="Times New Roman" w:hAnsi="Arial" w:cs="Arial"/>
          <w:kern w:val="24"/>
        </w:rPr>
      </w:pPr>
    </w:p>
    <w:p w14:paraId="691AF954" w14:textId="77777777" w:rsidR="003F63A8" w:rsidRPr="003112CB" w:rsidRDefault="003F63A8" w:rsidP="003F63A8">
      <w:pPr>
        <w:pStyle w:val="TableParagraph"/>
        <w:rPr>
          <w:rFonts w:ascii="Arial" w:eastAsia="Times New Roman" w:hAnsi="Arial" w:cs="Arial"/>
          <w:b/>
          <w:bCs/>
          <w:i/>
          <w:iCs/>
          <w:kern w:val="24"/>
        </w:rPr>
      </w:pPr>
      <w:r w:rsidRPr="003112CB">
        <w:rPr>
          <w:rFonts w:ascii="Arial" w:eastAsia="Times New Roman" w:hAnsi="Arial" w:cs="Arial"/>
          <w:b/>
          <w:bCs/>
          <w:i/>
          <w:iCs/>
          <w:kern w:val="24"/>
        </w:rPr>
        <w:t>Region 1 Electrode</w:t>
      </w:r>
    </w:p>
    <w:p w14:paraId="4ADBEDF9" w14:textId="77777777" w:rsidR="003F63A8" w:rsidRPr="003112CB" w:rsidRDefault="003F63A8" w:rsidP="003F63A8">
      <w:pPr>
        <w:pStyle w:val="TableParagraph"/>
        <w:rPr>
          <w:rFonts w:ascii="Arial" w:eastAsia="Times New Roman" w:hAnsi="Arial" w:cs="Arial"/>
        </w:rPr>
      </w:pPr>
      <w:r w:rsidRPr="003112CB">
        <w:rPr>
          <w:rFonts w:ascii="Arial" w:eastAsia="Times New Roman" w:hAnsi="Arial" w:cs="Arial"/>
        </w:rPr>
        <w:t xml:space="preserve"> The subcutaneous tissue in Region 1 is innervated by the auricular branch of the </w:t>
      </w:r>
      <w:proofErr w:type="spellStart"/>
      <w:r w:rsidRPr="003112CB">
        <w:rPr>
          <w:rFonts w:ascii="Arial" w:eastAsia="Times New Roman" w:hAnsi="Arial" w:cs="Arial"/>
        </w:rPr>
        <w:t>vagus</w:t>
      </w:r>
      <w:proofErr w:type="spellEnd"/>
      <w:r w:rsidRPr="003112CB">
        <w:rPr>
          <w:rFonts w:ascii="Arial" w:eastAsia="Times New Roman" w:hAnsi="Arial" w:cs="Arial"/>
        </w:rPr>
        <w:t xml:space="preserve"> nerve (ABVN)</w:t>
      </w:r>
      <w:r w:rsidRPr="003112CB">
        <w:rPr>
          <w:rFonts w:ascii="Arial" w:eastAsia="Times New Roman" w:hAnsi="Arial" w:cs="Arial"/>
        </w:rPr>
        <w:fldChar w:fldCharType="begin"/>
      </w:r>
      <w:r w:rsidRPr="003112CB">
        <w:rPr>
          <w:rFonts w:ascii="Arial" w:eastAsia="Times New Roman" w:hAnsi="Arial" w:cs="Arial"/>
        </w:rPr>
        <w:instrText xml:space="preserve"> ADDIN ZOTERO_ITEM CSL_CITATION {"citationID":"vp6tzeUi","properties":{"formattedCitation":"\\super 16\\nosupersub{}","plainCitation":"16","noteIndex":0},"citationItems":[{"id":319,"uris":["http://zotero.org/groups/4304330/items/674IYH5P"],"itemData":{"id":319,"type":"article-journal","abstract":"Knowledge of the innervation of the outer ear is crucial for surgery in this region. The aim of this study was to describe the system of the auricular nerve supply. On 14 ears of seven cadavers the complete course of the nerve supply was exposed and categorized. A heterogeneous distribution of two cranial branchial nerves and two somatic cervical nerves was found. At the lateral as well as the medial surface the great auricular nerve prevails. No region with triple innervation was found.","container-title":"Clinical Anatomy (New York, N.Y.)","DOI":"10.1002/ca.1089","ISSN":"0897-3806","issue":"1","journalAbbreviation":"Clin Anat","language":"eng","note":"PMID: 11835542","page":"35-37","source":"PubMed","title":"The nerve supply of the human auricle","volume":"15","author":[{"family":"Peuker","given":"Elmar T."},{"family":"Filler","given":"Timm J."}],"issued":{"date-parts":[["2002",1]]}}}],"schema":"https://github.com/citation-style-language/schema/raw/master/csl-citation.json"} </w:instrText>
      </w:r>
      <w:r w:rsidRPr="003112CB">
        <w:rPr>
          <w:rFonts w:ascii="Arial" w:eastAsia="Times New Roman" w:hAnsi="Arial" w:cs="Arial"/>
        </w:rPr>
        <w:fldChar w:fldCharType="separate"/>
      </w:r>
      <w:r w:rsidRPr="003112CB">
        <w:rPr>
          <w:rFonts w:ascii="Arial" w:hAnsi="Arial" w:cs="Arial"/>
          <w:vertAlign w:val="superscript"/>
        </w:rPr>
        <w:t>16</w:t>
      </w:r>
      <w:r w:rsidRPr="003112CB">
        <w:rPr>
          <w:rFonts w:ascii="Arial" w:eastAsia="Times New Roman" w:hAnsi="Arial" w:cs="Arial"/>
        </w:rPr>
        <w:fldChar w:fldCharType="end"/>
      </w:r>
      <w:r w:rsidRPr="003112CB">
        <w:rPr>
          <w:rFonts w:ascii="Arial" w:eastAsia="Times New Roman" w:hAnsi="Arial" w:cs="Arial"/>
        </w:rPr>
        <w:t>. The ABVN arises from the superior vagal ganglion and is joined by a branch from the inferior ganglion of the glossopharyngeal nerve</w:t>
      </w:r>
      <w:r w:rsidRPr="003112CB">
        <w:rPr>
          <w:rFonts w:ascii="Arial" w:eastAsia="Times New Roman" w:hAnsi="Arial" w:cs="Arial"/>
        </w:rPr>
        <w:fldChar w:fldCharType="begin"/>
      </w:r>
      <w:r w:rsidRPr="003112CB">
        <w:rPr>
          <w:rFonts w:ascii="Arial" w:eastAsia="Times New Roman" w:hAnsi="Arial" w:cs="Arial"/>
        </w:rPr>
        <w:instrText xml:space="preserve"> ADDIN ZOTERO_ITEM CSL_CITATION {"citationID":"HkZybODi","properties":{"formattedCitation":"\\super 16\\nosupersub{}","plainCitation":"16","noteIndex":0},"citationItems":[{"id":319,"uris":["http://zotero.org/groups/4304330/items/674IYH5P"],"itemData":{"id":319,"type":"article-journal","abstract":"Knowledge of the innervation of the outer ear is crucial for surgery in this region. The aim of this study was to describe the system of the auricular nerve supply. On 14 ears of seven cadavers the complete course of the nerve supply was exposed and categorized. A heterogeneous distribution of two cranial branchial nerves and two somatic cervical nerves was found. At the lateral as well as the medial surface the great auricular nerve prevails. No region with triple innervation was found.","container-title":"Clinical Anatomy (New York, N.Y.)","DOI":"10.1002/ca.1089","ISSN":"0897-3806","issue":"1","journalAbbreviation":"Clin Anat","language":"eng","note":"PMID: 11835542","page":"35-37","source":"PubMed","title":"The nerve supply of the human auricle","volume":"15","author":[{"family":"Peuker","given":"Elmar T."},{"family":"Filler","given":"Timm J."}],"issued":{"date-parts":[["2002",1]]}}}],"schema":"https://github.com/citation-style-language/schema/raw/master/csl-citation.json"} </w:instrText>
      </w:r>
      <w:r w:rsidRPr="003112CB">
        <w:rPr>
          <w:rFonts w:ascii="Arial" w:eastAsia="Times New Roman" w:hAnsi="Arial" w:cs="Arial"/>
        </w:rPr>
        <w:fldChar w:fldCharType="separate"/>
      </w:r>
      <w:r w:rsidRPr="003112CB">
        <w:rPr>
          <w:rFonts w:ascii="Arial" w:hAnsi="Arial" w:cs="Arial"/>
          <w:vertAlign w:val="superscript"/>
        </w:rPr>
        <w:t>16</w:t>
      </w:r>
      <w:r w:rsidRPr="003112CB">
        <w:rPr>
          <w:rFonts w:ascii="Arial" w:eastAsia="Times New Roman" w:hAnsi="Arial" w:cs="Arial"/>
        </w:rPr>
        <w:fldChar w:fldCharType="end"/>
      </w:r>
      <w:r w:rsidRPr="003112CB">
        <w:rPr>
          <w:rFonts w:ascii="Arial" w:eastAsia="Times New Roman" w:hAnsi="Arial" w:cs="Arial"/>
        </w:rPr>
        <w:t>. The temporal bone provides passage for the ABVN via the mastoid canaliculus allowing the nerve to innervate the mastoid region of the temporal bone</w:t>
      </w:r>
      <w:r w:rsidRPr="003112CB">
        <w:rPr>
          <w:rFonts w:ascii="Arial" w:eastAsia="Times New Roman" w:hAnsi="Arial" w:cs="Arial"/>
        </w:rPr>
        <w:fldChar w:fldCharType="begin"/>
      </w:r>
      <w:r w:rsidRPr="003112CB">
        <w:rPr>
          <w:rFonts w:ascii="Arial" w:eastAsia="Times New Roman" w:hAnsi="Arial" w:cs="Arial"/>
        </w:rPr>
        <w:instrText xml:space="preserve"> ADDIN ZOTERO_ITEM CSL_CITATION {"citationID":"WyMyA0FQ","properties":{"formattedCitation":"\\super 17\\nosupersub{}","plainCitation":"17","noteIndex":0},"citationItems":[{"id":975,"uris":["http://zotero.org/groups/4304330/items/QNMU4CUH"],"itemData":{"id":975,"type":"article-journal","abstract":"Glossopharyngeal, nervus intermedius, and vagus neuralgias can all present with ear pain. However, to our knowledge, there have been no reports of otalgia as the only symptom of vagus neuralgia. The seventh, ninth, and tenth cranial nerves have many interneural connections, and the exact anatomy and pathophysiology of these neuralgias are often not clear. Moreover, symptoms due to involvement of any of these nerves can be difficult to attribute solely to 1 of them. The overlapping sensory innervation of the external auditory canal can lead to misdiagnosis in patients suffering from otalgia. This report presents a case of pure otalgia due to vascular compression of the vagus nerve (VN) and considers the microanatomic differences between glossopharyngeal and nervus intermedius neuralgia via cadaveric dissections. We report 2 cases of external auditory canal pain that continued following microvascular treatment of trigeminal neuralgia. Intraoperatively and at secondary operation, the posterior inferior cerebellar artery was found to be adherent and to penetrate between the fibers of the VN. Following microvascular treatment of the VN, the pain resolved.\nConclusion\nThis is the first report of vagus neuralgia presenting solely with ear pain. Surgeons should be aware that primary external auditory canal pain can be due to vagus neuralgia via its auricular branch and that such patients can be misdiagnosed with glossopharyngeal or nervus intermedius neuralgias.","container-title":"World Neurosurgery","DOI":"10.1016/j.wneu.2016.08.102","ISSN":"1878-8750","journalAbbreviation":"World Neurosurgery","page":"293-301","source":"ScienceDirect","title":"Isolated Deep Ear Canal Pain: Possible Role of Auricular Branch of Vagus Nerve—Case Illustrations with Cadaveric Correlation","title-short":"Isolated Deep Ear Canal Pain","volume":"96","author":[{"family":"Watanabe","given":"Kentaro"},{"family":"Tubbs","given":"R. Shane"},{"family":"Satoh","given":"Shunsuke"},{"family":"Zomorodi","given":"Ali R."},{"family":"Liedtke","given":"Wolfgang"},{"family":"Labidi","given":"Moujahed"},{"family":"Friedman","given":"Allan H."},{"family":"Fukushima","given":"Takanori"}],"issued":{"date-parts":[["2016",12,1]]}}}],"schema":"https://github.com/citation-style-language/schema/raw/master/csl-citation.json"} </w:instrText>
      </w:r>
      <w:r w:rsidRPr="003112CB">
        <w:rPr>
          <w:rFonts w:ascii="Arial" w:eastAsia="Times New Roman" w:hAnsi="Arial" w:cs="Arial"/>
        </w:rPr>
        <w:fldChar w:fldCharType="separate"/>
      </w:r>
      <w:r w:rsidRPr="003112CB">
        <w:rPr>
          <w:rFonts w:ascii="Arial" w:hAnsi="Arial" w:cs="Arial"/>
          <w:vertAlign w:val="superscript"/>
        </w:rPr>
        <w:t>17</w:t>
      </w:r>
      <w:r w:rsidRPr="003112CB">
        <w:rPr>
          <w:rFonts w:ascii="Arial" w:eastAsia="Times New Roman" w:hAnsi="Arial" w:cs="Arial"/>
        </w:rPr>
        <w:fldChar w:fldCharType="end"/>
      </w:r>
      <w:r w:rsidRPr="003112CB">
        <w:rPr>
          <w:rFonts w:ascii="Arial" w:eastAsia="Times New Roman" w:hAnsi="Arial" w:cs="Arial"/>
        </w:rPr>
        <w:t>.</w:t>
      </w:r>
    </w:p>
    <w:p w14:paraId="724536DB" w14:textId="77777777" w:rsidR="003F63A8" w:rsidRPr="003112CB" w:rsidRDefault="003F63A8" w:rsidP="003F63A8">
      <w:pPr>
        <w:pStyle w:val="TableParagraph"/>
        <w:rPr>
          <w:rFonts w:ascii="Arial" w:eastAsia="Times New Roman" w:hAnsi="Arial" w:cs="Arial"/>
          <w:kern w:val="24"/>
        </w:rPr>
      </w:pPr>
    </w:p>
    <w:p w14:paraId="645661BF" w14:textId="77777777" w:rsidR="003F63A8" w:rsidRPr="003112CB" w:rsidRDefault="003F63A8" w:rsidP="003F63A8">
      <w:pPr>
        <w:pStyle w:val="TableParagraph"/>
        <w:rPr>
          <w:rFonts w:ascii="Arial" w:eastAsia="Times New Roman" w:hAnsi="Arial" w:cs="Arial"/>
          <w:b/>
          <w:bCs/>
          <w:i/>
          <w:iCs/>
          <w:kern w:val="24"/>
        </w:rPr>
      </w:pPr>
      <w:r w:rsidRPr="003112CB">
        <w:rPr>
          <w:rFonts w:ascii="Arial" w:eastAsia="Times New Roman" w:hAnsi="Arial" w:cs="Arial"/>
          <w:b/>
          <w:bCs/>
          <w:i/>
          <w:iCs/>
          <w:kern w:val="24"/>
        </w:rPr>
        <w:t>Region 2 Electrode</w:t>
      </w:r>
    </w:p>
    <w:p w14:paraId="60F0D5B2" w14:textId="77777777" w:rsidR="003F63A8" w:rsidRPr="003112CB" w:rsidRDefault="003F63A8" w:rsidP="003F63A8">
      <w:pPr>
        <w:pStyle w:val="TableParagraph"/>
        <w:rPr>
          <w:rFonts w:ascii="Arial" w:eastAsia="Times New Roman" w:hAnsi="Arial" w:cs="Arial"/>
          <w:kern w:val="24"/>
          <w:vertAlign w:val="superscript"/>
        </w:rPr>
      </w:pPr>
      <w:r w:rsidRPr="003112CB">
        <w:rPr>
          <w:rFonts w:ascii="Arial" w:eastAsia="Times New Roman" w:hAnsi="Arial" w:cs="Arial"/>
          <w:kern w:val="24"/>
        </w:rPr>
        <w:t>The subcutaneous tissue in Region 2 is innervated by the auriculotemporal nerve (ATN), which is a branch of the mandibular division of the trigeminal nerve. The ATN arises from the mandibular nerve allowing the nerve to innervate the region anterior to the tragus</w:t>
      </w:r>
      <w:r w:rsidRPr="003112CB">
        <w:rPr>
          <w:rFonts w:ascii="Arial" w:eastAsia="Times New Roman" w:hAnsi="Arial" w:cs="Arial"/>
          <w:kern w:val="24"/>
        </w:rPr>
        <w:fldChar w:fldCharType="begin"/>
      </w:r>
      <w:r w:rsidRPr="003112CB">
        <w:rPr>
          <w:rFonts w:ascii="Arial" w:eastAsia="Times New Roman" w:hAnsi="Arial" w:cs="Arial"/>
          <w:kern w:val="24"/>
        </w:rPr>
        <w:instrText xml:space="preserve"> ADDIN ZOTERO_ITEM CSL_CITATION {"citationID":"auiDqdOJ","properties":{"formattedCitation":"\\super 18\\uc0\\u8211{}20\\nosupersub{}","plainCitation":"18–20","noteIndex":0},"citationItems":[{"id":270,"uris":["http://zotero.org/groups/4304330/items/N97IWQD4"],"itemData":{"id":270,"type":"article-journal","abstract":"The common representation of the auriculotemporal nerve is either that of a single posterior branch of the mandibular nerve or of two roots that envelope the middle meningeal artery. Our observation in the anatomy of the auriculotemporal nerve on 32 dissections (16 cadaveric heads) of the infratemporal fossa included: one specimen with four roots (3.1%), three specimens with three roots (9.4%), 12 specimens with two roots (37.5%), and 16 specimens with one root (50%). Furthermore, a connecting nerve branch was observed between auriculotemporal and inferior alveolar nerves in four specimens, and in another auriculotemporal nerve case, between the upper and lower roots. In the cadaver of a 70-year-old male, a four-rooted auriculotemporal nerve variation was found. These four branches lay to the posterior, combined at the posterosuperior of the maxillary and superficial temporal arteries and formed a ganglion-like knot. From this knot, four branches stemmed and ran to the temporomandibular joint, external acoustic meatus, zygoma, and parotid gland. The knot was larger and thicker than expected; thus, it was removed and stained with haematoxylin-eosin (H&amp;E) and S100 for histological studies. This structure was not a true ganglion but a structure formed by fusion of nerve fibers.","container-title":"Clinical Anatomy (New York, N.Y.)","DOI":"10.1002/ca.20068","ISSN":"0897-3806","issue":"1","journalAbbreviation":"Clin Anat","language":"eng","note":"PMID: 15597375","page":"15-22","source":"PubMed","title":"Variations in the anatomy of the auriculotemporal nerve","volume":"18","author":[{"family":"Gülekon","given":"Nadir"},{"family":"Anil","given":"Afitap"},{"family":"Poyraz","given":"Aylar"},{"family":"Peker","given":"Tuncay"},{"family":"Turgut","given":"Hasan Basri"},{"family":"Karaköse","given":"Mustafa"}],"issued":{"date-parts":[["2005",1]]}}},{"id":267,"uris":["http://zotero.org/groups/4304330/items/TAUNCKI4"],"itemData":{"id":267,"type":"article-journal","abstract":"BACKGROUND: Clinical experience with surgical decompression of specific peripheral nerves in the head and neck for the relief of migraine headache symptoms has proven to be effective in most patients. Some patients, however, continue to have residual symptoms after these procedures. In an effort to better understand potential etiologies for failure of treatment, an investigation was performed to determine whether or not vascular-mediated peripheral trigger points exist that have heretofore been undescribed that may be contributing to persistent symptomatology. One such potential trigger point is the superficial temporal artery's interaction with the auriculotemporal nerve. A cadaveric investigation was performed to advance this anatomical understanding of this relationship.\nMETHODS: Both sides of 25 fresh cadaveric heads were dissected in the preauricular and temporal regions. The superficial temporal artery and auriculotemporal nerve were identified and dissected both proximally and distally. Their relationship was examined, and a topographical map of their intersections was generated.\nRESULTS: The auriculotemporal nerve and superficial temporal artery run together in the superficial soft tissue in the preauricular and temple regions. A contiguous relationship between the two was found in 17 hemiheads (34.0 percent).\nCONCLUSIONS: There are variations in the relationship between the auriculotemporal nerve and the superficial temporal artery. These variations may serve as an anatomical explanation for this point as a source of migraine headaches in some patients. A topographical map of the relationship between these two structures may serve as a guide for surgeons interested in decompressing the nerve from the artery when indicated.","container-title":"Plastic and Reconstructive Surgery","DOI":"10.1097/PRS.0b013e3181d4fb05","ISSN":"1529-4242","issue":"5","journalAbbreviation":"Plast Reconstr Surg","language":"eng","note":"PMID: 20440161","page":"1422-1428","source":"PubMed","title":"Anatomy of the auriculotemporal nerve: variations in its relationship to the superficial temporal artery and implications for the treatment of migraine headaches","title-short":"Anatomy of the auriculotemporal nerve","volume":"125","author":[{"family":"Janis","given":"Jeffrey E."},{"family":"Hatef","given":"Daniel A."},{"family":"Ducic","given":"Ivica"},{"family":"Ahmad","given":"Jamil"},{"family":"Wong","given":"Corinne"},{"family":"Hoxworth","given":"Ronald E."},{"family":"Osborn","given":"Timothy"}],"issued":{"date-parts":[["2010",5]]}}},{"id":245,"uris":["http://zotero.org/groups/4304330/items/25LP66CF"],"itemData":{"id":245,"type":"article-journal","abstract":"The aim of this study was to elucidate the detailed anatomy of the facial nerve (FN) at the condylar area to helping physicians preventing the iatrogenic trauma on the nerve. We dissected 25 specimens of the embalmed Korean cadavers (13 males and 2 females; mean age 76.9 years). The FN course at the condylar was examined, and the location of the FN branches was measured with superficial standards. The trunks of the FN emerged in the condylar area as one trunk, two trunks, and a loop or plexiform in 36%, 12%, and 52% areas, respectively. The zygomatic branch (Zbr) of FN passed over the tragus-alar line 23 mm anterior to the tragus (Tg) in most of the cases. The Zbr passed over the vertical line 2 cm anterior to the Tg through the area about 6 to 20 mm inferior to the Tg. Regardless of careful approach techniques to the condylar area, the FN could be damaged by a careless manipulation. Any reference landmarks could not guarantee the safety during the approach to the condylar area because more than half of the cases present the complicated branching type in the front of the Tg.","container-title":"TheScientificWorldJournal","DOI":"10.1155/2014/473568","ISSN":"1537-744X","journalAbbreviation":"ScientificWorldJournal","language":"eng","note":"PMID: 25379533\nPMCID: PMC4212592","page":"473568","source":"PubMed","title":"Anatomy of the facial nerve at the condylar area: measurement study and clinical implications","title-short":"Anatomy of the facial nerve at the condylar area","volume":"2014","author":[{"family":"Yang","given":"Hun-Mu"},{"family":"Yoo","given":"Young-Bok"}],"issued":{"date-parts":[["2014"]]}}}],"schema":"https://github.com/citation-style-language/schema/raw/master/csl-citation.json"} </w:instrText>
      </w:r>
      <w:r w:rsidRPr="003112CB">
        <w:rPr>
          <w:rFonts w:ascii="Arial" w:eastAsia="Times New Roman" w:hAnsi="Arial" w:cs="Arial"/>
          <w:kern w:val="24"/>
        </w:rPr>
        <w:fldChar w:fldCharType="separate"/>
      </w:r>
      <w:r w:rsidRPr="003112CB">
        <w:rPr>
          <w:rFonts w:ascii="Arial" w:hAnsi="Arial" w:cs="Arial"/>
          <w:vertAlign w:val="superscript"/>
        </w:rPr>
        <w:t>18–20</w:t>
      </w:r>
      <w:r w:rsidRPr="003112CB">
        <w:rPr>
          <w:rFonts w:ascii="Arial" w:eastAsia="Times New Roman" w:hAnsi="Arial" w:cs="Arial"/>
          <w:kern w:val="24"/>
        </w:rPr>
        <w:fldChar w:fldCharType="end"/>
      </w:r>
      <w:r w:rsidRPr="003112CB">
        <w:rPr>
          <w:rFonts w:ascii="Arial" w:eastAsia="Times New Roman" w:hAnsi="Arial" w:cs="Arial"/>
          <w:kern w:val="24"/>
        </w:rPr>
        <w:t>.</w:t>
      </w:r>
    </w:p>
    <w:p w14:paraId="1242EA6E" w14:textId="77777777" w:rsidR="003F63A8" w:rsidRPr="003112CB" w:rsidRDefault="003F63A8" w:rsidP="003F63A8">
      <w:pPr>
        <w:pStyle w:val="TableParagraph"/>
        <w:rPr>
          <w:rFonts w:ascii="Arial" w:eastAsia="Times New Roman" w:hAnsi="Arial" w:cs="Arial"/>
          <w:kern w:val="24"/>
        </w:rPr>
      </w:pPr>
    </w:p>
    <w:p w14:paraId="2C282C7E" w14:textId="77777777" w:rsidR="003F63A8" w:rsidRPr="003112CB" w:rsidRDefault="003F63A8" w:rsidP="003F63A8">
      <w:pPr>
        <w:pStyle w:val="TableParagraph"/>
        <w:rPr>
          <w:rFonts w:ascii="Arial" w:eastAsia="Times New Roman" w:hAnsi="Arial" w:cs="Arial"/>
          <w:b/>
          <w:bCs/>
          <w:i/>
          <w:iCs/>
        </w:rPr>
      </w:pPr>
      <w:r w:rsidRPr="003112CB">
        <w:rPr>
          <w:rFonts w:ascii="Arial" w:eastAsia="Times New Roman" w:hAnsi="Arial" w:cs="Arial"/>
          <w:b/>
          <w:bCs/>
          <w:i/>
          <w:iCs/>
          <w:kern w:val="24"/>
        </w:rPr>
        <w:t xml:space="preserve">Region 3 – </w:t>
      </w:r>
      <w:r w:rsidRPr="003112CB">
        <w:rPr>
          <w:rFonts w:ascii="Arial" w:eastAsia="Times New Roman" w:hAnsi="Arial" w:cs="Arial"/>
          <w:b/>
          <w:bCs/>
          <w:i/>
          <w:iCs/>
        </w:rPr>
        <w:t>Return Electrode</w:t>
      </w:r>
    </w:p>
    <w:p w14:paraId="1C3FAFE6" w14:textId="77777777" w:rsidR="003F63A8" w:rsidRPr="003112CB" w:rsidRDefault="003F63A8" w:rsidP="003F63A8">
      <w:pPr>
        <w:pStyle w:val="TableParagraph"/>
        <w:rPr>
          <w:rFonts w:ascii="Arial" w:eastAsia="Times New Roman" w:hAnsi="Arial" w:cs="Arial"/>
          <w:kern w:val="24"/>
        </w:rPr>
      </w:pPr>
      <w:r w:rsidRPr="003112CB">
        <w:rPr>
          <w:rFonts w:ascii="Arial" w:eastAsia="Times New Roman" w:hAnsi="Arial" w:cs="Arial"/>
          <w:kern w:val="24"/>
        </w:rPr>
        <w:t>The return electrode in Region 3 located behind the auricle.</w:t>
      </w:r>
    </w:p>
    <w:p w14:paraId="636FEEA3" w14:textId="77777777" w:rsidR="00454949" w:rsidRDefault="00454949" w:rsidP="00454949">
      <w:pPr>
        <w:pStyle w:val="ProtocolHeading2"/>
        <w:numPr>
          <w:ilvl w:val="0"/>
          <w:numId w:val="0"/>
        </w:numPr>
        <w:rPr>
          <w:rFonts w:cs="Arial"/>
          <w:szCs w:val="22"/>
        </w:rPr>
      </w:pPr>
    </w:p>
    <w:p w14:paraId="0DF3E056" w14:textId="46A074E5" w:rsidR="00575BCE" w:rsidRPr="00CC061F" w:rsidRDefault="00817B94" w:rsidP="00CC061F">
      <w:pPr>
        <w:pStyle w:val="ProtocolHeading2"/>
        <w:rPr>
          <w:rFonts w:cs="Arial"/>
          <w:szCs w:val="22"/>
        </w:rPr>
      </w:pPr>
      <w:r w:rsidRPr="00CC061F">
        <w:rPr>
          <w:rFonts w:cs="Arial"/>
          <w:szCs w:val="22"/>
        </w:rPr>
        <w:t xml:space="preserve">Sparrow Ascent </w:t>
      </w:r>
      <w:r w:rsidR="00575BCE" w:rsidRPr="00CC061F">
        <w:rPr>
          <w:rFonts w:cs="Arial"/>
          <w:szCs w:val="22"/>
        </w:rPr>
        <w:t>Cable (Model 810)</w:t>
      </w:r>
      <w:bookmarkEnd w:id="13"/>
      <w:bookmarkEnd w:id="14"/>
      <w:bookmarkEnd w:id="15"/>
    </w:p>
    <w:p w14:paraId="5FF1EA47" w14:textId="4EDA4F19" w:rsidR="00575BCE" w:rsidRPr="00CC061F" w:rsidRDefault="00575BCE" w:rsidP="00CC061F">
      <w:pPr>
        <w:pStyle w:val="TableParagraph"/>
        <w:rPr>
          <w:rFonts w:ascii="Arial" w:hAnsi="Arial" w:cs="Arial"/>
        </w:rPr>
      </w:pPr>
      <w:r w:rsidRPr="00CC061F">
        <w:rPr>
          <w:rFonts w:ascii="Arial" w:hAnsi="Arial" w:cs="Arial"/>
        </w:rPr>
        <w:t xml:space="preserve">The Cable is 37 inches long and connects the </w:t>
      </w:r>
      <w:r w:rsidR="00560555" w:rsidRPr="00CC061F">
        <w:rPr>
          <w:rFonts w:ascii="Arial" w:hAnsi="Arial" w:cs="Arial"/>
        </w:rPr>
        <w:t>Pulse Generator</w:t>
      </w:r>
      <w:r w:rsidRPr="00CC061F">
        <w:rPr>
          <w:rFonts w:ascii="Arial" w:hAnsi="Arial" w:cs="Arial"/>
        </w:rPr>
        <w:t xml:space="preserve"> to the Earpiece and is designed to be long enough to enable the user to wear the </w:t>
      </w:r>
      <w:r w:rsidR="00560555" w:rsidRPr="00CC061F">
        <w:rPr>
          <w:rFonts w:ascii="Arial" w:hAnsi="Arial" w:cs="Arial"/>
        </w:rPr>
        <w:t xml:space="preserve">Pulse Generator </w:t>
      </w:r>
      <w:r w:rsidRPr="00CC061F">
        <w:rPr>
          <w:rFonts w:ascii="Arial" w:hAnsi="Arial" w:cs="Arial"/>
        </w:rPr>
        <w:t>on a belt or similarly located area without constricting mobility. A built-in retention clip allows the patient to clip the Cable to their clothing to relieve cable strain.</w:t>
      </w:r>
    </w:p>
    <w:p w14:paraId="5EB597FB" w14:textId="77777777" w:rsidR="00575BCE" w:rsidRPr="00CC061F" w:rsidRDefault="00575BCE" w:rsidP="00CC061F">
      <w:pPr>
        <w:pStyle w:val="TableParagraph"/>
        <w:rPr>
          <w:rFonts w:ascii="Arial" w:hAnsi="Arial" w:cs="Arial"/>
        </w:rPr>
      </w:pPr>
    </w:p>
    <w:p w14:paraId="7794717D" w14:textId="2B55F8B0" w:rsidR="00575BCE" w:rsidRPr="00CC061F" w:rsidRDefault="00575BCE" w:rsidP="00CC061F">
      <w:pPr>
        <w:pStyle w:val="TableParagraph"/>
        <w:rPr>
          <w:rFonts w:ascii="Arial" w:hAnsi="Arial" w:cs="Arial"/>
        </w:rPr>
      </w:pPr>
      <w:r w:rsidRPr="00CC061F">
        <w:rPr>
          <w:rFonts w:ascii="Arial" w:hAnsi="Arial" w:cs="Arial"/>
        </w:rPr>
        <w:t>The Earpiece connects to the Cable via the Cable Button (</w:t>
      </w:r>
      <w:r w:rsidRPr="00CC061F">
        <w:rPr>
          <w:rFonts w:ascii="Arial" w:hAnsi="Arial" w:cs="Arial"/>
          <w:b/>
          <w:bCs/>
        </w:rPr>
        <w:t>Figure 3</w:t>
      </w:r>
      <w:r w:rsidRPr="00CC061F">
        <w:rPr>
          <w:rFonts w:ascii="Arial" w:hAnsi="Arial" w:cs="Arial"/>
        </w:rPr>
        <w:t xml:space="preserve">). Press fully down on the Cable Button and fully insert the end of the Earpiece into the Cable Connector. The Cable Connector is then connected to the </w:t>
      </w:r>
      <w:r w:rsidR="00560555" w:rsidRPr="00CC061F">
        <w:rPr>
          <w:rFonts w:ascii="Arial" w:hAnsi="Arial" w:cs="Arial"/>
        </w:rPr>
        <w:t xml:space="preserve">Pulse Generator </w:t>
      </w:r>
      <w:r w:rsidRPr="00CC061F">
        <w:rPr>
          <w:rFonts w:ascii="Arial" w:hAnsi="Arial" w:cs="Arial"/>
        </w:rPr>
        <w:t>via a 3.5mm cable jack.</w:t>
      </w:r>
    </w:p>
    <w:p w14:paraId="14D2CB8A" w14:textId="77777777" w:rsidR="00575BCE" w:rsidRPr="00CC061F" w:rsidRDefault="00575BCE" w:rsidP="00CC061F">
      <w:pPr>
        <w:pStyle w:val="TableParagraph"/>
        <w:rPr>
          <w:rFonts w:ascii="Arial" w:hAnsi="Arial" w:cs="Arial"/>
        </w:rPr>
      </w:pPr>
    </w:p>
    <w:p w14:paraId="75D71BCF" w14:textId="77777777" w:rsidR="00575BCE" w:rsidRPr="00CC061F" w:rsidRDefault="00575BCE" w:rsidP="00CC061F">
      <w:pPr>
        <w:pStyle w:val="TableParagraph"/>
        <w:rPr>
          <w:rFonts w:ascii="Arial" w:hAnsi="Arial" w:cs="Arial"/>
          <w:noProof/>
        </w:rPr>
      </w:pPr>
    </w:p>
    <w:p w14:paraId="5852DA9F" w14:textId="174D2B05" w:rsidR="00575BCE" w:rsidRPr="00CC061F" w:rsidRDefault="00222998" w:rsidP="00CC061F">
      <w:pPr>
        <w:pStyle w:val="TableParagraph"/>
        <w:jc w:val="center"/>
        <w:rPr>
          <w:rFonts w:ascii="Arial" w:hAnsi="Arial" w:cs="Arial"/>
        </w:rPr>
      </w:pPr>
      <w:r w:rsidRPr="00CC061F">
        <w:rPr>
          <w:rFonts w:ascii="Arial" w:hAnsi="Arial" w:cs="Arial"/>
          <w:noProof/>
        </w:rPr>
        <w:lastRenderedPageBreak/>
        <w:drawing>
          <wp:inline distT="0" distB="0" distL="0" distR="0" wp14:anchorId="06782A6C" wp14:editId="128E2051">
            <wp:extent cx="5943600" cy="3772535"/>
            <wp:effectExtent l="0" t="0" r="0" b="0"/>
            <wp:docPr id="1134041700" name="Picture 1" descr="A blueprint of a computer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41700" name="Picture 1" descr="A blueprint of a computer cable&#10;&#10;Description automatically generated"/>
                    <pic:cNvPicPr/>
                  </pic:nvPicPr>
                  <pic:blipFill>
                    <a:blip r:embed="rId12"/>
                    <a:stretch>
                      <a:fillRect/>
                    </a:stretch>
                  </pic:blipFill>
                  <pic:spPr>
                    <a:xfrm>
                      <a:off x="0" y="0"/>
                      <a:ext cx="5943600" cy="3772535"/>
                    </a:xfrm>
                    <a:prstGeom prst="rect">
                      <a:avLst/>
                    </a:prstGeom>
                  </pic:spPr>
                </pic:pic>
              </a:graphicData>
            </a:graphic>
          </wp:inline>
        </w:drawing>
      </w:r>
    </w:p>
    <w:p w14:paraId="7D99DA81" w14:textId="513CEE4C" w:rsidR="00575BCE" w:rsidRPr="00CC061F" w:rsidRDefault="00575BCE" w:rsidP="00CC061F">
      <w:pPr>
        <w:pStyle w:val="TableParagraph"/>
        <w:jc w:val="center"/>
        <w:rPr>
          <w:rFonts w:ascii="Arial" w:hAnsi="Arial" w:cs="Arial"/>
        </w:rPr>
      </w:pPr>
      <w:r w:rsidRPr="00CC061F">
        <w:rPr>
          <w:rFonts w:ascii="Arial" w:hAnsi="Arial" w:cs="Arial"/>
          <w:b/>
          <w:bCs/>
        </w:rPr>
        <w:t xml:space="preserve">Figure 3. </w:t>
      </w:r>
      <w:r w:rsidRPr="00CC061F">
        <w:rPr>
          <w:rFonts w:ascii="Arial" w:hAnsi="Arial" w:cs="Arial"/>
        </w:rPr>
        <w:t>Cable (Model 810</w:t>
      </w:r>
      <w:r w:rsidR="00222998" w:rsidRPr="00CC061F">
        <w:rPr>
          <w:rFonts w:ascii="Arial" w:hAnsi="Arial" w:cs="Arial"/>
        </w:rPr>
        <w:t>)</w:t>
      </w:r>
    </w:p>
    <w:p w14:paraId="1EF1BA92" w14:textId="77777777" w:rsidR="000D5BA2" w:rsidRPr="00CC061F" w:rsidRDefault="000D5BA2" w:rsidP="00CC061F">
      <w:pPr>
        <w:pStyle w:val="TableParagraph"/>
        <w:jc w:val="center"/>
        <w:rPr>
          <w:rFonts w:ascii="Arial" w:hAnsi="Arial" w:cs="Arial"/>
        </w:rPr>
      </w:pPr>
    </w:p>
    <w:p w14:paraId="17A20F96" w14:textId="35C86457" w:rsidR="00D20A2C" w:rsidRPr="00CC061F" w:rsidRDefault="002566FB" w:rsidP="00CC061F">
      <w:pPr>
        <w:pStyle w:val="ProtocolHeading2"/>
        <w:rPr>
          <w:rFonts w:cs="Arial"/>
          <w:szCs w:val="22"/>
        </w:rPr>
      </w:pPr>
      <w:r w:rsidRPr="00CC061F">
        <w:rPr>
          <w:rFonts w:cs="Arial"/>
          <w:szCs w:val="22"/>
        </w:rPr>
        <w:t>Sparrow Link Mobile App</w:t>
      </w:r>
      <w:r w:rsidR="000D5BA2" w:rsidRPr="00CC061F">
        <w:rPr>
          <w:rFonts w:cs="Arial"/>
          <w:szCs w:val="22"/>
        </w:rPr>
        <w:t xml:space="preserve"> (Model 930-S)</w:t>
      </w:r>
    </w:p>
    <w:p w14:paraId="7168CCB3" w14:textId="12C04AE0" w:rsidR="00CF7D0F" w:rsidRPr="00CC061F" w:rsidRDefault="000D5BA2" w:rsidP="00CC061F">
      <w:pPr>
        <w:spacing w:line="240" w:lineRule="auto"/>
      </w:pPr>
      <w:r w:rsidRPr="00CC061F">
        <w:t xml:space="preserve">The Sparrow Link Mobile Application is an application that can be used to connect with a Sparrow Link Pulse Generator to view or modify device behavior and stimulation parameters. The Sparrow Link Mobile Application is only available for Android platforms and is compatible with the Sparrow Ascent Patient </w:t>
      </w:r>
      <w:r w:rsidR="00AF3297" w:rsidRPr="00CC061F">
        <w:t>Generator</w:t>
      </w:r>
      <w:r w:rsidRPr="00CC061F">
        <w:t xml:space="preserve"> </w:t>
      </w:r>
      <w:r w:rsidR="00AF3297" w:rsidRPr="00CC061F">
        <w:t>(</w:t>
      </w:r>
      <w:r w:rsidR="00A74055" w:rsidRPr="00CC061F">
        <w:t>M</w:t>
      </w:r>
      <w:r w:rsidRPr="00CC061F">
        <w:t>odel 110</w:t>
      </w:r>
      <w:r w:rsidR="00A74055" w:rsidRPr="00CC061F">
        <w:t>)</w:t>
      </w:r>
      <w:r w:rsidRPr="00CC061F">
        <w:t xml:space="preserve"> and Sparrow Link Pulse Generator</w:t>
      </w:r>
      <w:r w:rsidR="00A74055" w:rsidRPr="00CC061F">
        <w:t xml:space="preserve"> (M</w:t>
      </w:r>
      <w:r w:rsidRPr="00CC061F">
        <w:t>odel 910</w:t>
      </w:r>
      <w:r w:rsidR="00A74055" w:rsidRPr="00CC061F">
        <w:t>)</w:t>
      </w:r>
      <w:r w:rsidRPr="00CC061F">
        <w:t xml:space="preserve">. </w:t>
      </w:r>
    </w:p>
    <w:p w14:paraId="40990327" w14:textId="77777777" w:rsidR="002B1C8C" w:rsidRPr="00CC061F" w:rsidRDefault="002B1C8C" w:rsidP="00CC061F">
      <w:pPr>
        <w:spacing w:line="240" w:lineRule="auto"/>
      </w:pPr>
    </w:p>
    <w:p w14:paraId="1BBDE727" w14:textId="1798440A" w:rsidR="000D5BA2" w:rsidRPr="00CC061F" w:rsidRDefault="000D5BA2" w:rsidP="00CC061F">
      <w:pPr>
        <w:pStyle w:val="ProtocolHeading2"/>
        <w:rPr>
          <w:rFonts w:cs="Arial"/>
          <w:szCs w:val="22"/>
        </w:rPr>
      </w:pPr>
      <w:r w:rsidRPr="00CC061F">
        <w:rPr>
          <w:rFonts w:cs="Arial"/>
          <w:szCs w:val="22"/>
        </w:rPr>
        <w:t>Sparrow Link Hub (Model 9</w:t>
      </w:r>
      <w:r w:rsidR="00AF3297" w:rsidRPr="00CC061F">
        <w:rPr>
          <w:rFonts w:cs="Arial"/>
          <w:szCs w:val="22"/>
        </w:rPr>
        <w:t>4</w:t>
      </w:r>
      <w:r w:rsidRPr="00CC061F">
        <w:rPr>
          <w:rFonts w:cs="Arial"/>
          <w:szCs w:val="22"/>
        </w:rPr>
        <w:t>0)</w:t>
      </w:r>
    </w:p>
    <w:p w14:paraId="47AC7C06" w14:textId="0A3E2B1B" w:rsidR="00BB5836" w:rsidRPr="00CC061F" w:rsidRDefault="00BB5836" w:rsidP="00CC061F">
      <w:pPr>
        <w:spacing w:line="240" w:lineRule="auto"/>
      </w:pPr>
      <w:r w:rsidRPr="00CC061F">
        <w:t>The Sparrow Link Hub has an onboard Bluetooth Low Energy (BLE) chip, one USB-C input for serial communication to a PC, and two BNC connections to receive input signals for stimulation triggering</w:t>
      </w:r>
      <w:r w:rsidR="00DB7534" w:rsidRPr="00CC061F">
        <w:t xml:space="preserve"> (</w:t>
      </w:r>
      <w:r w:rsidR="00DB7534" w:rsidRPr="00CC061F">
        <w:rPr>
          <w:b/>
          <w:bCs/>
        </w:rPr>
        <w:t>Figure 4</w:t>
      </w:r>
      <w:r w:rsidR="00DB7534" w:rsidRPr="00CC061F">
        <w:t>)</w:t>
      </w:r>
      <w:r w:rsidRPr="00CC061F">
        <w:t>. Users can connect the Hub to a PC</w:t>
      </w:r>
      <w:r w:rsidR="00A104AF" w:rsidRPr="00CC061F">
        <w:t xml:space="preserve"> and </w:t>
      </w:r>
      <w:r w:rsidRPr="00CC061F">
        <w:t xml:space="preserve">pair the Hub to </w:t>
      </w:r>
      <w:r w:rsidR="00A104AF" w:rsidRPr="00CC061F">
        <w:t xml:space="preserve">the </w:t>
      </w:r>
      <w:r w:rsidRPr="00CC061F">
        <w:t>Sparrow Link Pulse Generator</w:t>
      </w:r>
      <w:r w:rsidR="00A104AF" w:rsidRPr="00CC061F">
        <w:t xml:space="preserve"> using the Sparrow Link API</w:t>
      </w:r>
      <w:r w:rsidRPr="00CC061F">
        <w:t>. Once paired,</w:t>
      </w:r>
      <w:r w:rsidR="00A104AF" w:rsidRPr="00CC061F">
        <w:t xml:space="preserve"> </w:t>
      </w:r>
      <w:r w:rsidRPr="00CC061F">
        <w:t>the API</w:t>
      </w:r>
      <w:r w:rsidR="00A104AF" w:rsidRPr="00CC061F">
        <w:t xml:space="preserve"> can be used</w:t>
      </w:r>
      <w:r w:rsidRPr="00CC061F">
        <w:t xml:space="preserve"> to modify </w:t>
      </w:r>
      <w:r w:rsidR="00A104AF" w:rsidRPr="00CC061F">
        <w:t>the Pulse Generator</w:t>
      </w:r>
      <w:r w:rsidRPr="00CC061F">
        <w:t xml:space="preserve"> stimulation parameters and enable triggering. </w:t>
      </w:r>
    </w:p>
    <w:p w14:paraId="2B5E2897" w14:textId="79F30EDA" w:rsidR="00DB7534" w:rsidRPr="00CC061F" w:rsidRDefault="00DB7534" w:rsidP="00CC061F">
      <w:pPr>
        <w:spacing w:line="240" w:lineRule="auto"/>
        <w:rPr>
          <w:b/>
          <w:bCs/>
        </w:rPr>
      </w:pPr>
      <w:r w:rsidRPr="00CC061F">
        <w:rPr>
          <w:b/>
          <w:bCs/>
          <w:noProof/>
        </w:rPr>
        <w:lastRenderedPageBreak/>
        <w:drawing>
          <wp:inline distT="0" distB="0" distL="0" distR="0" wp14:anchorId="7C8DB34F" wp14:editId="7EC6ED97">
            <wp:extent cx="5943600" cy="3361690"/>
            <wp:effectExtent l="0" t="0" r="0" b="0"/>
            <wp:docPr id="1229398480"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98480" name="Picture 1" descr="A close-up of a device&#10;&#10;Description automatically generated"/>
                    <pic:cNvPicPr/>
                  </pic:nvPicPr>
                  <pic:blipFill>
                    <a:blip r:embed="rId13"/>
                    <a:stretch>
                      <a:fillRect/>
                    </a:stretch>
                  </pic:blipFill>
                  <pic:spPr>
                    <a:xfrm>
                      <a:off x="0" y="0"/>
                      <a:ext cx="5943600" cy="3361690"/>
                    </a:xfrm>
                    <a:prstGeom prst="rect">
                      <a:avLst/>
                    </a:prstGeom>
                  </pic:spPr>
                </pic:pic>
              </a:graphicData>
            </a:graphic>
          </wp:inline>
        </w:drawing>
      </w:r>
    </w:p>
    <w:p w14:paraId="7D378A5D" w14:textId="26412BC3" w:rsidR="00DB7534" w:rsidRPr="00CC061F" w:rsidRDefault="00DB7534" w:rsidP="00CC061F">
      <w:pPr>
        <w:spacing w:line="240" w:lineRule="auto"/>
        <w:jc w:val="center"/>
        <w:rPr>
          <w:b/>
          <w:bCs/>
        </w:rPr>
      </w:pPr>
      <w:r w:rsidRPr="00CC061F">
        <w:rPr>
          <w:b/>
          <w:bCs/>
        </w:rPr>
        <w:t>Figure 4: Sparrow Link Hub</w:t>
      </w:r>
    </w:p>
    <w:p w14:paraId="2223A948" w14:textId="77777777" w:rsidR="00DB7534" w:rsidRPr="00CC061F" w:rsidRDefault="00DB7534" w:rsidP="00CC061F">
      <w:pPr>
        <w:spacing w:line="240" w:lineRule="auto"/>
      </w:pPr>
    </w:p>
    <w:p w14:paraId="5D027042" w14:textId="77777777" w:rsidR="00DB7534" w:rsidRPr="00CC061F" w:rsidRDefault="00DB7534" w:rsidP="00CC061F">
      <w:pPr>
        <w:spacing w:line="240" w:lineRule="auto"/>
      </w:pPr>
    </w:p>
    <w:p w14:paraId="4F0E7B2A" w14:textId="7ABFD4B0" w:rsidR="002B1C8C" w:rsidRPr="00CC061F" w:rsidRDefault="002B1C8C" w:rsidP="00CC061F">
      <w:pPr>
        <w:spacing w:line="240" w:lineRule="auto"/>
      </w:pPr>
      <w:r w:rsidRPr="00CC061F">
        <w:t xml:space="preserve">The Sparrow Link Hub pairs with the Sparrow Link Pulse Generator via </w:t>
      </w:r>
      <w:r w:rsidR="008E41C6" w:rsidRPr="00CC061F">
        <w:t>BLE</w:t>
      </w:r>
      <w:r w:rsidRPr="00CC061F">
        <w:t xml:space="preserve"> to:</w:t>
      </w:r>
    </w:p>
    <w:p w14:paraId="7997CCFA" w14:textId="586C284E" w:rsidR="002B1C8C" w:rsidRPr="00CC061F" w:rsidRDefault="002B1C8C" w:rsidP="00CC061F">
      <w:pPr>
        <w:pStyle w:val="ListParagraph"/>
        <w:numPr>
          <w:ilvl w:val="0"/>
          <w:numId w:val="8"/>
        </w:numPr>
        <w:spacing w:line="240" w:lineRule="auto"/>
      </w:pPr>
      <w:r w:rsidRPr="00CC061F">
        <w:t>Modify stimulation output parameters, including amplitude, pulse width, frequency, duty cycle, and ramping duration</w:t>
      </w:r>
    </w:p>
    <w:p w14:paraId="4F9F810A" w14:textId="11BB9CD4" w:rsidR="002B1C8C" w:rsidRPr="00CC061F" w:rsidRDefault="002B1C8C" w:rsidP="00CC061F">
      <w:pPr>
        <w:pStyle w:val="ListParagraph"/>
        <w:numPr>
          <w:ilvl w:val="0"/>
          <w:numId w:val="8"/>
        </w:numPr>
        <w:spacing w:line="240" w:lineRule="auto"/>
      </w:pPr>
      <w:r w:rsidRPr="00CC061F">
        <w:t>Enable or disable error notifications on the Sparrow Link Pulse Generator</w:t>
      </w:r>
    </w:p>
    <w:p w14:paraId="35263DF7" w14:textId="5EB53412" w:rsidR="002B1C8C" w:rsidRPr="00CC061F" w:rsidRDefault="002B1C8C" w:rsidP="00CC061F">
      <w:pPr>
        <w:pStyle w:val="ListParagraph"/>
        <w:numPr>
          <w:ilvl w:val="0"/>
          <w:numId w:val="8"/>
        </w:numPr>
        <w:spacing w:line="240" w:lineRule="auto"/>
      </w:pPr>
      <w:r w:rsidRPr="00CC061F">
        <w:t>Factory reset the Sparrow Link Pulse Generator</w:t>
      </w:r>
    </w:p>
    <w:p w14:paraId="172404B3" w14:textId="2BD6DF50" w:rsidR="002B1C8C" w:rsidRPr="00CC061F" w:rsidRDefault="002B1C8C" w:rsidP="00CC061F">
      <w:pPr>
        <w:pStyle w:val="ListParagraph"/>
        <w:numPr>
          <w:ilvl w:val="0"/>
          <w:numId w:val="8"/>
        </w:numPr>
        <w:spacing w:line="240" w:lineRule="auto"/>
      </w:pPr>
      <w:r w:rsidRPr="00CC061F">
        <w:t>Enable or disable the Sparrow Link Pulse Generator lock screen</w:t>
      </w:r>
    </w:p>
    <w:p w14:paraId="5BD503F1" w14:textId="5CF96D50" w:rsidR="002B1C8C" w:rsidRPr="00CC061F" w:rsidRDefault="002B1C8C" w:rsidP="00CC061F">
      <w:pPr>
        <w:pStyle w:val="ListParagraph"/>
        <w:numPr>
          <w:ilvl w:val="0"/>
          <w:numId w:val="8"/>
        </w:numPr>
        <w:spacing w:line="240" w:lineRule="auto"/>
      </w:pPr>
      <w:r w:rsidRPr="00CC061F">
        <w:t>Programmatically modify stimulation output by the Sparrow Link Pulse Generator</w:t>
      </w:r>
    </w:p>
    <w:p w14:paraId="1605283E" w14:textId="261C0BA7" w:rsidR="002B1C8C" w:rsidRPr="00CC061F" w:rsidRDefault="002B1C8C" w:rsidP="00CC061F">
      <w:pPr>
        <w:pStyle w:val="ListParagraph"/>
        <w:numPr>
          <w:ilvl w:val="0"/>
          <w:numId w:val="8"/>
        </w:numPr>
        <w:spacing w:line="240" w:lineRule="auto"/>
      </w:pPr>
      <w:r w:rsidRPr="00CC061F">
        <w:t>Enable trigger mode, which allows external signal inputs into the Hub to trigger stimulation at the Inner or Outer areas of the Sparrow Ascent Earpiece when paired with the Sparrow Link Pulse Generator.</w:t>
      </w:r>
    </w:p>
    <w:p w14:paraId="342FFA84" w14:textId="77777777" w:rsidR="00D20A2C" w:rsidRPr="00CC061F" w:rsidRDefault="00D20A2C" w:rsidP="00CC061F">
      <w:pPr>
        <w:pStyle w:val="ProtocolHeading2"/>
        <w:numPr>
          <w:ilvl w:val="0"/>
          <w:numId w:val="0"/>
        </w:numPr>
        <w:ind w:left="432"/>
        <w:rPr>
          <w:rFonts w:cs="Arial"/>
          <w:szCs w:val="22"/>
        </w:rPr>
      </w:pPr>
    </w:p>
    <w:p w14:paraId="32018E0C" w14:textId="4C04DB95" w:rsidR="00FB7E13" w:rsidRPr="00CC061F" w:rsidRDefault="00FB7E13" w:rsidP="00CC061F">
      <w:pPr>
        <w:pStyle w:val="ProtocolHeading1"/>
        <w:rPr>
          <w:rFonts w:cs="Arial"/>
          <w:szCs w:val="22"/>
        </w:rPr>
      </w:pPr>
      <w:r w:rsidRPr="00CC061F">
        <w:rPr>
          <w:rFonts w:cs="Arial"/>
          <w:szCs w:val="22"/>
        </w:rPr>
        <w:t>Labelling, Packaging, Storage, and Return or Disposal of Study Devices</w:t>
      </w:r>
      <w:bookmarkEnd w:id="3"/>
      <w:bookmarkEnd w:id="4"/>
      <w:bookmarkEnd w:id="5"/>
    </w:p>
    <w:p w14:paraId="00B32C05" w14:textId="059EFFCB" w:rsidR="00FB7E13" w:rsidRPr="00CC061F" w:rsidRDefault="00FB7E13" w:rsidP="00CC061F">
      <w:pPr>
        <w:pStyle w:val="DocumentText"/>
        <w:spacing w:after="0" w:line="240" w:lineRule="auto"/>
        <w:rPr>
          <w:rFonts w:ascii="Arial" w:hAnsi="Arial" w:cs="Arial"/>
          <w:sz w:val="22"/>
          <w:szCs w:val="22"/>
        </w:rPr>
      </w:pPr>
      <w:r w:rsidRPr="00CC061F">
        <w:rPr>
          <w:rFonts w:ascii="Arial" w:hAnsi="Arial" w:cs="Arial"/>
          <w:sz w:val="22"/>
          <w:szCs w:val="22"/>
        </w:rPr>
        <w:t xml:space="preserve">The Sparrow Link Pulse Generator will be labeled “for investigational use only.” The Sparrow Link box and instructions for use will be labeled “CAUTION </w:t>
      </w:r>
      <w:r w:rsidRPr="00CC061F">
        <w:rPr>
          <w:rFonts w:ascii="Arial" w:hAnsi="Arial" w:cs="Arial"/>
          <w:sz w:val="22"/>
          <w:szCs w:val="22"/>
        </w:rPr>
        <w:softHyphen/>
        <w:t>- Investigational device. Limited by Federal (or United States) law to investigational use”. All devices will be stored and maintained in accordance with the corresponding Instructions for Use. All unused investigational devices will be returned to the Sponsor at the end of the study.</w:t>
      </w:r>
    </w:p>
    <w:p w14:paraId="21C8CD97" w14:textId="77777777" w:rsidR="00FB7E13" w:rsidRPr="00CC061F" w:rsidRDefault="00FB7E13" w:rsidP="00CC061F">
      <w:pPr>
        <w:spacing w:line="240" w:lineRule="auto"/>
      </w:pPr>
    </w:p>
    <w:p w14:paraId="2F83CD7B" w14:textId="77777777" w:rsidR="00FB7E13" w:rsidRPr="00CC061F" w:rsidRDefault="00FB7E13" w:rsidP="00CC061F">
      <w:pPr>
        <w:pStyle w:val="ProtocolHeading1"/>
        <w:rPr>
          <w:rFonts w:cs="Arial"/>
          <w:szCs w:val="22"/>
        </w:rPr>
      </w:pPr>
      <w:bookmarkStart w:id="16" w:name="_Toc91073035"/>
      <w:bookmarkStart w:id="17" w:name="_Toc94780699"/>
      <w:bookmarkStart w:id="18" w:name="_Toc140155666"/>
      <w:r w:rsidRPr="00CC061F">
        <w:rPr>
          <w:rFonts w:cs="Arial"/>
          <w:szCs w:val="22"/>
        </w:rPr>
        <w:t>Regulatory Status</w:t>
      </w:r>
      <w:bookmarkEnd w:id="16"/>
      <w:bookmarkEnd w:id="17"/>
      <w:bookmarkEnd w:id="18"/>
    </w:p>
    <w:p w14:paraId="6E6EC74A" w14:textId="42199613" w:rsidR="00FB7E13" w:rsidRPr="00CC061F" w:rsidRDefault="00FB7E13" w:rsidP="00CC061F">
      <w:pPr>
        <w:spacing w:line="240" w:lineRule="auto"/>
      </w:pPr>
      <w:r w:rsidRPr="00CC061F">
        <w:t xml:space="preserve">The Sparrow Link is based on the Sparrow Ascent, which is a regulated medical device (FDA-cleared K230796). For the purposes of this clinical trial the device is considered investigational in relation to outcomes not covered by the FDA indication for use statement. </w:t>
      </w:r>
    </w:p>
    <w:p w14:paraId="2AE05965" w14:textId="77777777" w:rsidR="00FB7E13" w:rsidRPr="00CC061F" w:rsidRDefault="00FB7E13" w:rsidP="00CC061F">
      <w:pPr>
        <w:spacing w:line="240" w:lineRule="auto"/>
      </w:pPr>
    </w:p>
    <w:p w14:paraId="2A95B8F9" w14:textId="77777777" w:rsidR="006A77E3" w:rsidRPr="00CC061F" w:rsidRDefault="006A77E3" w:rsidP="00CC061F">
      <w:pPr>
        <w:pStyle w:val="ProtocolHeading1"/>
        <w:rPr>
          <w:rFonts w:cs="Arial"/>
          <w:szCs w:val="22"/>
        </w:rPr>
      </w:pPr>
      <w:r w:rsidRPr="00CC061F">
        <w:rPr>
          <w:rFonts w:cs="Arial"/>
          <w:szCs w:val="22"/>
        </w:rPr>
        <w:t>Anticipated Adverse Events</w:t>
      </w:r>
    </w:p>
    <w:p w14:paraId="4CE6018C" w14:textId="77777777" w:rsidR="006A77E3" w:rsidRPr="00CC061F" w:rsidRDefault="006A77E3" w:rsidP="00CC061F">
      <w:pPr>
        <w:spacing w:line="240" w:lineRule="auto"/>
      </w:pPr>
      <w:r w:rsidRPr="00CC061F">
        <w:t>No device-related serious adverse events are anticipated with the use of the Sparrow Link. Furthermore, no serious adverse events are anticipated from the study procedures. Examples of potential adverse events include:</w:t>
      </w:r>
    </w:p>
    <w:p w14:paraId="2ED63093" w14:textId="77777777" w:rsidR="006A77E3" w:rsidRPr="00CC061F" w:rsidRDefault="006A77E3" w:rsidP="00CC061F">
      <w:pPr>
        <w:pStyle w:val="ListParagraph"/>
        <w:numPr>
          <w:ilvl w:val="0"/>
          <w:numId w:val="2"/>
        </w:numPr>
        <w:spacing w:line="240" w:lineRule="auto"/>
      </w:pPr>
      <w:r w:rsidRPr="00CC061F">
        <w:lastRenderedPageBreak/>
        <w:t>Dermal (skin) irritation</w:t>
      </w:r>
    </w:p>
    <w:p w14:paraId="6A1253A3" w14:textId="77777777" w:rsidR="006A77E3" w:rsidRPr="00CC061F" w:rsidRDefault="006A77E3" w:rsidP="00CC061F">
      <w:pPr>
        <w:pStyle w:val="ListParagraph"/>
        <w:numPr>
          <w:ilvl w:val="0"/>
          <w:numId w:val="2"/>
        </w:numPr>
        <w:spacing w:line="240" w:lineRule="auto"/>
      </w:pPr>
      <w:r w:rsidRPr="00CC061F">
        <w:t>Erythema (redness where device is touching the skin)</w:t>
      </w:r>
    </w:p>
    <w:p w14:paraId="5C1F850E" w14:textId="77777777" w:rsidR="006A77E3" w:rsidRPr="00CC061F" w:rsidRDefault="006A77E3" w:rsidP="00CC061F">
      <w:pPr>
        <w:pStyle w:val="ListParagraph"/>
        <w:numPr>
          <w:ilvl w:val="0"/>
          <w:numId w:val="2"/>
        </w:numPr>
        <w:spacing w:line="240" w:lineRule="auto"/>
      </w:pPr>
      <w:r w:rsidRPr="00CC061F">
        <w:t>Paresthesia (tingling, prickling or numbness)</w:t>
      </w:r>
    </w:p>
    <w:p w14:paraId="4040590E" w14:textId="77777777" w:rsidR="006A77E3" w:rsidRPr="00CC061F" w:rsidRDefault="006A77E3" w:rsidP="00CC061F">
      <w:pPr>
        <w:pStyle w:val="ListParagraph"/>
        <w:numPr>
          <w:ilvl w:val="0"/>
          <w:numId w:val="2"/>
        </w:numPr>
        <w:spacing w:line="240" w:lineRule="auto"/>
      </w:pPr>
      <w:r w:rsidRPr="00CC061F">
        <w:t>Allergic contact dermatitis (red, itchy rash due to allergy)</w:t>
      </w:r>
    </w:p>
    <w:p w14:paraId="7FA5484C" w14:textId="77777777" w:rsidR="006A77E3" w:rsidRPr="00CC061F" w:rsidRDefault="006A77E3" w:rsidP="00CC061F">
      <w:pPr>
        <w:pStyle w:val="ListParagraph"/>
        <w:numPr>
          <w:ilvl w:val="0"/>
          <w:numId w:val="2"/>
        </w:numPr>
        <w:spacing w:line="240" w:lineRule="auto"/>
      </w:pPr>
      <w:r w:rsidRPr="00CC061F">
        <w:t>Transient (temporary) pain or discomfort due to stimulation</w:t>
      </w:r>
    </w:p>
    <w:p w14:paraId="02D38020" w14:textId="77777777" w:rsidR="006A77E3" w:rsidRPr="00CC061F" w:rsidRDefault="006A77E3" w:rsidP="00CC061F">
      <w:pPr>
        <w:pStyle w:val="ListParagraph"/>
        <w:numPr>
          <w:ilvl w:val="0"/>
          <w:numId w:val="2"/>
        </w:numPr>
        <w:spacing w:line="240" w:lineRule="auto"/>
      </w:pPr>
      <w:r w:rsidRPr="00CC061F">
        <w:t>Transient pain or discomfort due to device malfunction</w:t>
      </w:r>
    </w:p>
    <w:p w14:paraId="06E7107D" w14:textId="77777777" w:rsidR="006A77E3" w:rsidRPr="00CC061F" w:rsidRDefault="006A77E3" w:rsidP="00CC061F">
      <w:pPr>
        <w:pStyle w:val="ListParagraph"/>
        <w:numPr>
          <w:ilvl w:val="0"/>
          <w:numId w:val="2"/>
        </w:numPr>
        <w:spacing w:line="240" w:lineRule="auto"/>
      </w:pPr>
      <w:r w:rsidRPr="00CC061F">
        <w:t>Otalgia/</w:t>
      </w:r>
      <w:proofErr w:type="spellStart"/>
      <w:r w:rsidRPr="00CC061F">
        <w:t>otodynia</w:t>
      </w:r>
      <w:proofErr w:type="spellEnd"/>
      <w:r w:rsidRPr="00CC061F">
        <w:t xml:space="preserve"> (earache)</w:t>
      </w:r>
    </w:p>
    <w:p w14:paraId="69703C1D" w14:textId="77777777" w:rsidR="006A77E3" w:rsidRPr="00CC061F" w:rsidRDefault="006A77E3" w:rsidP="00CC061F">
      <w:pPr>
        <w:pStyle w:val="ListParagraph"/>
        <w:numPr>
          <w:ilvl w:val="0"/>
          <w:numId w:val="2"/>
        </w:numPr>
        <w:spacing w:line="240" w:lineRule="auto"/>
      </w:pPr>
      <w:r w:rsidRPr="00CC061F">
        <w:t>Muscle twitching during stimulation</w:t>
      </w:r>
    </w:p>
    <w:p w14:paraId="11BF17EB" w14:textId="77777777" w:rsidR="006A77E3" w:rsidRPr="00CC061F" w:rsidRDefault="006A77E3" w:rsidP="00CC061F">
      <w:pPr>
        <w:pStyle w:val="ListParagraph"/>
        <w:numPr>
          <w:ilvl w:val="0"/>
          <w:numId w:val="2"/>
        </w:numPr>
        <w:spacing w:line="240" w:lineRule="auto"/>
      </w:pPr>
      <w:r w:rsidRPr="00CC061F">
        <w:t>Failure of a device component resulting in loss or decrease of therapeutic effect</w:t>
      </w:r>
    </w:p>
    <w:p w14:paraId="2EE9E31C" w14:textId="1A5EE6F1" w:rsidR="006A77E3" w:rsidRPr="00CC061F" w:rsidRDefault="006A77E3" w:rsidP="00CC061F">
      <w:pPr>
        <w:spacing w:line="240" w:lineRule="auto"/>
      </w:pPr>
    </w:p>
    <w:sectPr w:rsidR="006A77E3" w:rsidRPr="00CC0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6A8"/>
    <w:multiLevelType w:val="hybridMultilevel"/>
    <w:tmpl w:val="2D6E48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11E77D5"/>
    <w:multiLevelType w:val="hybridMultilevel"/>
    <w:tmpl w:val="FAF2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C21DE"/>
    <w:multiLevelType w:val="hybridMultilevel"/>
    <w:tmpl w:val="C6CAAB86"/>
    <w:lvl w:ilvl="0" w:tplc="FFB096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8457D"/>
    <w:multiLevelType w:val="hybridMultilevel"/>
    <w:tmpl w:val="39F8328A"/>
    <w:lvl w:ilvl="0" w:tplc="35185E7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E513C9"/>
    <w:multiLevelType w:val="hybridMultilevel"/>
    <w:tmpl w:val="01D0DE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14551C4"/>
    <w:multiLevelType w:val="hybridMultilevel"/>
    <w:tmpl w:val="3B6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9220D"/>
    <w:multiLevelType w:val="multilevel"/>
    <w:tmpl w:val="A2A2B2BE"/>
    <w:lvl w:ilvl="0">
      <w:start w:val="1"/>
      <w:numFmt w:val="decimal"/>
      <w:pStyle w:val="ProtocolHeading1"/>
      <w:lvlText w:val="%1."/>
      <w:lvlJc w:val="left"/>
      <w:pPr>
        <w:ind w:left="360" w:hanging="360"/>
      </w:pPr>
      <w:rPr>
        <w:rFonts w:hint="default"/>
      </w:rPr>
    </w:lvl>
    <w:lvl w:ilvl="1">
      <w:start w:val="1"/>
      <w:numFmt w:val="decimal"/>
      <w:pStyle w:val="ProtocolHeading2"/>
      <w:lvlText w:val="%1.%2."/>
      <w:lvlJc w:val="left"/>
      <w:pPr>
        <w:ind w:left="432" w:hanging="432"/>
      </w:pPr>
      <w:rPr>
        <w:rFonts w:ascii="Arial" w:hAnsi="Arial" w:cs="Arial" w:hint="default"/>
        <w:sz w:val="22"/>
        <w:szCs w:val="22"/>
      </w:rPr>
    </w:lvl>
    <w:lvl w:ilvl="2">
      <w:start w:val="1"/>
      <w:numFmt w:val="decimal"/>
      <w:pStyle w:val="ProtocolHeading3"/>
      <w:lvlText w:val="%1.%2.%3."/>
      <w:lvlJc w:val="left"/>
      <w:pPr>
        <w:ind w:left="14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DAD2768"/>
    <w:multiLevelType w:val="hybridMultilevel"/>
    <w:tmpl w:val="81040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3220849">
    <w:abstractNumId w:val="6"/>
  </w:num>
  <w:num w:numId="2" w16cid:durableId="1758556212">
    <w:abstractNumId w:val="4"/>
  </w:num>
  <w:num w:numId="3" w16cid:durableId="499269543">
    <w:abstractNumId w:val="1"/>
  </w:num>
  <w:num w:numId="4" w16cid:durableId="1946769899">
    <w:abstractNumId w:val="7"/>
  </w:num>
  <w:num w:numId="5" w16cid:durableId="1358316445">
    <w:abstractNumId w:val="0"/>
  </w:num>
  <w:num w:numId="6" w16cid:durableId="1050350661">
    <w:abstractNumId w:val="3"/>
  </w:num>
  <w:num w:numId="7" w16cid:durableId="1356539027">
    <w:abstractNumId w:val="5"/>
  </w:num>
  <w:num w:numId="8" w16cid:durableId="641152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F0"/>
    <w:rsid w:val="000D5BA2"/>
    <w:rsid w:val="00103C9D"/>
    <w:rsid w:val="00172D36"/>
    <w:rsid w:val="00200CDD"/>
    <w:rsid w:val="00222998"/>
    <w:rsid w:val="002310A2"/>
    <w:rsid w:val="00251396"/>
    <w:rsid w:val="002566FB"/>
    <w:rsid w:val="002B1C22"/>
    <w:rsid w:val="002B1C8C"/>
    <w:rsid w:val="00382B5B"/>
    <w:rsid w:val="003F63A8"/>
    <w:rsid w:val="00454949"/>
    <w:rsid w:val="00456D94"/>
    <w:rsid w:val="00463EFF"/>
    <w:rsid w:val="004918F0"/>
    <w:rsid w:val="00494EC2"/>
    <w:rsid w:val="00495825"/>
    <w:rsid w:val="004B244D"/>
    <w:rsid w:val="004C3A8E"/>
    <w:rsid w:val="004E0DA7"/>
    <w:rsid w:val="00560555"/>
    <w:rsid w:val="00570E25"/>
    <w:rsid w:val="00575BCE"/>
    <w:rsid w:val="00594F12"/>
    <w:rsid w:val="005B4848"/>
    <w:rsid w:val="005E0724"/>
    <w:rsid w:val="00607D9D"/>
    <w:rsid w:val="00622335"/>
    <w:rsid w:val="006A77E3"/>
    <w:rsid w:val="006D3DDB"/>
    <w:rsid w:val="007B449F"/>
    <w:rsid w:val="007E136E"/>
    <w:rsid w:val="00800F61"/>
    <w:rsid w:val="00817B94"/>
    <w:rsid w:val="008E41C6"/>
    <w:rsid w:val="008E678B"/>
    <w:rsid w:val="009C0638"/>
    <w:rsid w:val="009F3D89"/>
    <w:rsid w:val="009F50D1"/>
    <w:rsid w:val="00A104AF"/>
    <w:rsid w:val="00A74055"/>
    <w:rsid w:val="00A9712D"/>
    <w:rsid w:val="00AA33EE"/>
    <w:rsid w:val="00AD20C0"/>
    <w:rsid w:val="00AF3297"/>
    <w:rsid w:val="00BB5836"/>
    <w:rsid w:val="00C851A6"/>
    <w:rsid w:val="00C95736"/>
    <w:rsid w:val="00CA1578"/>
    <w:rsid w:val="00CC061F"/>
    <w:rsid w:val="00CF7D0F"/>
    <w:rsid w:val="00D20A2C"/>
    <w:rsid w:val="00DB7534"/>
    <w:rsid w:val="00DB7A96"/>
    <w:rsid w:val="00E13A20"/>
    <w:rsid w:val="00E50210"/>
    <w:rsid w:val="00F11B3A"/>
    <w:rsid w:val="00FB7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AFD81"/>
  <w15:chartTrackingRefBased/>
  <w15:docId w15:val="{2F54FE45-3123-4CFA-BE13-1C57CACD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8F0"/>
    <w:pPr>
      <w:spacing w:after="0" w:line="259" w:lineRule="auto"/>
    </w:pPr>
    <w:rPr>
      <w:rFonts w:ascii="Arial" w:hAnsi="Arial" w:cs="Arial"/>
      <w:kern w:val="0"/>
      <w:sz w:val="22"/>
      <w:szCs w:val="22"/>
      <w14:ligatures w14:val="none"/>
    </w:rPr>
  </w:style>
  <w:style w:type="paragraph" w:styleId="Heading1">
    <w:name w:val="heading 1"/>
    <w:basedOn w:val="Normal"/>
    <w:next w:val="Normal"/>
    <w:link w:val="Heading1Char"/>
    <w:uiPriority w:val="9"/>
    <w:qFormat/>
    <w:rsid w:val="004918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8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8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8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8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8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8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8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8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8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8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8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8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8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8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8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8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8F0"/>
    <w:rPr>
      <w:rFonts w:eastAsiaTheme="majorEastAsia" w:cstheme="majorBidi"/>
      <w:color w:val="272727" w:themeColor="text1" w:themeTint="D8"/>
    </w:rPr>
  </w:style>
  <w:style w:type="paragraph" w:styleId="Title">
    <w:name w:val="Title"/>
    <w:basedOn w:val="Normal"/>
    <w:next w:val="Normal"/>
    <w:link w:val="TitleChar"/>
    <w:uiPriority w:val="10"/>
    <w:qFormat/>
    <w:rsid w:val="004918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8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8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8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8F0"/>
    <w:pPr>
      <w:spacing w:before="160"/>
      <w:jc w:val="center"/>
    </w:pPr>
    <w:rPr>
      <w:i/>
      <w:iCs/>
      <w:color w:val="404040" w:themeColor="text1" w:themeTint="BF"/>
    </w:rPr>
  </w:style>
  <w:style w:type="character" w:customStyle="1" w:styleId="QuoteChar">
    <w:name w:val="Quote Char"/>
    <w:basedOn w:val="DefaultParagraphFont"/>
    <w:link w:val="Quote"/>
    <w:uiPriority w:val="29"/>
    <w:rsid w:val="004918F0"/>
    <w:rPr>
      <w:i/>
      <w:iCs/>
      <w:color w:val="404040" w:themeColor="text1" w:themeTint="BF"/>
    </w:rPr>
  </w:style>
  <w:style w:type="paragraph" w:styleId="ListParagraph">
    <w:name w:val="List Paragraph"/>
    <w:aliases w:val="FooterText,List Paragraph1,numbered,Paragraphe de liste1,Bulletr List Paragraph,列出段落,列出段落1,List Paragraph2,List Paragraph21,Listeafsnit1,Parágrafo da Lista1,Párrafo de lista1,リスト段落1,List Paragraph11,Bullet list,Listenabsatz,??,參考書目"/>
    <w:basedOn w:val="Normal"/>
    <w:link w:val="ListParagraphChar"/>
    <w:uiPriority w:val="34"/>
    <w:qFormat/>
    <w:rsid w:val="004918F0"/>
    <w:pPr>
      <w:ind w:left="720"/>
      <w:contextualSpacing/>
    </w:pPr>
  </w:style>
  <w:style w:type="character" w:styleId="IntenseEmphasis">
    <w:name w:val="Intense Emphasis"/>
    <w:basedOn w:val="DefaultParagraphFont"/>
    <w:uiPriority w:val="21"/>
    <w:qFormat/>
    <w:rsid w:val="004918F0"/>
    <w:rPr>
      <w:i/>
      <w:iCs/>
      <w:color w:val="0F4761" w:themeColor="accent1" w:themeShade="BF"/>
    </w:rPr>
  </w:style>
  <w:style w:type="paragraph" w:styleId="IntenseQuote">
    <w:name w:val="Intense Quote"/>
    <w:basedOn w:val="Normal"/>
    <w:next w:val="Normal"/>
    <w:link w:val="IntenseQuoteChar"/>
    <w:uiPriority w:val="30"/>
    <w:qFormat/>
    <w:rsid w:val="00491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8F0"/>
    <w:rPr>
      <w:i/>
      <w:iCs/>
      <w:color w:val="0F4761" w:themeColor="accent1" w:themeShade="BF"/>
    </w:rPr>
  </w:style>
  <w:style w:type="character" w:styleId="IntenseReference">
    <w:name w:val="Intense Reference"/>
    <w:basedOn w:val="DefaultParagraphFont"/>
    <w:uiPriority w:val="32"/>
    <w:qFormat/>
    <w:rsid w:val="004918F0"/>
    <w:rPr>
      <w:b/>
      <w:bCs/>
      <w:smallCaps/>
      <w:color w:val="0F4761" w:themeColor="accent1" w:themeShade="BF"/>
      <w:spacing w:val="5"/>
    </w:rPr>
  </w:style>
  <w:style w:type="character" w:customStyle="1" w:styleId="ListParagraphChar">
    <w:name w:val="List Paragraph Char"/>
    <w:aliases w:val="FooterText Char,List Paragraph1 Char,numbered Char,Paragraphe de liste1 Char,Bulletr List Paragraph Char,列出段落 Char,列出段落1 Char,List Paragraph2 Char,List Paragraph21 Char,Listeafsnit1 Char,Parágrafo da Lista1 Char,リスト段落1 Char,?? Char"/>
    <w:basedOn w:val="DefaultParagraphFont"/>
    <w:link w:val="ListParagraph"/>
    <w:uiPriority w:val="34"/>
    <w:rsid w:val="004918F0"/>
  </w:style>
  <w:style w:type="paragraph" w:customStyle="1" w:styleId="ProtocolHeading1">
    <w:name w:val="Protocol Heading 1"/>
    <w:basedOn w:val="Heading1"/>
    <w:qFormat/>
    <w:rsid w:val="004918F0"/>
    <w:pPr>
      <w:numPr>
        <w:numId w:val="1"/>
      </w:numPr>
      <w:spacing w:before="0" w:after="0" w:line="240" w:lineRule="auto"/>
    </w:pPr>
    <w:rPr>
      <w:rFonts w:ascii="Arial" w:hAnsi="Arial"/>
      <w:b/>
      <w:color w:val="auto"/>
      <w:sz w:val="22"/>
      <w:szCs w:val="32"/>
    </w:rPr>
  </w:style>
  <w:style w:type="paragraph" w:customStyle="1" w:styleId="ProtocolHeading2">
    <w:name w:val="Protocol Heading 2"/>
    <w:basedOn w:val="Heading2"/>
    <w:link w:val="ProtocolHeading2Char"/>
    <w:autoRedefine/>
    <w:qFormat/>
    <w:rsid w:val="00575BCE"/>
    <w:pPr>
      <w:numPr>
        <w:ilvl w:val="1"/>
        <w:numId w:val="1"/>
      </w:numPr>
      <w:spacing w:before="0" w:after="0" w:line="240" w:lineRule="auto"/>
    </w:pPr>
    <w:rPr>
      <w:rFonts w:ascii="Arial" w:hAnsi="Arial"/>
      <w:b/>
      <w:color w:val="auto"/>
      <w:sz w:val="22"/>
      <w:szCs w:val="26"/>
    </w:rPr>
  </w:style>
  <w:style w:type="character" w:customStyle="1" w:styleId="ProtocolHeading2Char">
    <w:name w:val="Protocol Heading 2 Char"/>
    <w:basedOn w:val="ListParagraphChar"/>
    <w:link w:val="ProtocolHeading2"/>
    <w:rsid w:val="00575BCE"/>
    <w:rPr>
      <w:rFonts w:ascii="Arial" w:eastAsiaTheme="majorEastAsia" w:hAnsi="Arial" w:cstheme="majorBidi"/>
      <w:b/>
      <w:kern w:val="0"/>
      <w:sz w:val="22"/>
      <w:szCs w:val="26"/>
      <w14:ligatures w14:val="none"/>
    </w:rPr>
  </w:style>
  <w:style w:type="paragraph" w:customStyle="1" w:styleId="ProtocolHeading3">
    <w:name w:val="Protocol Heading 3"/>
    <w:basedOn w:val="Heading3"/>
    <w:qFormat/>
    <w:rsid w:val="004918F0"/>
    <w:pPr>
      <w:numPr>
        <w:ilvl w:val="2"/>
        <w:numId w:val="1"/>
      </w:numPr>
      <w:spacing w:before="0" w:after="0" w:line="240" w:lineRule="auto"/>
    </w:pPr>
    <w:rPr>
      <w:b/>
      <w:color w:val="auto"/>
      <w:sz w:val="22"/>
      <w:szCs w:val="24"/>
    </w:rPr>
  </w:style>
  <w:style w:type="paragraph" w:customStyle="1" w:styleId="DocumentText">
    <w:name w:val="Document Text"/>
    <w:basedOn w:val="Normal"/>
    <w:link w:val="DocumentTextChar"/>
    <w:rsid w:val="00FB7E13"/>
    <w:pPr>
      <w:spacing w:after="240" w:line="300" w:lineRule="auto"/>
    </w:pPr>
    <w:rPr>
      <w:rFonts w:ascii="Times New Roman" w:eastAsia="Times New Roman" w:hAnsi="Times New Roman" w:cs="Times New Roman"/>
      <w:kern w:val="24"/>
      <w:sz w:val="24"/>
      <w:szCs w:val="24"/>
    </w:rPr>
  </w:style>
  <w:style w:type="character" w:customStyle="1" w:styleId="DocumentTextChar">
    <w:name w:val="Document Text Char"/>
    <w:basedOn w:val="DefaultParagraphFont"/>
    <w:link w:val="DocumentText"/>
    <w:rsid w:val="00FB7E13"/>
    <w:rPr>
      <w:rFonts w:ascii="Times New Roman" w:eastAsia="Times New Roman" w:hAnsi="Times New Roman" w:cs="Times New Roman"/>
      <w:kern w:val="24"/>
      <w14:ligatures w14:val="none"/>
    </w:rPr>
  </w:style>
  <w:style w:type="character" w:styleId="CommentReference">
    <w:name w:val="annotation reference"/>
    <w:basedOn w:val="DefaultParagraphFont"/>
    <w:uiPriority w:val="99"/>
    <w:semiHidden/>
    <w:unhideWhenUsed/>
    <w:rsid w:val="00FB7E13"/>
    <w:rPr>
      <w:sz w:val="16"/>
      <w:szCs w:val="16"/>
    </w:rPr>
  </w:style>
  <w:style w:type="paragraph" w:styleId="CommentText">
    <w:name w:val="annotation text"/>
    <w:basedOn w:val="Normal"/>
    <w:link w:val="CommentTextChar"/>
    <w:uiPriority w:val="99"/>
    <w:unhideWhenUsed/>
    <w:rsid w:val="00FB7E13"/>
    <w:pPr>
      <w:spacing w:line="240" w:lineRule="auto"/>
    </w:pPr>
    <w:rPr>
      <w:sz w:val="20"/>
      <w:szCs w:val="20"/>
    </w:rPr>
  </w:style>
  <w:style w:type="character" w:customStyle="1" w:styleId="CommentTextChar">
    <w:name w:val="Comment Text Char"/>
    <w:basedOn w:val="DefaultParagraphFont"/>
    <w:link w:val="CommentText"/>
    <w:uiPriority w:val="99"/>
    <w:rsid w:val="00FB7E13"/>
    <w:rPr>
      <w:rFonts w:ascii="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B7E13"/>
    <w:rPr>
      <w:b/>
      <w:bCs/>
    </w:rPr>
  </w:style>
  <w:style w:type="character" w:customStyle="1" w:styleId="CommentSubjectChar">
    <w:name w:val="Comment Subject Char"/>
    <w:basedOn w:val="CommentTextChar"/>
    <w:link w:val="CommentSubject"/>
    <w:uiPriority w:val="99"/>
    <w:semiHidden/>
    <w:rsid w:val="00FB7E13"/>
    <w:rPr>
      <w:rFonts w:ascii="Arial" w:hAnsi="Arial" w:cs="Arial"/>
      <w:b/>
      <w:bCs/>
      <w:kern w:val="0"/>
      <w:sz w:val="20"/>
      <w:szCs w:val="20"/>
      <w14:ligatures w14:val="none"/>
    </w:rPr>
  </w:style>
  <w:style w:type="paragraph" w:customStyle="1" w:styleId="TableParagraph">
    <w:name w:val="Table Paragraph"/>
    <w:basedOn w:val="Normal"/>
    <w:uiPriority w:val="1"/>
    <w:qFormat/>
    <w:rsid w:val="00575BCE"/>
    <w:pPr>
      <w:widowControl w:val="0"/>
      <w:spacing w:line="240" w:lineRule="auto"/>
    </w:pPr>
    <w:rPr>
      <w:rFonts w:asciiTheme="minorHAnsi" w:hAnsiTheme="minorHAnsi" w:cstheme="minorBidi"/>
    </w:rPr>
  </w:style>
  <w:style w:type="paragraph" w:customStyle="1" w:styleId="Pa10">
    <w:name w:val="Pa10"/>
    <w:basedOn w:val="Normal"/>
    <w:next w:val="Normal"/>
    <w:uiPriority w:val="99"/>
    <w:rsid w:val="002B1C8C"/>
    <w:pPr>
      <w:autoSpaceDE w:val="0"/>
      <w:autoSpaceDN w:val="0"/>
      <w:adjustRightInd w:val="0"/>
      <w:spacing w:line="181" w:lineRule="atLeast"/>
    </w:pPr>
    <w:rPr>
      <w:rFonts w:ascii="Roboto" w:hAnsi="Roboto" w:cstheme="minorBidi"/>
      <w:sz w:val="24"/>
      <w:szCs w:val="24"/>
      <w14:ligatures w14:val="standardContextual"/>
    </w:rPr>
  </w:style>
  <w:style w:type="paragraph" w:customStyle="1" w:styleId="Pa11">
    <w:name w:val="Pa11"/>
    <w:basedOn w:val="Normal"/>
    <w:next w:val="Normal"/>
    <w:uiPriority w:val="99"/>
    <w:rsid w:val="002B1C8C"/>
    <w:pPr>
      <w:autoSpaceDE w:val="0"/>
      <w:autoSpaceDN w:val="0"/>
      <w:adjustRightInd w:val="0"/>
      <w:spacing w:line="181" w:lineRule="atLeast"/>
    </w:pPr>
    <w:rPr>
      <w:rFonts w:ascii="Roboto" w:hAnsi="Roboto" w:cstheme="minorBidi"/>
      <w:sz w:val="24"/>
      <w:szCs w:val="24"/>
      <w14:ligatures w14:val="standardContextual"/>
    </w:rPr>
  </w:style>
  <w:style w:type="paragraph" w:styleId="Revision">
    <w:name w:val="Revision"/>
    <w:hidden/>
    <w:uiPriority w:val="99"/>
    <w:semiHidden/>
    <w:rsid w:val="00456D94"/>
    <w:pPr>
      <w:spacing w:after="0" w:line="240" w:lineRule="auto"/>
    </w:pPr>
    <w:rPr>
      <w:rFonts w:ascii="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67912A55B5F43ABA7E1F35F50C867" ma:contentTypeVersion="3" ma:contentTypeDescription="Create a new document." ma:contentTypeScope="" ma:versionID="770bf14dd262201d7e4a455513a5a8f6">
  <xsd:schema xmlns:xsd="http://www.w3.org/2001/XMLSchema" xmlns:xs="http://www.w3.org/2001/XMLSchema" xmlns:p="http://schemas.microsoft.com/office/2006/metadata/properties" xmlns:ns2="3908b620-3fa2-4e61-9b92-29572e8bdd26" xmlns:ns3="35573a29-debf-45d2-af12-322dc16d5bf9" targetNamespace="http://schemas.microsoft.com/office/2006/metadata/properties" ma:root="true" ma:fieldsID="8c7e21a6ba1395b1bad2763889fd5013" ns2:_="" ns3:_="">
    <xsd:import namespace="3908b620-3fa2-4e61-9b92-29572e8bdd26"/>
    <xsd:import namespace="35573a29-debf-45d2-af12-322dc16d5bf9"/>
    <xsd:element name="properties">
      <xsd:complexType>
        <xsd:sequence>
          <xsd:element name="documentManagement">
            <xsd:complexType>
              <xsd:all>
                <xsd:element ref="ns2:Classification" minOccurs="0"/>
                <xsd:element ref="ns2:Integrity" minOccurs="0"/>
                <xsd:element ref="ns2:Purpose1"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8b620-3fa2-4e61-9b92-29572e8bdd26" elementFormDefault="qualified">
    <xsd:import namespace="http://schemas.microsoft.com/office/2006/documentManagement/types"/>
    <xsd:import namespace="http://schemas.microsoft.com/office/infopath/2007/PartnerControls"/>
    <xsd:element name="Classification" ma:index="8" nillable="true" ma:displayName="Classification" ma:default="Internal" ma:description="What is the data classification for this content? This classification is used for data retention, user access and in incident response. Refer to the information classification policy for descriptions of each level." ma:format="Dropdown" ma:internalName="Classification">
      <xsd:simpleType>
        <xsd:restriction base="dms:Choice">
          <xsd:enumeration value="Highly Confidential"/>
          <xsd:enumeration value="Confidential"/>
          <xsd:enumeration value="Internal"/>
          <xsd:enumeration value="Public"/>
        </xsd:restriction>
      </xsd:simpleType>
    </xsd:element>
    <xsd:element name="Integrity" ma:index="9" nillable="true" ma:displayName="Integrity" ma:default="Low" ma:description="Integrity's role is to guard against improper information modification or destruction. See the information classification policy for definitions of each level." ma:format="Dropdown" ma:internalName="Integrity">
      <xsd:simpleType>
        <xsd:restriction base="dms:Choice">
          <xsd:enumeration value="High"/>
          <xsd:enumeration value="Moderate"/>
          <xsd:enumeration value="Low"/>
        </xsd:restriction>
      </xsd:simpleType>
    </xsd:element>
    <xsd:element name="Purpose1" ma:index="10" nillable="true" ma:displayName="Purpose" ma:default="Template" ma:description="What is the purpose of this document?" ma:format="Dropdown" ma:internalName="Purpose1">
      <xsd:simpleType>
        <xsd:restriction base="dms:Choice">
          <xsd:enumeration value="Policy"/>
          <xsd:enumeration value="Process"/>
          <xsd:enumeration value="Standard"/>
          <xsd:enumeration value="Template"/>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35573a29-debf-45d2-af12-322dc16d5b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tegrity xmlns="3908b620-3fa2-4e61-9b92-29572e8bdd26">Low</Integrity>
    <Classification xmlns="3908b620-3fa2-4e61-9b92-29572e8bdd26">Internal</Classification>
    <Purpose1 xmlns="3908b620-3fa2-4e61-9b92-29572e8bdd26">Template</Purpose1>
  </documentManagement>
</p:properties>
</file>

<file path=customXml/itemProps1.xml><?xml version="1.0" encoding="utf-8"?>
<ds:datastoreItem xmlns:ds="http://schemas.openxmlformats.org/officeDocument/2006/customXml" ds:itemID="{E20A0634-B5A4-4265-9830-396030C69C9A}"/>
</file>

<file path=customXml/itemProps2.xml><?xml version="1.0" encoding="utf-8"?>
<ds:datastoreItem xmlns:ds="http://schemas.openxmlformats.org/officeDocument/2006/customXml" ds:itemID="{F8BBE74B-624D-40DC-A258-541965E0E39C}">
  <ds:schemaRefs>
    <ds:schemaRef ds:uri="http://schemas.microsoft.com/sharepoint/v3/contenttype/forms"/>
  </ds:schemaRefs>
</ds:datastoreItem>
</file>

<file path=customXml/itemProps3.xml><?xml version="1.0" encoding="utf-8"?>
<ds:datastoreItem xmlns:ds="http://schemas.openxmlformats.org/officeDocument/2006/customXml" ds:itemID="{6FE51F43-86AF-4516-9CAB-5BDF71A5FC8E}">
  <ds:schemaRefs>
    <ds:schemaRef ds:uri="http://schemas.microsoft.com/office/2006/metadata/properties"/>
    <ds:schemaRef ds:uri="http://schemas.microsoft.com/office/infopath/2007/PartnerControls"/>
    <ds:schemaRef ds:uri="3908b620-3fa2-4e61-9b92-29572e8bdd2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3360</Words>
  <Characters>19156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McWade</dc:creator>
  <cp:keywords/>
  <dc:description/>
  <cp:lastModifiedBy>Michael Darrow</cp:lastModifiedBy>
  <cp:revision>10</cp:revision>
  <dcterms:created xsi:type="dcterms:W3CDTF">2024-06-18T16:36:00Z</dcterms:created>
  <dcterms:modified xsi:type="dcterms:W3CDTF">2026-03-11T16:19:00Z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0x0101006CD67912A55B5F43ABA7E1F35F50C867</vt:lpwstr>
  </property>
  <property fmtid="{D5CDD505-2E9C-101B-9397-08002B2CF9AE}" pid="3" name="GrammarlyDocumentId">
    <vt:lpwstr>fe201bce-f923-4988-936e-f3a33d2a5b9e</vt:lpwstr>
  </property>
</Properties>
</file>