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6AB5" w14:textId="77777777" w:rsidR="00F8113B" w:rsidRDefault="00000000">
      <w:pPr>
        <w:ind w:right="176"/>
        <w:jc w:val="center"/>
        <w:rPr>
          <w:b/>
        </w:rPr>
      </w:pPr>
      <w:r>
        <w:rPr>
          <w:b/>
          <w:u w:val="single"/>
        </w:rPr>
        <w:t>TERM SHEET</w:t>
      </w:r>
    </w:p>
    <w:p w14:paraId="49656736" w14:textId="77777777" w:rsidR="00F8113B" w:rsidRDefault="00F8113B">
      <w:pPr>
        <w:pBdr>
          <w:top w:val="nil"/>
          <w:left w:val="nil"/>
          <w:bottom w:val="nil"/>
          <w:right w:val="nil"/>
          <w:between w:val="nil"/>
        </w:pBdr>
        <w:ind w:right="176"/>
        <w:jc w:val="both"/>
        <w:rPr>
          <w:b/>
          <w:color w:val="000000"/>
          <w:sz w:val="13"/>
          <w:szCs w:val="13"/>
        </w:rPr>
      </w:pPr>
    </w:p>
    <w:p w14:paraId="52356B11" w14:textId="77777777" w:rsidR="00F8113B" w:rsidRDefault="00000000">
      <w:pPr>
        <w:pBdr>
          <w:top w:val="nil"/>
          <w:left w:val="nil"/>
          <w:bottom w:val="nil"/>
          <w:right w:val="nil"/>
          <w:between w:val="nil"/>
        </w:pBdr>
        <w:ind w:left="187" w:right="176"/>
        <w:jc w:val="both"/>
        <w:rPr>
          <w:color w:val="000000"/>
        </w:rPr>
      </w:pPr>
      <w:r>
        <w:rPr>
          <w:color w:val="000000"/>
        </w:rPr>
        <w:t>This non-binding term sheet (the “</w:t>
      </w:r>
      <w:r>
        <w:rPr>
          <w:b/>
          <w:color w:val="000000"/>
        </w:rPr>
        <w:t>Term Sheet</w:t>
      </w:r>
      <w:r>
        <w:rPr>
          <w:color w:val="000000"/>
        </w:rPr>
        <w:t>”) executed on [•] summarizes the principal terms and conditions for the proposed investment (“</w:t>
      </w:r>
      <w:r>
        <w:rPr>
          <w:b/>
          <w:color w:val="000000"/>
        </w:rPr>
        <w:t>Proposed Transaction</w:t>
      </w:r>
      <w:r>
        <w:rPr>
          <w:color w:val="000000"/>
        </w:rPr>
        <w:t>”) in [•], a company incorporated in India and having its registered office at [•] (“</w:t>
      </w:r>
      <w:r>
        <w:rPr>
          <w:b/>
          <w:color w:val="000000"/>
        </w:rPr>
        <w:t>Company</w:t>
      </w:r>
      <w:r>
        <w:rPr>
          <w:color w:val="000000"/>
        </w:rPr>
        <w:t>”) as detailed further. This Term Sheet has been entered to facilitate negotiations for the Proposed Transaction and is an expression of intention only and does not constitute an offer, agreement, agreement in principle, agreement to agree or commitment to provide financing. Nothing contained herein shall constitute an offer to buy or sell the securities described in this document.</w:t>
      </w:r>
    </w:p>
    <w:p w14:paraId="66594CF5" w14:textId="77777777" w:rsidR="00F8113B" w:rsidRDefault="00F8113B"/>
    <w:tbl>
      <w:tblPr>
        <w:tblStyle w:val="a"/>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6"/>
        <w:gridCol w:w="6401"/>
      </w:tblGrid>
      <w:tr w:rsidR="00F8113B" w14:paraId="5503896C" w14:textId="77777777">
        <w:tc>
          <w:tcPr>
            <w:tcW w:w="8647" w:type="dxa"/>
            <w:gridSpan w:val="2"/>
            <w:shd w:val="clear" w:color="auto" w:fill="BFBFBF"/>
          </w:tcPr>
          <w:p w14:paraId="0AEA2E6C" w14:textId="77777777" w:rsidR="00F8113B" w:rsidRDefault="00000000">
            <w:pPr>
              <w:spacing w:line="276" w:lineRule="auto"/>
              <w:jc w:val="center"/>
              <w:rPr>
                <w:b/>
              </w:rPr>
            </w:pPr>
            <w:r>
              <w:rPr>
                <w:b/>
              </w:rPr>
              <w:t>Transaction Details</w:t>
            </w:r>
          </w:p>
        </w:tc>
      </w:tr>
      <w:tr w:rsidR="00F8113B" w14:paraId="13BF7DCB" w14:textId="77777777">
        <w:tc>
          <w:tcPr>
            <w:tcW w:w="2246" w:type="dxa"/>
          </w:tcPr>
          <w:p w14:paraId="03BBEA2D" w14:textId="77777777" w:rsidR="00F8113B" w:rsidRDefault="00000000">
            <w:pPr>
              <w:numPr>
                <w:ilvl w:val="0"/>
                <w:numId w:val="1"/>
              </w:numPr>
              <w:pBdr>
                <w:top w:val="nil"/>
                <w:left w:val="nil"/>
                <w:bottom w:val="nil"/>
                <w:right w:val="nil"/>
                <w:between w:val="nil"/>
              </w:pBdr>
              <w:tabs>
                <w:tab w:val="left" w:pos="2694"/>
              </w:tabs>
              <w:spacing w:line="276" w:lineRule="auto"/>
              <w:ind w:left="600" w:right="176" w:hanging="567"/>
              <w:jc w:val="both"/>
              <w:rPr>
                <w:b/>
                <w:color w:val="000000"/>
              </w:rPr>
            </w:pPr>
            <w:r>
              <w:rPr>
                <w:b/>
                <w:color w:val="000000"/>
              </w:rPr>
              <w:t>Business</w:t>
            </w:r>
          </w:p>
        </w:tc>
        <w:tc>
          <w:tcPr>
            <w:tcW w:w="6401" w:type="dxa"/>
          </w:tcPr>
          <w:p w14:paraId="1AFD547D" w14:textId="77777777" w:rsidR="00F8113B" w:rsidRDefault="00000000">
            <w:pPr>
              <w:spacing w:line="276" w:lineRule="auto"/>
              <w:jc w:val="both"/>
            </w:pPr>
            <w:r>
              <w:t xml:space="preserve">The company is engaged in </w:t>
            </w:r>
            <w:r w:rsidR="0034165F">
              <w:t xml:space="preserve">the business of </w:t>
            </w:r>
            <w:r>
              <w:t>[•].</w:t>
            </w:r>
          </w:p>
          <w:p w14:paraId="5B137013" w14:textId="711ECEF1" w:rsidR="00C14ABE" w:rsidRDefault="00C14ABE">
            <w:pPr>
              <w:spacing w:line="276" w:lineRule="auto"/>
              <w:jc w:val="both"/>
            </w:pPr>
          </w:p>
        </w:tc>
      </w:tr>
      <w:tr w:rsidR="00F8113B" w14:paraId="2F45B283" w14:textId="77777777">
        <w:tc>
          <w:tcPr>
            <w:tcW w:w="2246" w:type="dxa"/>
          </w:tcPr>
          <w:p w14:paraId="34499602" w14:textId="77777777" w:rsidR="00F8113B" w:rsidRDefault="00000000">
            <w:pPr>
              <w:numPr>
                <w:ilvl w:val="0"/>
                <w:numId w:val="1"/>
              </w:numPr>
              <w:pBdr>
                <w:top w:val="nil"/>
                <w:left w:val="nil"/>
                <w:bottom w:val="nil"/>
                <w:right w:val="nil"/>
                <w:between w:val="nil"/>
              </w:pBdr>
              <w:spacing w:line="276" w:lineRule="auto"/>
              <w:ind w:left="600" w:hanging="545"/>
              <w:rPr>
                <w:b/>
                <w:color w:val="000000"/>
              </w:rPr>
            </w:pPr>
            <w:r>
              <w:rPr>
                <w:b/>
                <w:color w:val="000000"/>
              </w:rPr>
              <w:t>Founders</w:t>
            </w:r>
          </w:p>
        </w:tc>
        <w:tc>
          <w:tcPr>
            <w:tcW w:w="6401" w:type="dxa"/>
          </w:tcPr>
          <w:p w14:paraId="060CAC96" w14:textId="77777777" w:rsidR="00F8113B" w:rsidRDefault="00000000">
            <w:pPr>
              <w:spacing w:line="276" w:lineRule="auto"/>
            </w:pPr>
            <w:r>
              <w:t>[•]</w:t>
            </w:r>
          </w:p>
        </w:tc>
      </w:tr>
      <w:tr w:rsidR="00F8113B" w14:paraId="2E36C23C" w14:textId="77777777">
        <w:tc>
          <w:tcPr>
            <w:tcW w:w="2246" w:type="dxa"/>
          </w:tcPr>
          <w:p w14:paraId="1FDE1206" w14:textId="77777777" w:rsidR="00F8113B" w:rsidRDefault="00000000">
            <w:pPr>
              <w:numPr>
                <w:ilvl w:val="0"/>
                <w:numId w:val="1"/>
              </w:numPr>
              <w:pBdr>
                <w:top w:val="nil"/>
                <w:left w:val="nil"/>
                <w:bottom w:val="nil"/>
                <w:right w:val="nil"/>
                <w:between w:val="nil"/>
              </w:pBdr>
              <w:spacing w:line="276" w:lineRule="auto"/>
              <w:ind w:left="600" w:hanging="545"/>
              <w:rPr>
                <w:b/>
                <w:color w:val="000000"/>
              </w:rPr>
            </w:pPr>
            <w:r>
              <w:rPr>
                <w:b/>
                <w:color w:val="000000"/>
              </w:rPr>
              <w:t>Investors</w:t>
            </w:r>
          </w:p>
        </w:tc>
        <w:tc>
          <w:tcPr>
            <w:tcW w:w="6401" w:type="dxa"/>
          </w:tcPr>
          <w:p w14:paraId="25664021" w14:textId="77777777" w:rsidR="00F8113B" w:rsidRDefault="00000000">
            <w:pPr>
              <w:spacing w:line="276" w:lineRule="auto"/>
              <w:jc w:val="both"/>
            </w:pPr>
            <w:r>
              <w:t>pi Ventures Fund II and/or its affiliates (“</w:t>
            </w:r>
            <w:r>
              <w:rPr>
                <w:b/>
              </w:rPr>
              <w:t>pi</w:t>
            </w:r>
            <w:r>
              <w:t>” / “</w:t>
            </w:r>
            <w:r>
              <w:rPr>
                <w:b/>
              </w:rPr>
              <w:t>Lead Investor(s)</w:t>
            </w:r>
            <w:r>
              <w:t>”) and other investors identified by the Company (“</w:t>
            </w:r>
            <w:r>
              <w:rPr>
                <w:b/>
              </w:rPr>
              <w:t>Other Investors</w:t>
            </w:r>
            <w:r>
              <w:t xml:space="preserve">”). </w:t>
            </w:r>
          </w:p>
          <w:p w14:paraId="5EB7048F" w14:textId="77777777" w:rsidR="00F8113B" w:rsidRDefault="00F8113B">
            <w:pPr>
              <w:spacing w:line="276" w:lineRule="auto"/>
              <w:jc w:val="both"/>
            </w:pPr>
          </w:p>
        </w:tc>
      </w:tr>
      <w:tr w:rsidR="00F8113B" w14:paraId="20CFB313" w14:textId="77777777">
        <w:tc>
          <w:tcPr>
            <w:tcW w:w="8647" w:type="dxa"/>
            <w:gridSpan w:val="2"/>
            <w:shd w:val="clear" w:color="auto" w:fill="BFBFBF"/>
          </w:tcPr>
          <w:p w14:paraId="05C63AF0" w14:textId="77777777" w:rsidR="00F8113B" w:rsidRDefault="00000000">
            <w:pPr>
              <w:spacing w:line="276" w:lineRule="auto"/>
              <w:jc w:val="center"/>
              <w:rPr>
                <w:b/>
              </w:rPr>
            </w:pPr>
            <w:r>
              <w:rPr>
                <w:b/>
              </w:rPr>
              <w:t>Terms of Investor Securities</w:t>
            </w:r>
          </w:p>
        </w:tc>
      </w:tr>
      <w:tr w:rsidR="00F8113B" w14:paraId="08AA0C42" w14:textId="77777777">
        <w:tc>
          <w:tcPr>
            <w:tcW w:w="2246" w:type="dxa"/>
          </w:tcPr>
          <w:p w14:paraId="5B15A7FB" w14:textId="77777777" w:rsidR="00F8113B" w:rsidRDefault="00000000">
            <w:pPr>
              <w:numPr>
                <w:ilvl w:val="0"/>
                <w:numId w:val="1"/>
              </w:numPr>
              <w:pBdr>
                <w:top w:val="nil"/>
                <w:left w:val="nil"/>
                <w:bottom w:val="nil"/>
                <w:right w:val="nil"/>
                <w:between w:val="nil"/>
              </w:pBdr>
              <w:spacing w:line="276" w:lineRule="auto"/>
              <w:ind w:left="600" w:hanging="545"/>
              <w:rPr>
                <w:b/>
                <w:color w:val="000000"/>
              </w:rPr>
            </w:pPr>
            <w:r>
              <w:rPr>
                <w:b/>
                <w:color w:val="000000"/>
              </w:rPr>
              <w:t>Current Capital Structure</w:t>
            </w:r>
          </w:p>
        </w:tc>
        <w:tc>
          <w:tcPr>
            <w:tcW w:w="6401" w:type="dxa"/>
          </w:tcPr>
          <w:p w14:paraId="68DA3E58" w14:textId="77777777" w:rsidR="00F8113B" w:rsidRDefault="00000000">
            <w:pPr>
              <w:spacing w:line="276" w:lineRule="auto"/>
              <w:jc w:val="both"/>
            </w:pPr>
            <w:r>
              <w:t xml:space="preserve">The current paid up and issued share capital of the Company is set forth in </w:t>
            </w:r>
            <w:r>
              <w:rPr>
                <w:b/>
                <w:u w:val="single"/>
              </w:rPr>
              <w:t>Schedule 1A</w:t>
            </w:r>
            <w:r>
              <w:rPr>
                <w:b/>
              </w:rPr>
              <w:t xml:space="preserve"> </w:t>
            </w:r>
            <w:r>
              <w:t xml:space="preserve">hereto. Indicative shareholding pattern of the Company post-closing is provided in </w:t>
            </w:r>
            <w:r>
              <w:rPr>
                <w:b/>
              </w:rPr>
              <w:t>Schedule 1B</w:t>
            </w:r>
            <w:r>
              <w:t xml:space="preserve"> and the exact one shall be as set out under the Definitive Agreements.</w:t>
            </w:r>
          </w:p>
          <w:p w14:paraId="1796A0F8" w14:textId="77777777" w:rsidR="00F8113B" w:rsidRDefault="00F8113B">
            <w:pPr>
              <w:spacing w:line="276" w:lineRule="auto"/>
            </w:pPr>
          </w:p>
        </w:tc>
      </w:tr>
      <w:tr w:rsidR="00F8113B" w14:paraId="5689D516" w14:textId="77777777">
        <w:tc>
          <w:tcPr>
            <w:tcW w:w="2246" w:type="dxa"/>
          </w:tcPr>
          <w:p w14:paraId="7EA5025C" w14:textId="77777777" w:rsidR="00F8113B" w:rsidRDefault="00000000">
            <w:pPr>
              <w:numPr>
                <w:ilvl w:val="0"/>
                <w:numId w:val="1"/>
              </w:numPr>
              <w:pBdr>
                <w:top w:val="nil"/>
                <w:left w:val="nil"/>
                <w:bottom w:val="nil"/>
                <w:right w:val="nil"/>
                <w:between w:val="nil"/>
              </w:pBdr>
              <w:spacing w:line="276" w:lineRule="auto"/>
              <w:ind w:left="600" w:hanging="545"/>
              <w:rPr>
                <w:b/>
                <w:color w:val="000000"/>
              </w:rPr>
            </w:pPr>
            <w:r>
              <w:rPr>
                <w:b/>
                <w:color w:val="000000"/>
              </w:rPr>
              <w:t>Valuation</w:t>
            </w:r>
          </w:p>
        </w:tc>
        <w:tc>
          <w:tcPr>
            <w:tcW w:w="6401" w:type="dxa"/>
          </w:tcPr>
          <w:p w14:paraId="1B588114" w14:textId="77777777" w:rsidR="00F8113B" w:rsidRDefault="00000000">
            <w:pPr>
              <w:spacing w:line="276" w:lineRule="auto"/>
              <w:jc w:val="both"/>
            </w:pPr>
            <w:r>
              <w:t xml:space="preserve">The post-money valuation of the Company is INR </w:t>
            </w:r>
            <w:r w:rsidR="006168DD">
              <w:t>[•]</w:t>
            </w:r>
            <w:r>
              <w:t>.</w:t>
            </w:r>
          </w:p>
          <w:p w14:paraId="2D5CA745" w14:textId="77777777" w:rsidR="00F8113B" w:rsidRDefault="00F8113B">
            <w:pPr>
              <w:spacing w:line="276" w:lineRule="auto"/>
              <w:jc w:val="both"/>
            </w:pPr>
          </w:p>
        </w:tc>
      </w:tr>
      <w:tr w:rsidR="00F8113B" w14:paraId="142EAC24" w14:textId="77777777">
        <w:tc>
          <w:tcPr>
            <w:tcW w:w="2246" w:type="dxa"/>
          </w:tcPr>
          <w:p w14:paraId="00C090BA" w14:textId="77777777" w:rsidR="00F8113B" w:rsidRDefault="00000000">
            <w:pPr>
              <w:numPr>
                <w:ilvl w:val="0"/>
                <w:numId w:val="1"/>
              </w:numPr>
              <w:pBdr>
                <w:top w:val="nil"/>
                <w:left w:val="nil"/>
                <w:bottom w:val="nil"/>
                <w:right w:val="nil"/>
                <w:between w:val="nil"/>
              </w:pBdr>
              <w:spacing w:line="276" w:lineRule="auto"/>
              <w:ind w:left="600" w:hanging="545"/>
              <w:rPr>
                <w:b/>
                <w:color w:val="000000"/>
              </w:rPr>
            </w:pPr>
            <w:r>
              <w:rPr>
                <w:b/>
                <w:color w:val="000000"/>
              </w:rPr>
              <w:t>Investment Amount</w:t>
            </w:r>
          </w:p>
        </w:tc>
        <w:tc>
          <w:tcPr>
            <w:tcW w:w="6401" w:type="dxa"/>
          </w:tcPr>
          <w:p w14:paraId="767CD9FA" w14:textId="77777777" w:rsidR="00F8113B" w:rsidRDefault="00000000">
            <w:pPr>
              <w:spacing w:line="276" w:lineRule="auto"/>
              <w:jc w:val="both"/>
            </w:pPr>
            <w:r>
              <w:t xml:space="preserve">Lead Investor to invest INR </w:t>
            </w:r>
            <w:r w:rsidR="006168DD">
              <w:t>[•]</w:t>
            </w:r>
            <w:r>
              <w:t xml:space="preserve"> as primary investment into the company (“</w:t>
            </w:r>
            <w:r>
              <w:rPr>
                <w:b/>
              </w:rPr>
              <w:t>Investment Amount</w:t>
            </w:r>
            <w:r>
              <w:t xml:space="preserve">”). The total primary investment in this round will be INR </w:t>
            </w:r>
            <w:r w:rsidR="006168DD">
              <w:t>[•]</w:t>
            </w:r>
            <w:r w:rsidR="009B6A42">
              <w:t xml:space="preserve"> </w:t>
            </w:r>
            <w:r>
              <w:t xml:space="preserve">including INR </w:t>
            </w:r>
            <w:r w:rsidR="006168DD">
              <w:t>[•]</w:t>
            </w:r>
            <w:r w:rsidR="009B6A42">
              <w:t xml:space="preserve"> </w:t>
            </w:r>
            <w:r>
              <w:t>from Other Investors.</w:t>
            </w:r>
          </w:p>
          <w:p w14:paraId="2EC344AF" w14:textId="77777777" w:rsidR="00F8113B" w:rsidRDefault="00F8113B">
            <w:pPr>
              <w:spacing w:line="276" w:lineRule="auto"/>
              <w:jc w:val="both"/>
            </w:pPr>
          </w:p>
        </w:tc>
      </w:tr>
      <w:tr w:rsidR="00F8113B" w14:paraId="36FB6960" w14:textId="77777777">
        <w:tc>
          <w:tcPr>
            <w:tcW w:w="2246" w:type="dxa"/>
          </w:tcPr>
          <w:p w14:paraId="5D8EAE41"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Investment Instruments and Price</w:t>
            </w:r>
          </w:p>
        </w:tc>
        <w:tc>
          <w:tcPr>
            <w:tcW w:w="6401" w:type="dxa"/>
          </w:tcPr>
          <w:p w14:paraId="45BFD0E6" w14:textId="77777777" w:rsidR="00F8113B" w:rsidRDefault="00000000">
            <w:pPr>
              <w:pBdr>
                <w:top w:val="nil"/>
                <w:left w:val="nil"/>
                <w:bottom w:val="nil"/>
                <w:right w:val="nil"/>
                <w:between w:val="nil"/>
              </w:pBdr>
              <w:jc w:val="both"/>
              <w:rPr>
                <w:color w:val="000000"/>
              </w:rPr>
            </w:pPr>
            <w:r>
              <w:rPr>
                <w:color w:val="000000"/>
              </w:rPr>
              <w:t>The investment will be made through subscription to equity shares and/or series seed compulsorily convertible preference shares (“</w:t>
            </w:r>
            <w:r>
              <w:rPr>
                <w:b/>
                <w:color w:val="000000"/>
              </w:rPr>
              <w:t>Series Seed Preference Shares</w:t>
            </w:r>
            <w:r>
              <w:rPr>
                <w:color w:val="000000"/>
              </w:rPr>
              <w:t>”).</w:t>
            </w:r>
          </w:p>
          <w:p w14:paraId="6ABDE6DC" w14:textId="77777777" w:rsidR="00F8113B" w:rsidRDefault="00F8113B">
            <w:pPr>
              <w:pBdr>
                <w:top w:val="nil"/>
                <w:left w:val="nil"/>
                <w:bottom w:val="nil"/>
                <w:right w:val="nil"/>
                <w:between w:val="nil"/>
              </w:pBdr>
              <w:jc w:val="both"/>
              <w:rPr>
                <w:color w:val="000000"/>
              </w:rPr>
            </w:pPr>
          </w:p>
          <w:p w14:paraId="124E87ED" w14:textId="77777777" w:rsidR="00F8113B" w:rsidRDefault="00000000">
            <w:pPr>
              <w:pBdr>
                <w:top w:val="nil"/>
                <w:left w:val="nil"/>
                <w:bottom w:val="nil"/>
                <w:right w:val="nil"/>
                <w:between w:val="nil"/>
              </w:pBdr>
              <w:jc w:val="both"/>
              <w:rPr>
                <w:color w:val="000000"/>
              </w:rPr>
            </w:pPr>
            <w:r>
              <w:rPr>
                <w:color w:val="000000"/>
              </w:rPr>
              <w:t>The Series Seed Preference Shares, the equity shares and any other shares subscribed to by the Investors from time to time, shall hereinafter be referred to as the “</w:t>
            </w:r>
            <w:r>
              <w:rPr>
                <w:b/>
                <w:color w:val="000000"/>
              </w:rPr>
              <w:t>Investor Securities</w:t>
            </w:r>
            <w:r>
              <w:rPr>
                <w:color w:val="000000"/>
              </w:rPr>
              <w:t>”.</w:t>
            </w:r>
          </w:p>
          <w:p w14:paraId="69C14831" w14:textId="77777777" w:rsidR="00F8113B" w:rsidRDefault="00F8113B">
            <w:pPr>
              <w:spacing w:line="276" w:lineRule="auto"/>
              <w:jc w:val="both"/>
            </w:pPr>
          </w:p>
        </w:tc>
      </w:tr>
      <w:tr w:rsidR="00F8113B" w14:paraId="7B0A2513" w14:textId="77777777">
        <w:tc>
          <w:tcPr>
            <w:tcW w:w="2246" w:type="dxa"/>
          </w:tcPr>
          <w:p w14:paraId="66065F17"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Liquidation Preference</w:t>
            </w:r>
          </w:p>
        </w:tc>
        <w:tc>
          <w:tcPr>
            <w:tcW w:w="6401" w:type="dxa"/>
            <w:shd w:val="clear" w:color="auto" w:fill="FFFFFF"/>
          </w:tcPr>
          <w:p w14:paraId="1D7ADFAE" w14:textId="77777777" w:rsidR="00F8113B" w:rsidRDefault="00000000">
            <w:pPr>
              <w:pBdr>
                <w:top w:val="nil"/>
                <w:left w:val="nil"/>
                <w:bottom w:val="nil"/>
                <w:right w:val="nil"/>
                <w:between w:val="nil"/>
              </w:pBdr>
              <w:jc w:val="both"/>
              <w:rPr>
                <w:color w:val="000000"/>
              </w:rPr>
            </w:pPr>
            <w:r>
              <w:rPr>
                <w:color w:val="000000"/>
              </w:rPr>
              <w:t>On occurrence of Liquidity Event (as defined under the Definitive Agreements), the Lead Investor shall be entitled to receive the higher of 1x of the Investment Amount; or pro-rata share in the liquidation proceeds, calculated on the basis of its shareholding in the Company on a fully diluted basis and in preference to holders of all other securities of the Company.</w:t>
            </w:r>
          </w:p>
          <w:p w14:paraId="0DE3E663" w14:textId="77777777" w:rsidR="00F8113B" w:rsidRDefault="00F8113B">
            <w:pPr>
              <w:pBdr>
                <w:top w:val="nil"/>
                <w:left w:val="nil"/>
                <w:bottom w:val="nil"/>
                <w:right w:val="nil"/>
                <w:between w:val="nil"/>
              </w:pBdr>
              <w:jc w:val="both"/>
              <w:rPr>
                <w:color w:val="000000"/>
              </w:rPr>
            </w:pPr>
          </w:p>
        </w:tc>
      </w:tr>
      <w:tr w:rsidR="00F8113B" w14:paraId="7C6DA9B2" w14:textId="77777777">
        <w:tc>
          <w:tcPr>
            <w:tcW w:w="8647" w:type="dxa"/>
            <w:gridSpan w:val="2"/>
            <w:shd w:val="clear" w:color="auto" w:fill="BFBFBF"/>
          </w:tcPr>
          <w:p w14:paraId="4F3D442F" w14:textId="77777777" w:rsidR="00F8113B" w:rsidRDefault="00000000">
            <w:pPr>
              <w:pBdr>
                <w:top w:val="nil"/>
                <w:left w:val="nil"/>
                <w:bottom w:val="nil"/>
                <w:right w:val="nil"/>
                <w:between w:val="nil"/>
              </w:pBdr>
              <w:jc w:val="center"/>
              <w:rPr>
                <w:b/>
                <w:color w:val="000000"/>
              </w:rPr>
            </w:pPr>
            <w:r>
              <w:rPr>
                <w:b/>
                <w:color w:val="000000"/>
              </w:rPr>
              <w:t>Key Considerations</w:t>
            </w:r>
          </w:p>
        </w:tc>
      </w:tr>
      <w:tr w:rsidR="00F8113B" w14:paraId="79DD922C" w14:textId="77777777">
        <w:tc>
          <w:tcPr>
            <w:tcW w:w="2246" w:type="dxa"/>
          </w:tcPr>
          <w:p w14:paraId="1613FDB7"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Board of Directors</w:t>
            </w:r>
          </w:p>
        </w:tc>
        <w:tc>
          <w:tcPr>
            <w:tcW w:w="6401" w:type="dxa"/>
          </w:tcPr>
          <w:p w14:paraId="17F90643" w14:textId="6B7872A3" w:rsidR="00F8113B" w:rsidRDefault="00000000">
            <w:pPr>
              <w:pBdr>
                <w:top w:val="nil"/>
                <w:left w:val="nil"/>
                <w:bottom w:val="nil"/>
                <w:right w:val="nil"/>
                <w:between w:val="nil"/>
              </w:pBdr>
              <w:jc w:val="both"/>
              <w:rPr>
                <w:color w:val="000000"/>
              </w:rPr>
            </w:pPr>
            <w:r>
              <w:rPr>
                <w:color w:val="000000"/>
              </w:rPr>
              <w:t>The Lead Investor shall have the right to nominate 1</w:t>
            </w:r>
            <w:r w:rsidR="00C14ABE">
              <w:rPr>
                <w:color w:val="000000"/>
              </w:rPr>
              <w:t xml:space="preserve"> (One)</w:t>
            </w:r>
            <w:r>
              <w:rPr>
                <w:color w:val="000000"/>
              </w:rPr>
              <w:t xml:space="preserve"> person to be appointed as director on the board (“</w:t>
            </w:r>
            <w:r>
              <w:rPr>
                <w:b/>
                <w:color w:val="000000"/>
              </w:rPr>
              <w:t>Lead Investor Director</w:t>
            </w:r>
            <w:r>
              <w:rPr>
                <w:color w:val="000000"/>
              </w:rPr>
              <w:t xml:space="preserve">”) and 1 </w:t>
            </w:r>
            <w:r w:rsidR="00C14ABE">
              <w:rPr>
                <w:color w:val="000000"/>
              </w:rPr>
              <w:t xml:space="preserve">(One) </w:t>
            </w:r>
            <w:r>
              <w:rPr>
                <w:color w:val="000000"/>
              </w:rPr>
              <w:t>nominee of the Lead Investor shall be appointed as an observer on the board.</w:t>
            </w:r>
            <w:r>
              <w:rPr>
                <w:b/>
                <w:i/>
                <w:color w:val="000000"/>
                <w:highlight w:val="yellow"/>
              </w:rPr>
              <w:t xml:space="preserve"> </w:t>
            </w:r>
          </w:p>
          <w:p w14:paraId="4771F555" w14:textId="77777777" w:rsidR="00F8113B" w:rsidRDefault="00F8113B">
            <w:pPr>
              <w:pBdr>
                <w:top w:val="nil"/>
                <w:left w:val="nil"/>
                <w:bottom w:val="nil"/>
                <w:right w:val="nil"/>
                <w:between w:val="nil"/>
              </w:pBdr>
              <w:ind w:left="426" w:right="176"/>
              <w:jc w:val="both"/>
              <w:rPr>
                <w:color w:val="000000"/>
              </w:rPr>
            </w:pPr>
          </w:p>
        </w:tc>
      </w:tr>
      <w:tr w:rsidR="00F8113B" w14:paraId="6EC9F29C" w14:textId="77777777">
        <w:tc>
          <w:tcPr>
            <w:tcW w:w="2246" w:type="dxa"/>
          </w:tcPr>
          <w:p w14:paraId="443D8916"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 xml:space="preserve">Reserved </w:t>
            </w:r>
            <w:r>
              <w:rPr>
                <w:b/>
                <w:color w:val="000000"/>
              </w:rPr>
              <w:lastRenderedPageBreak/>
              <w:t>Matter</w:t>
            </w:r>
          </w:p>
        </w:tc>
        <w:tc>
          <w:tcPr>
            <w:tcW w:w="6401" w:type="dxa"/>
          </w:tcPr>
          <w:p w14:paraId="07C0E870" w14:textId="77777777" w:rsidR="00F8113B" w:rsidRDefault="00000000">
            <w:pPr>
              <w:pBdr>
                <w:top w:val="nil"/>
                <w:left w:val="nil"/>
                <w:bottom w:val="nil"/>
                <w:right w:val="nil"/>
                <w:between w:val="nil"/>
              </w:pBdr>
              <w:ind w:left="42"/>
              <w:jc w:val="both"/>
              <w:rPr>
                <w:color w:val="000000"/>
              </w:rPr>
            </w:pPr>
            <w:r>
              <w:rPr>
                <w:color w:val="000000"/>
              </w:rPr>
              <w:lastRenderedPageBreak/>
              <w:t xml:space="preserve">Prior consent of the Lead Investor would be required for making decisions in respect of strategic, investments, future fund raises and </w:t>
            </w:r>
            <w:r>
              <w:rPr>
                <w:color w:val="000000"/>
              </w:rPr>
              <w:lastRenderedPageBreak/>
              <w:t>exit matters at board, shareholder and committee meetings, and operational matters. The construct will be detailed under the Definitive Agreements and will be based on final capitalization. A detailed list of reserved matters customary for similar transactions shall be provided under the Definitive Agreements.</w:t>
            </w:r>
          </w:p>
          <w:p w14:paraId="0EA1C331" w14:textId="77777777" w:rsidR="00F8113B" w:rsidRDefault="00F8113B">
            <w:pPr>
              <w:pBdr>
                <w:top w:val="nil"/>
                <w:left w:val="nil"/>
                <w:bottom w:val="nil"/>
                <w:right w:val="nil"/>
                <w:between w:val="nil"/>
              </w:pBdr>
              <w:jc w:val="both"/>
              <w:rPr>
                <w:color w:val="000000"/>
              </w:rPr>
            </w:pPr>
          </w:p>
        </w:tc>
      </w:tr>
      <w:tr w:rsidR="00F8113B" w14:paraId="06880242" w14:textId="77777777">
        <w:tc>
          <w:tcPr>
            <w:tcW w:w="2246" w:type="dxa"/>
          </w:tcPr>
          <w:p w14:paraId="546D3345"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lastRenderedPageBreak/>
              <w:t>Employee Stock Option Pool</w:t>
            </w:r>
          </w:p>
        </w:tc>
        <w:tc>
          <w:tcPr>
            <w:tcW w:w="6401" w:type="dxa"/>
          </w:tcPr>
          <w:p w14:paraId="7C54CDC8" w14:textId="77777777" w:rsidR="00F8113B" w:rsidRDefault="00000000">
            <w:pPr>
              <w:pBdr>
                <w:top w:val="nil"/>
                <w:left w:val="nil"/>
                <w:bottom w:val="nil"/>
                <w:right w:val="nil"/>
                <w:between w:val="nil"/>
              </w:pBdr>
              <w:ind w:left="42" w:right="40"/>
              <w:jc w:val="both"/>
              <w:rPr>
                <w:color w:val="000000"/>
              </w:rPr>
            </w:pPr>
            <w:r>
              <w:rPr>
                <w:color w:val="000000"/>
              </w:rPr>
              <w:t xml:space="preserve">The Company shall create an employee stock option pool of </w:t>
            </w:r>
            <w:r w:rsidR="009B6A42">
              <w:rPr>
                <w:color w:val="000000"/>
              </w:rPr>
              <w:t>[</w:t>
            </w:r>
            <w:r w:rsidR="009B6A42">
              <w:t>•</w:t>
            </w:r>
            <w:r w:rsidR="009B6A42">
              <w:rPr>
                <w:color w:val="000000"/>
              </w:rPr>
              <w:t>]</w:t>
            </w:r>
            <w:r>
              <w:rPr>
                <w:color w:val="000000"/>
              </w:rPr>
              <w:t xml:space="preserve">, based on the post-closing shareholding of the Company on a fully diluted basis, which shares shall be granted to the present and future employees of the Company (except the founders). It is clarified that the Lead Investor will not be required to dilute its shareholding for the purpose of creating the aforementioned pool. </w:t>
            </w:r>
          </w:p>
          <w:p w14:paraId="5C676B30" w14:textId="77777777" w:rsidR="00F8113B" w:rsidRDefault="00F8113B">
            <w:pPr>
              <w:pBdr>
                <w:top w:val="nil"/>
                <w:left w:val="nil"/>
                <w:bottom w:val="nil"/>
                <w:right w:val="nil"/>
                <w:between w:val="nil"/>
              </w:pBdr>
              <w:ind w:left="42"/>
              <w:jc w:val="both"/>
              <w:rPr>
                <w:color w:val="000000"/>
              </w:rPr>
            </w:pPr>
          </w:p>
        </w:tc>
      </w:tr>
      <w:tr w:rsidR="00F8113B" w14:paraId="381375E9" w14:textId="77777777">
        <w:tc>
          <w:tcPr>
            <w:tcW w:w="2246" w:type="dxa"/>
          </w:tcPr>
          <w:p w14:paraId="2ACB4E15"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Restriction on Founder Shares</w:t>
            </w:r>
          </w:p>
        </w:tc>
        <w:tc>
          <w:tcPr>
            <w:tcW w:w="6401" w:type="dxa"/>
            <w:shd w:val="clear" w:color="auto" w:fill="FFFFFF"/>
          </w:tcPr>
          <w:p w14:paraId="547F46A2" w14:textId="2D9D54BF" w:rsidR="00F8113B" w:rsidRDefault="00802C4F">
            <w:pPr>
              <w:pBdr>
                <w:top w:val="nil"/>
                <w:left w:val="nil"/>
                <w:bottom w:val="nil"/>
                <w:right w:val="nil"/>
                <w:between w:val="nil"/>
              </w:pBdr>
              <w:ind w:left="42"/>
              <w:jc w:val="both"/>
              <w:rPr>
                <w:color w:val="000000"/>
              </w:rPr>
            </w:pPr>
            <w:r w:rsidRPr="00802C4F">
              <w:rPr>
                <w:color w:val="000000"/>
              </w:rPr>
              <w:t>4 years vesting curve with one year cliff and quarterly vesting post that.</w:t>
            </w:r>
          </w:p>
          <w:p w14:paraId="31C587E0" w14:textId="77777777" w:rsidR="00F8113B" w:rsidRDefault="00F8113B">
            <w:pPr>
              <w:pBdr>
                <w:top w:val="nil"/>
                <w:left w:val="nil"/>
                <w:bottom w:val="nil"/>
                <w:right w:val="nil"/>
                <w:between w:val="nil"/>
              </w:pBdr>
              <w:jc w:val="both"/>
              <w:rPr>
                <w:color w:val="000000"/>
                <w:sz w:val="21"/>
                <w:szCs w:val="21"/>
              </w:rPr>
            </w:pPr>
          </w:p>
          <w:p w14:paraId="01FA59BF" w14:textId="77777777" w:rsidR="00F8113B" w:rsidRDefault="00000000">
            <w:pPr>
              <w:pBdr>
                <w:top w:val="nil"/>
                <w:left w:val="nil"/>
                <w:bottom w:val="nil"/>
                <w:right w:val="nil"/>
                <w:between w:val="nil"/>
              </w:pBdr>
              <w:ind w:left="42"/>
              <w:jc w:val="both"/>
              <w:rPr>
                <w:color w:val="000000"/>
              </w:rPr>
            </w:pPr>
            <w:r>
              <w:rPr>
                <w:color w:val="000000"/>
              </w:rPr>
              <w:t>So long as the Lead Investor holds securities in the Company, any transfer of securities by a Founder shall be subject to prior consent of the Lead Investor ("</w:t>
            </w:r>
            <w:r>
              <w:rPr>
                <w:b/>
                <w:color w:val="000000"/>
              </w:rPr>
              <w:t>Lock-in</w:t>
            </w:r>
            <w:r>
              <w:rPr>
                <w:color w:val="000000"/>
              </w:rPr>
              <w:t>”); and subsequent right of first refusal and tag along right. The Investors shall have a full tag along right in the following instances:</w:t>
            </w:r>
          </w:p>
          <w:p w14:paraId="7C519ECB" w14:textId="77777777" w:rsidR="00F8113B" w:rsidRDefault="00F8113B">
            <w:pPr>
              <w:pBdr>
                <w:top w:val="nil"/>
                <w:left w:val="nil"/>
                <w:bottom w:val="nil"/>
                <w:right w:val="nil"/>
                <w:between w:val="nil"/>
              </w:pBdr>
              <w:ind w:left="42"/>
              <w:jc w:val="both"/>
              <w:rPr>
                <w:color w:val="000000"/>
              </w:rPr>
            </w:pPr>
          </w:p>
          <w:p w14:paraId="6245CA9B" w14:textId="77777777" w:rsidR="00F8113B" w:rsidRDefault="00000000">
            <w:pPr>
              <w:numPr>
                <w:ilvl w:val="0"/>
                <w:numId w:val="2"/>
              </w:numPr>
              <w:pBdr>
                <w:top w:val="nil"/>
                <w:left w:val="nil"/>
                <w:bottom w:val="nil"/>
                <w:right w:val="nil"/>
                <w:between w:val="nil"/>
              </w:pBdr>
              <w:tabs>
                <w:tab w:val="left" w:pos="676"/>
                <w:tab w:val="left" w:pos="678"/>
              </w:tabs>
              <w:jc w:val="both"/>
            </w:pPr>
            <w:r>
              <w:rPr>
                <w:color w:val="000000"/>
              </w:rPr>
              <w:t>transfer of more than fifty percent (50%) of any Founder’s shareholding in the Company, and/or</w:t>
            </w:r>
          </w:p>
          <w:p w14:paraId="2A7A8CA1" w14:textId="77777777" w:rsidR="00F8113B" w:rsidRDefault="00000000">
            <w:pPr>
              <w:numPr>
                <w:ilvl w:val="0"/>
                <w:numId w:val="2"/>
              </w:numPr>
              <w:pBdr>
                <w:top w:val="nil"/>
                <w:left w:val="nil"/>
                <w:bottom w:val="nil"/>
                <w:right w:val="nil"/>
                <w:between w:val="nil"/>
              </w:pBdr>
              <w:tabs>
                <w:tab w:val="left" w:pos="676"/>
                <w:tab w:val="left" w:pos="678"/>
              </w:tabs>
              <w:jc w:val="both"/>
            </w:pPr>
            <w:r>
              <w:rPr>
                <w:color w:val="000000"/>
              </w:rPr>
              <w:t>Any change of control transaction.</w:t>
            </w:r>
          </w:p>
          <w:p w14:paraId="3A71BAAE" w14:textId="77777777" w:rsidR="00F8113B" w:rsidRDefault="00F8113B">
            <w:pPr>
              <w:pBdr>
                <w:top w:val="nil"/>
                <w:left w:val="nil"/>
                <w:bottom w:val="nil"/>
                <w:right w:val="nil"/>
                <w:between w:val="nil"/>
              </w:pBdr>
              <w:tabs>
                <w:tab w:val="left" w:pos="676"/>
                <w:tab w:val="left" w:pos="678"/>
              </w:tabs>
              <w:ind w:left="720"/>
              <w:jc w:val="both"/>
              <w:rPr>
                <w:color w:val="000000"/>
              </w:rPr>
            </w:pPr>
          </w:p>
        </w:tc>
      </w:tr>
      <w:tr w:rsidR="00F8113B" w14:paraId="37D6A04B" w14:textId="77777777">
        <w:tc>
          <w:tcPr>
            <w:tcW w:w="2246" w:type="dxa"/>
          </w:tcPr>
          <w:p w14:paraId="5D9F372C"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Shareholders’ Rights</w:t>
            </w:r>
          </w:p>
        </w:tc>
        <w:tc>
          <w:tcPr>
            <w:tcW w:w="6401" w:type="dxa"/>
          </w:tcPr>
          <w:p w14:paraId="4014706C" w14:textId="77777777" w:rsidR="00F8113B" w:rsidRDefault="00000000">
            <w:pPr>
              <w:pBdr>
                <w:top w:val="nil"/>
                <w:left w:val="nil"/>
                <w:bottom w:val="nil"/>
                <w:right w:val="nil"/>
                <w:between w:val="nil"/>
              </w:pBdr>
              <w:ind w:left="42"/>
              <w:jc w:val="both"/>
              <w:rPr>
                <w:color w:val="000000"/>
              </w:rPr>
            </w:pPr>
            <w:r>
              <w:rPr>
                <w:color w:val="000000"/>
              </w:rPr>
              <w:t>The Lead Investor will have rights, which are customary for series Seed financings, including dividends, voting, conversion rights, broad-based anti- dilution protection, pre-emptive rights, management rights, information rights, rights of first refusal and co-sale rights, and inspection rights. All the existing agreements between the shareholders of the Company shall be superseded by the new shareholders’ agreements.</w:t>
            </w:r>
          </w:p>
          <w:p w14:paraId="6B29A61D" w14:textId="77777777" w:rsidR="00F8113B" w:rsidRDefault="00F8113B">
            <w:pPr>
              <w:pBdr>
                <w:top w:val="nil"/>
                <w:left w:val="nil"/>
                <w:bottom w:val="nil"/>
                <w:right w:val="nil"/>
                <w:between w:val="nil"/>
              </w:pBdr>
              <w:ind w:left="42"/>
              <w:jc w:val="both"/>
              <w:rPr>
                <w:color w:val="000000"/>
              </w:rPr>
            </w:pPr>
          </w:p>
        </w:tc>
      </w:tr>
      <w:tr w:rsidR="00F8113B" w14:paraId="3C0C9DBF" w14:textId="77777777">
        <w:tc>
          <w:tcPr>
            <w:tcW w:w="2246" w:type="dxa"/>
          </w:tcPr>
          <w:p w14:paraId="3FD03D87"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Restriction on transfer by other shareholders</w:t>
            </w:r>
          </w:p>
        </w:tc>
        <w:tc>
          <w:tcPr>
            <w:tcW w:w="6401" w:type="dxa"/>
          </w:tcPr>
          <w:p w14:paraId="32D54D8B" w14:textId="4B2D48E0" w:rsidR="00F8113B" w:rsidRDefault="00000000">
            <w:pPr>
              <w:pBdr>
                <w:top w:val="nil"/>
                <w:left w:val="nil"/>
                <w:bottom w:val="nil"/>
                <w:right w:val="nil"/>
                <w:between w:val="nil"/>
              </w:pBdr>
              <w:ind w:left="42"/>
              <w:jc w:val="both"/>
              <w:rPr>
                <w:color w:val="000000"/>
              </w:rPr>
            </w:pPr>
            <w:r>
              <w:rPr>
                <w:color w:val="000000"/>
              </w:rPr>
              <w:t>Any transfer of shares by other shareholders (shareholders other than Founders</w:t>
            </w:r>
            <w:r w:rsidR="0034165F">
              <w:rPr>
                <w:color w:val="000000"/>
              </w:rPr>
              <w:t xml:space="preserve"> </w:t>
            </w:r>
            <w:r w:rsidR="0034165F" w:rsidRPr="0034165F">
              <w:rPr>
                <w:color w:val="000000"/>
              </w:rPr>
              <w:t>and institutional investors</w:t>
            </w:r>
            <w:r>
              <w:rPr>
                <w:color w:val="000000"/>
              </w:rPr>
              <w:t>) shall be subject to a right of first refusal (ROFR) of the Lead Investor.</w:t>
            </w:r>
          </w:p>
        </w:tc>
      </w:tr>
      <w:tr w:rsidR="00F8113B" w14:paraId="1350D6AE" w14:textId="77777777">
        <w:tc>
          <w:tcPr>
            <w:tcW w:w="2246" w:type="dxa"/>
          </w:tcPr>
          <w:p w14:paraId="4B0C7078"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Transfer of Shares by Investors</w:t>
            </w:r>
          </w:p>
        </w:tc>
        <w:tc>
          <w:tcPr>
            <w:tcW w:w="6401" w:type="dxa"/>
          </w:tcPr>
          <w:p w14:paraId="37437B65" w14:textId="6E3FB731" w:rsidR="00F8113B" w:rsidRDefault="00000000">
            <w:pPr>
              <w:pBdr>
                <w:top w:val="nil"/>
                <w:left w:val="nil"/>
                <w:bottom w:val="nil"/>
                <w:right w:val="nil"/>
                <w:between w:val="nil"/>
              </w:pBdr>
              <w:ind w:left="42"/>
              <w:jc w:val="both"/>
              <w:rPr>
                <w:color w:val="000000"/>
              </w:rPr>
            </w:pPr>
            <w:r>
              <w:rPr>
                <w:color w:val="000000"/>
              </w:rPr>
              <w:t xml:space="preserve">Except for </w:t>
            </w:r>
            <w:r w:rsidR="0034165F" w:rsidRPr="004B72ED">
              <w:rPr>
                <w:color w:val="000000"/>
              </w:rPr>
              <w:t xml:space="preserve">restrictions </w:t>
            </w:r>
            <w:r w:rsidR="0034165F">
              <w:rPr>
                <w:color w:val="000000"/>
              </w:rPr>
              <w:t xml:space="preserve">on </w:t>
            </w:r>
            <w:r>
              <w:rPr>
                <w:color w:val="000000"/>
              </w:rPr>
              <w:t xml:space="preserve">transfer to any of the Company’s competitors until the Exit Period or occurrence of an event of default, whichever is earlier, the Investors will have the right to sell any part of the Investor Securities held by them in the Company to any person and shall not be subject to any transfer restrictions. The term ‘competitor’ shall be defined under the Definitive Agreements. </w:t>
            </w:r>
          </w:p>
          <w:p w14:paraId="32E19654" w14:textId="77777777" w:rsidR="00F8113B" w:rsidRDefault="00F8113B">
            <w:pPr>
              <w:pBdr>
                <w:top w:val="nil"/>
                <w:left w:val="nil"/>
                <w:bottom w:val="nil"/>
                <w:right w:val="nil"/>
                <w:between w:val="nil"/>
              </w:pBdr>
              <w:ind w:left="42"/>
              <w:jc w:val="both"/>
              <w:rPr>
                <w:color w:val="000000"/>
              </w:rPr>
            </w:pPr>
          </w:p>
        </w:tc>
      </w:tr>
      <w:tr w:rsidR="00F8113B" w14:paraId="3C0E0E53" w14:textId="77777777">
        <w:tc>
          <w:tcPr>
            <w:tcW w:w="2246" w:type="dxa"/>
          </w:tcPr>
          <w:p w14:paraId="1F48939A"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Exit</w:t>
            </w:r>
          </w:p>
        </w:tc>
        <w:tc>
          <w:tcPr>
            <w:tcW w:w="6401" w:type="dxa"/>
          </w:tcPr>
          <w:p w14:paraId="3E532BE0" w14:textId="4B1E0EB8" w:rsidR="00F8113B" w:rsidRDefault="00000000">
            <w:pPr>
              <w:pBdr>
                <w:top w:val="nil"/>
                <w:left w:val="nil"/>
                <w:bottom w:val="nil"/>
                <w:right w:val="nil"/>
                <w:between w:val="nil"/>
              </w:pBdr>
              <w:ind w:left="42"/>
              <w:jc w:val="both"/>
              <w:rPr>
                <w:color w:val="000000"/>
              </w:rPr>
            </w:pPr>
            <w:r>
              <w:rPr>
                <w:color w:val="000000"/>
              </w:rPr>
              <w:t>The Company and the Founders shall take best efforts to provide a full exit to the Investors by way of a Qualified IPO, third party sale, buy-back, etc., in the manner and on terms acceptable to the Lead Investor within a period of 5</w:t>
            </w:r>
            <w:r w:rsidR="0074703F">
              <w:rPr>
                <w:color w:val="000000"/>
              </w:rPr>
              <w:t xml:space="preserve"> (Five)</w:t>
            </w:r>
            <w:r>
              <w:rPr>
                <w:color w:val="000000"/>
              </w:rPr>
              <w:t xml:space="preserve"> years from the Closing Date (“</w:t>
            </w:r>
            <w:r>
              <w:rPr>
                <w:b/>
                <w:color w:val="000000"/>
              </w:rPr>
              <w:t>Exit Period</w:t>
            </w:r>
            <w:r>
              <w:rPr>
                <w:color w:val="000000"/>
              </w:rPr>
              <w:t>”). Detailed terms shall be as captured in the Definitive Agreements.</w:t>
            </w:r>
          </w:p>
          <w:p w14:paraId="17C6FB4E" w14:textId="77777777" w:rsidR="00F8113B" w:rsidRDefault="00F8113B">
            <w:pPr>
              <w:pBdr>
                <w:top w:val="nil"/>
                <w:left w:val="nil"/>
                <w:bottom w:val="nil"/>
                <w:right w:val="nil"/>
                <w:between w:val="nil"/>
              </w:pBdr>
              <w:ind w:left="42"/>
              <w:jc w:val="both"/>
              <w:rPr>
                <w:color w:val="000000"/>
              </w:rPr>
            </w:pPr>
          </w:p>
          <w:p w14:paraId="47A3AB63" w14:textId="77777777" w:rsidR="00F8113B" w:rsidRDefault="00000000">
            <w:pPr>
              <w:pBdr>
                <w:top w:val="nil"/>
                <w:left w:val="nil"/>
                <w:bottom w:val="nil"/>
                <w:right w:val="nil"/>
                <w:between w:val="nil"/>
              </w:pBdr>
              <w:ind w:left="42"/>
              <w:jc w:val="both"/>
              <w:rPr>
                <w:color w:val="000000"/>
              </w:rPr>
            </w:pPr>
            <w:r>
              <w:rPr>
                <w:color w:val="000000"/>
              </w:rPr>
              <w:t xml:space="preserve">The Company and the Founders undertake to do all reasonable acts and deeds as may be necessary to give effect to any exit and/or any </w:t>
            </w:r>
            <w:r>
              <w:rPr>
                <w:color w:val="000000"/>
              </w:rPr>
              <w:lastRenderedPageBreak/>
              <w:t xml:space="preserve">transfer of securities by the Investors and shall co-operate in case of any such transfer. </w:t>
            </w:r>
          </w:p>
          <w:p w14:paraId="6CF2DCD0" w14:textId="77777777" w:rsidR="00F8113B" w:rsidRDefault="00F8113B">
            <w:pPr>
              <w:pBdr>
                <w:top w:val="nil"/>
                <w:left w:val="nil"/>
                <w:bottom w:val="nil"/>
                <w:right w:val="nil"/>
                <w:between w:val="nil"/>
              </w:pBdr>
              <w:ind w:left="42"/>
              <w:jc w:val="both"/>
              <w:rPr>
                <w:color w:val="000000"/>
              </w:rPr>
            </w:pPr>
          </w:p>
        </w:tc>
      </w:tr>
      <w:tr w:rsidR="00F8113B" w14:paraId="4E07F86D" w14:textId="77777777">
        <w:tc>
          <w:tcPr>
            <w:tcW w:w="2246" w:type="dxa"/>
          </w:tcPr>
          <w:p w14:paraId="02485C40"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lastRenderedPageBreak/>
              <w:t>Drag Along Right</w:t>
            </w:r>
          </w:p>
        </w:tc>
        <w:tc>
          <w:tcPr>
            <w:tcW w:w="6401" w:type="dxa"/>
          </w:tcPr>
          <w:p w14:paraId="2D07AB6A" w14:textId="65CC4F18" w:rsidR="00F8113B" w:rsidRDefault="00000000">
            <w:pPr>
              <w:tabs>
                <w:tab w:val="left" w:pos="816"/>
                <w:tab w:val="left" w:pos="2814"/>
              </w:tabs>
              <w:spacing w:before="1"/>
              <w:ind w:right="209"/>
              <w:jc w:val="both"/>
            </w:pPr>
            <w:r>
              <w:t>If an Exit has not been provided to the Investors within 5</w:t>
            </w:r>
            <w:r w:rsidR="00C14ABE">
              <w:t xml:space="preserve"> (Five)</w:t>
            </w:r>
            <w:r>
              <w:t xml:space="preserve"> years from the Closing Date, </w:t>
            </w:r>
            <w:r>
              <w:rPr>
                <w:color w:val="000000"/>
              </w:rPr>
              <w:t>the Lead Investor</w:t>
            </w:r>
            <w:r>
              <w:t xml:space="preserve"> shall have the right to compel some or all of the Company’s shareholders to participate in a trade sale/drag sale which may be by way of sale of the Company’s shares to a purchaser identified by the Lead Investor. </w:t>
            </w:r>
          </w:p>
          <w:p w14:paraId="1A47C2C6" w14:textId="77777777" w:rsidR="00F8113B" w:rsidRDefault="00F8113B">
            <w:pPr>
              <w:pBdr>
                <w:top w:val="nil"/>
                <w:left w:val="nil"/>
                <w:bottom w:val="nil"/>
                <w:right w:val="nil"/>
                <w:between w:val="nil"/>
              </w:pBdr>
              <w:ind w:left="42"/>
              <w:jc w:val="both"/>
              <w:rPr>
                <w:color w:val="000000"/>
              </w:rPr>
            </w:pPr>
          </w:p>
        </w:tc>
      </w:tr>
      <w:tr w:rsidR="00F8113B" w14:paraId="665F5720" w14:textId="77777777">
        <w:tc>
          <w:tcPr>
            <w:tcW w:w="2246" w:type="dxa"/>
          </w:tcPr>
          <w:p w14:paraId="22D246EA"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Consequences of Event of Default</w:t>
            </w:r>
          </w:p>
        </w:tc>
        <w:tc>
          <w:tcPr>
            <w:tcW w:w="6401" w:type="dxa"/>
          </w:tcPr>
          <w:p w14:paraId="77F74643" w14:textId="77777777" w:rsidR="00F8113B" w:rsidRDefault="00000000">
            <w:pPr>
              <w:pBdr>
                <w:top w:val="nil"/>
                <w:left w:val="nil"/>
                <w:bottom w:val="nil"/>
                <w:right w:val="nil"/>
                <w:between w:val="nil"/>
              </w:pBdr>
              <w:ind w:left="42" w:right="40"/>
              <w:jc w:val="both"/>
              <w:rPr>
                <w:color w:val="000000"/>
              </w:rPr>
            </w:pPr>
            <w:r>
              <w:rPr>
                <w:color w:val="000000"/>
              </w:rPr>
              <w:t>In case an Event of Default is committed by a Founder / Company, Lead Investor shall be entitled to: (a) exercise drag along rights; (b) require the acceleration of exit rights available to the Lead Investor; (c) require the buyback of the securities by the Company held by all the Investors at fair market value; (d) reconstitute the board of directors, including requiring the founder directors to step down from their positions on the board.</w:t>
            </w:r>
          </w:p>
          <w:p w14:paraId="644F6E93" w14:textId="77777777" w:rsidR="00F8113B" w:rsidRDefault="00F8113B">
            <w:pPr>
              <w:pBdr>
                <w:top w:val="nil"/>
                <w:left w:val="nil"/>
                <w:bottom w:val="nil"/>
                <w:right w:val="nil"/>
                <w:between w:val="nil"/>
              </w:pBdr>
              <w:ind w:right="40"/>
              <w:jc w:val="both"/>
              <w:rPr>
                <w:color w:val="000000"/>
              </w:rPr>
            </w:pPr>
          </w:p>
          <w:p w14:paraId="5651EF84" w14:textId="77777777" w:rsidR="00F8113B" w:rsidRDefault="00000000">
            <w:pPr>
              <w:pBdr>
                <w:top w:val="nil"/>
                <w:left w:val="nil"/>
                <w:bottom w:val="nil"/>
                <w:right w:val="nil"/>
                <w:between w:val="nil"/>
              </w:pBdr>
              <w:ind w:right="40"/>
              <w:jc w:val="both"/>
              <w:rPr>
                <w:color w:val="000000"/>
              </w:rPr>
            </w:pPr>
            <w:r>
              <w:rPr>
                <w:color w:val="000000"/>
              </w:rPr>
              <w:t>The term “Event of Default” along with other remedies of the Lead Investor in such a case, shall be defined and detailed under the Definitive Agreements.</w:t>
            </w:r>
          </w:p>
          <w:p w14:paraId="205E8D4C" w14:textId="77777777" w:rsidR="00F8113B" w:rsidRDefault="00F8113B">
            <w:pPr>
              <w:pBdr>
                <w:top w:val="nil"/>
                <w:left w:val="nil"/>
                <w:bottom w:val="nil"/>
                <w:right w:val="nil"/>
                <w:between w:val="nil"/>
              </w:pBdr>
              <w:ind w:right="40"/>
              <w:jc w:val="both"/>
              <w:rPr>
                <w:color w:val="000000"/>
              </w:rPr>
            </w:pPr>
          </w:p>
        </w:tc>
      </w:tr>
      <w:tr w:rsidR="00F8113B" w14:paraId="410F8DDF" w14:textId="77777777">
        <w:tc>
          <w:tcPr>
            <w:tcW w:w="8647" w:type="dxa"/>
            <w:gridSpan w:val="2"/>
            <w:shd w:val="clear" w:color="auto" w:fill="BFBFBF"/>
          </w:tcPr>
          <w:p w14:paraId="729E6181" w14:textId="77777777" w:rsidR="00F8113B" w:rsidRDefault="00000000">
            <w:pPr>
              <w:pBdr>
                <w:top w:val="nil"/>
                <w:left w:val="nil"/>
                <w:bottom w:val="nil"/>
                <w:right w:val="nil"/>
                <w:between w:val="nil"/>
              </w:pBdr>
              <w:jc w:val="center"/>
              <w:rPr>
                <w:b/>
                <w:color w:val="000000"/>
              </w:rPr>
            </w:pPr>
            <w:r>
              <w:rPr>
                <w:b/>
                <w:color w:val="000000"/>
              </w:rPr>
              <w:t>Other Rights</w:t>
            </w:r>
          </w:p>
        </w:tc>
      </w:tr>
      <w:tr w:rsidR="00F8113B" w14:paraId="748C991D" w14:textId="77777777">
        <w:tc>
          <w:tcPr>
            <w:tcW w:w="2246" w:type="dxa"/>
          </w:tcPr>
          <w:p w14:paraId="0CC26F2B"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Conditions to Closing</w:t>
            </w:r>
          </w:p>
        </w:tc>
        <w:tc>
          <w:tcPr>
            <w:tcW w:w="6401" w:type="dxa"/>
          </w:tcPr>
          <w:p w14:paraId="1A2F7F38" w14:textId="77777777" w:rsidR="00F8113B" w:rsidRDefault="00000000">
            <w:pPr>
              <w:pBdr>
                <w:top w:val="nil"/>
                <w:left w:val="nil"/>
                <w:bottom w:val="nil"/>
                <w:right w:val="nil"/>
                <w:between w:val="nil"/>
              </w:pBdr>
              <w:ind w:left="42" w:right="40"/>
              <w:jc w:val="both"/>
              <w:rPr>
                <w:color w:val="000000"/>
              </w:rPr>
            </w:pPr>
            <w:r>
              <w:rPr>
                <w:color w:val="000000"/>
              </w:rPr>
              <w:t>Closing will be conditional upon the satisfaction or waiver by the Lead Investor of customary conditions precedent identified in the Definitive Agreements which shall inter alia include: (</w:t>
            </w:r>
            <w:proofErr w:type="spellStart"/>
            <w:r>
              <w:rPr>
                <w:color w:val="000000"/>
              </w:rPr>
              <w:t>i</w:t>
            </w:r>
            <w:proofErr w:type="spellEnd"/>
            <w:r>
              <w:rPr>
                <w:color w:val="000000"/>
              </w:rPr>
              <w:t>) obtaining all approvals by the Company in relation to the transaction (ii) completion of financial and legal due diligence by the Lead Investor; (iii) execution and delivery to the Lead Investor a side letter with respect to its E&amp;S obligations;</w:t>
            </w:r>
            <w:r>
              <w:rPr>
                <w:b/>
                <w:i/>
                <w:color w:val="000000"/>
              </w:rPr>
              <w:t xml:space="preserve"> </w:t>
            </w:r>
            <w:r>
              <w:rPr>
                <w:color w:val="000000"/>
              </w:rPr>
              <w:t>and (iv) such other conditions precedent identified in the Definitive Agreements as may be required by the Lead Investor based on the due diligence findings.</w:t>
            </w:r>
          </w:p>
          <w:p w14:paraId="2B303C78" w14:textId="77777777" w:rsidR="00F8113B" w:rsidRDefault="00F8113B">
            <w:pPr>
              <w:pBdr>
                <w:top w:val="nil"/>
                <w:left w:val="nil"/>
                <w:bottom w:val="nil"/>
                <w:right w:val="nil"/>
                <w:between w:val="nil"/>
              </w:pBdr>
              <w:ind w:left="42" w:right="40"/>
              <w:jc w:val="both"/>
              <w:rPr>
                <w:color w:val="000000"/>
              </w:rPr>
            </w:pPr>
          </w:p>
        </w:tc>
      </w:tr>
      <w:tr w:rsidR="00F8113B" w14:paraId="3800CB67" w14:textId="77777777">
        <w:tc>
          <w:tcPr>
            <w:tcW w:w="2246" w:type="dxa"/>
          </w:tcPr>
          <w:p w14:paraId="50DADF5A"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Covenants</w:t>
            </w:r>
          </w:p>
        </w:tc>
        <w:tc>
          <w:tcPr>
            <w:tcW w:w="6401" w:type="dxa"/>
          </w:tcPr>
          <w:p w14:paraId="77B7563C" w14:textId="77777777" w:rsidR="00F8113B" w:rsidRDefault="00000000">
            <w:pPr>
              <w:pBdr>
                <w:top w:val="nil"/>
                <w:left w:val="nil"/>
                <w:bottom w:val="nil"/>
                <w:right w:val="nil"/>
                <w:between w:val="nil"/>
              </w:pBdr>
              <w:ind w:left="42" w:right="40"/>
              <w:jc w:val="both"/>
              <w:rPr>
                <w:color w:val="000000"/>
              </w:rPr>
            </w:pPr>
            <w:r>
              <w:rPr>
                <w:color w:val="000000"/>
              </w:rPr>
              <w:t xml:space="preserve">The Company (including its subsidiaries) shall adopt and implement policies on principles of responsible investment, including environmental, social, and corporate governance, anti-bribery and anti-money laundering, whistle blower policies in a manner acceptable to the Lead Investor. </w:t>
            </w:r>
          </w:p>
          <w:p w14:paraId="4F743422" w14:textId="77777777" w:rsidR="00F8113B" w:rsidRDefault="00F8113B">
            <w:pPr>
              <w:pBdr>
                <w:top w:val="nil"/>
                <w:left w:val="nil"/>
                <w:bottom w:val="nil"/>
                <w:right w:val="nil"/>
                <w:between w:val="nil"/>
              </w:pBdr>
              <w:ind w:left="42" w:right="40"/>
              <w:jc w:val="both"/>
              <w:rPr>
                <w:color w:val="000000"/>
              </w:rPr>
            </w:pPr>
          </w:p>
        </w:tc>
      </w:tr>
      <w:tr w:rsidR="00F8113B" w14:paraId="10FD955D" w14:textId="77777777">
        <w:tc>
          <w:tcPr>
            <w:tcW w:w="2246" w:type="dxa"/>
          </w:tcPr>
          <w:p w14:paraId="1187FA19"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Representation and Warranties and Indemnity</w:t>
            </w:r>
          </w:p>
        </w:tc>
        <w:tc>
          <w:tcPr>
            <w:tcW w:w="6401" w:type="dxa"/>
          </w:tcPr>
          <w:p w14:paraId="28925618" w14:textId="77777777" w:rsidR="00F8113B" w:rsidRDefault="00000000">
            <w:pPr>
              <w:pBdr>
                <w:top w:val="nil"/>
                <w:left w:val="nil"/>
                <w:bottom w:val="nil"/>
                <w:right w:val="nil"/>
                <w:between w:val="nil"/>
              </w:pBdr>
              <w:ind w:left="42" w:right="40"/>
              <w:jc w:val="both"/>
              <w:rPr>
                <w:color w:val="000000"/>
              </w:rPr>
            </w:pPr>
            <w:r>
              <w:rPr>
                <w:color w:val="000000"/>
              </w:rPr>
              <w:t>The Company and the Founders will provide standard representations, warranties and indemnities acceptable to the Investors and customary for primary transactions of this kind.</w:t>
            </w:r>
          </w:p>
        </w:tc>
      </w:tr>
      <w:tr w:rsidR="00F8113B" w14:paraId="6CCF593D" w14:textId="77777777">
        <w:tc>
          <w:tcPr>
            <w:tcW w:w="2246" w:type="dxa"/>
          </w:tcPr>
          <w:p w14:paraId="6B57BE90"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 xml:space="preserve">Founder </w:t>
            </w:r>
            <w:proofErr w:type="spellStart"/>
            <w:proofErr w:type="gramStart"/>
            <w:r>
              <w:rPr>
                <w:b/>
                <w:color w:val="000000"/>
              </w:rPr>
              <w:t>Non Compete</w:t>
            </w:r>
            <w:proofErr w:type="spellEnd"/>
            <w:proofErr w:type="gramEnd"/>
            <w:r>
              <w:rPr>
                <w:b/>
                <w:color w:val="000000"/>
              </w:rPr>
              <w:t xml:space="preserve">, </w:t>
            </w:r>
            <w:proofErr w:type="gramStart"/>
            <w:r>
              <w:rPr>
                <w:b/>
                <w:color w:val="000000"/>
              </w:rPr>
              <w:t>Non</w:t>
            </w:r>
            <w:proofErr w:type="gramEnd"/>
            <w:r>
              <w:rPr>
                <w:b/>
                <w:color w:val="000000"/>
              </w:rPr>
              <w:t xml:space="preserve"> hire and </w:t>
            </w:r>
            <w:proofErr w:type="gramStart"/>
            <w:r>
              <w:rPr>
                <w:b/>
                <w:color w:val="000000"/>
              </w:rPr>
              <w:t>Non Solicit</w:t>
            </w:r>
            <w:proofErr w:type="gramEnd"/>
          </w:p>
        </w:tc>
        <w:tc>
          <w:tcPr>
            <w:tcW w:w="6401" w:type="dxa"/>
          </w:tcPr>
          <w:p w14:paraId="203699D8" w14:textId="77777777" w:rsidR="00F8113B" w:rsidRDefault="00000000">
            <w:pPr>
              <w:pBdr>
                <w:top w:val="nil"/>
                <w:left w:val="nil"/>
                <w:bottom w:val="nil"/>
                <w:right w:val="nil"/>
                <w:between w:val="nil"/>
              </w:pBdr>
              <w:ind w:left="42" w:right="40"/>
              <w:jc w:val="both"/>
              <w:rPr>
                <w:color w:val="000000"/>
              </w:rPr>
            </w:pPr>
            <w:r>
              <w:rPr>
                <w:color w:val="000000"/>
              </w:rPr>
              <w:t>The Founders shall not engage, or commence any new business that would compete with the Company and shall not solicit clients, customers or employees of the Company until the later of: (</w:t>
            </w:r>
            <w:proofErr w:type="spellStart"/>
            <w:r>
              <w:rPr>
                <w:color w:val="000000"/>
              </w:rPr>
              <w:t>i</w:t>
            </w:r>
            <w:proofErr w:type="spellEnd"/>
            <w:r>
              <w:rPr>
                <w:color w:val="000000"/>
              </w:rPr>
              <w:t>) 24 months from the Founder ceasing to hold any of the share capital in the Company on a fully diluted basis; or (ii) 24 months from the last working day of the Founder upon termination of employment (with or without cause) with the Company. The Definitive Agreements shall contain detailed non-compete, non- hire and non-solicit clauses as are customary in transactions of this nature.</w:t>
            </w:r>
          </w:p>
          <w:p w14:paraId="69B8ACF0" w14:textId="77777777" w:rsidR="00F8113B" w:rsidRDefault="00F8113B">
            <w:pPr>
              <w:pBdr>
                <w:top w:val="nil"/>
                <w:left w:val="nil"/>
                <w:bottom w:val="nil"/>
                <w:right w:val="nil"/>
                <w:between w:val="nil"/>
              </w:pBdr>
              <w:ind w:right="40"/>
              <w:jc w:val="both"/>
              <w:rPr>
                <w:color w:val="000000"/>
              </w:rPr>
            </w:pPr>
          </w:p>
        </w:tc>
      </w:tr>
      <w:tr w:rsidR="00F8113B" w14:paraId="509F8D73" w14:textId="77777777">
        <w:tc>
          <w:tcPr>
            <w:tcW w:w="2246" w:type="dxa"/>
          </w:tcPr>
          <w:p w14:paraId="699F6222"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 xml:space="preserve">D&amp;O </w:t>
            </w:r>
            <w:r>
              <w:rPr>
                <w:b/>
                <w:color w:val="000000"/>
              </w:rPr>
              <w:lastRenderedPageBreak/>
              <w:t>Insurance</w:t>
            </w:r>
          </w:p>
        </w:tc>
        <w:tc>
          <w:tcPr>
            <w:tcW w:w="6401" w:type="dxa"/>
          </w:tcPr>
          <w:p w14:paraId="22849EA0" w14:textId="77777777" w:rsidR="00F8113B" w:rsidRDefault="00000000">
            <w:pPr>
              <w:pBdr>
                <w:top w:val="nil"/>
                <w:left w:val="nil"/>
                <w:bottom w:val="nil"/>
                <w:right w:val="nil"/>
                <w:between w:val="nil"/>
              </w:pBdr>
              <w:ind w:left="42" w:right="40"/>
              <w:jc w:val="both"/>
              <w:rPr>
                <w:color w:val="000000"/>
              </w:rPr>
            </w:pPr>
            <w:r>
              <w:rPr>
                <w:color w:val="000000"/>
              </w:rPr>
              <w:lastRenderedPageBreak/>
              <w:t xml:space="preserve">The Company will, within 90 days of the Closing Date obtain suitable D&amp;O insurance for pi’s representatives on its board. </w:t>
            </w:r>
          </w:p>
          <w:p w14:paraId="54C625A8" w14:textId="77777777" w:rsidR="00F8113B" w:rsidRDefault="00F8113B">
            <w:pPr>
              <w:pBdr>
                <w:top w:val="nil"/>
                <w:left w:val="nil"/>
                <w:bottom w:val="nil"/>
                <w:right w:val="nil"/>
                <w:between w:val="nil"/>
              </w:pBdr>
              <w:ind w:left="42" w:right="40"/>
              <w:jc w:val="both"/>
              <w:rPr>
                <w:color w:val="000000"/>
              </w:rPr>
            </w:pPr>
          </w:p>
        </w:tc>
      </w:tr>
      <w:tr w:rsidR="00F8113B" w14:paraId="38216E7A" w14:textId="77777777">
        <w:tc>
          <w:tcPr>
            <w:tcW w:w="8647" w:type="dxa"/>
            <w:gridSpan w:val="2"/>
            <w:shd w:val="clear" w:color="auto" w:fill="BFBFBF"/>
          </w:tcPr>
          <w:p w14:paraId="14025271" w14:textId="77777777" w:rsidR="00F8113B" w:rsidRDefault="00000000">
            <w:pPr>
              <w:pBdr>
                <w:top w:val="nil"/>
                <w:left w:val="nil"/>
                <w:bottom w:val="nil"/>
                <w:right w:val="nil"/>
                <w:between w:val="nil"/>
              </w:pBdr>
              <w:jc w:val="center"/>
              <w:rPr>
                <w:b/>
                <w:color w:val="000000"/>
              </w:rPr>
            </w:pPr>
            <w:r>
              <w:rPr>
                <w:b/>
                <w:color w:val="000000"/>
              </w:rPr>
              <w:lastRenderedPageBreak/>
              <w:t>Other Terms</w:t>
            </w:r>
          </w:p>
        </w:tc>
      </w:tr>
      <w:tr w:rsidR="00F8113B" w14:paraId="0F00F961" w14:textId="77777777">
        <w:tc>
          <w:tcPr>
            <w:tcW w:w="2246" w:type="dxa"/>
          </w:tcPr>
          <w:p w14:paraId="75980559"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Definitive Agreements</w:t>
            </w:r>
          </w:p>
        </w:tc>
        <w:tc>
          <w:tcPr>
            <w:tcW w:w="6401" w:type="dxa"/>
          </w:tcPr>
          <w:p w14:paraId="64122F06" w14:textId="77777777" w:rsidR="00F8113B" w:rsidRDefault="00000000">
            <w:pPr>
              <w:pBdr>
                <w:top w:val="nil"/>
                <w:left w:val="nil"/>
                <w:bottom w:val="nil"/>
                <w:right w:val="nil"/>
                <w:between w:val="nil"/>
              </w:pBdr>
              <w:ind w:left="42" w:right="40"/>
              <w:jc w:val="both"/>
              <w:rPr>
                <w:color w:val="000000"/>
              </w:rPr>
            </w:pPr>
            <w:r>
              <w:rPr>
                <w:color w:val="000000"/>
              </w:rPr>
              <w:t xml:space="preserve">The investments will be made pursuant to a Share Subscription Agreement, a Shareholders’ Agreement and such other documents that may be mutually agreed upon to be executed by the Company, the Founders and the Investors. </w:t>
            </w:r>
          </w:p>
          <w:p w14:paraId="28A2F796" w14:textId="77777777" w:rsidR="00F8113B" w:rsidRDefault="00F8113B">
            <w:pPr>
              <w:pBdr>
                <w:top w:val="nil"/>
                <w:left w:val="nil"/>
                <w:bottom w:val="nil"/>
                <w:right w:val="nil"/>
                <w:between w:val="nil"/>
              </w:pBdr>
              <w:ind w:left="42" w:right="40"/>
              <w:jc w:val="both"/>
              <w:rPr>
                <w:color w:val="000000"/>
              </w:rPr>
            </w:pPr>
          </w:p>
        </w:tc>
      </w:tr>
      <w:tr w:rsidR="00F8113B" w14:paraId="446686FA" w14:textId="77777777">
        <w:tc>
          <w:tcPr>
            <w:tcW w:w="2246" w:type="dxa"/>
          </w:tcPr>
          <w:p w14:paraId="336BC772"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Confidentiality</w:t>
            </w:r>
          </w:p>
        </w:tc>
        <w:tc>
          <w:tcPr>
            <w:tcW w:w="6401" w:type="dxa"/>
          </w:tcPr>
          <w:p w14:paraId="48CF25A6" w14:textId="77777777" w:rsidR="00F8113B" w:rsidRDefault="00000000">
            <w:pPr>
              <w:pBdr>
                <w:top w:val="nil"/>
                <w:left w:val="nil"/>
                <w:bottom w:val="nil"/>
                <w:right w:val="nil"/>
                <w:between w:val="nil"/>
              </w:pBdr>
              <w:ind w:left="42" w:right="40"/>
              <w:jc w:val="both"/>
              <w:rPr>
                <w:color w:val="000000"/>
              </w:rPr>
            </w:pPr>
            <w:r>
              <w:rPr>
                <w:color w:val="000000"/>
              </w:rPr>
              <w:t xml:space="preserve">The terms and conditions of the Proposed Transaction, including its existence, would be confidential information and would not be disclosed to any third party by the Company or the Investors except as provided. Post the Closing Date, the Investors and the Company would be able to disclose the existence of the equity financing, but not its pricing, shareholding percentage or any other terms and conditions. In the event of a disclosure required by applicable law, including by regulatory bodies, the disclosing party would use all reasonable efforts (and cooperate with the other party’s efforts) to obtain confidential treatment of materials so disclosed. </w:t>
            </w:r>
          </w:p>
          <w:p w14:paraId="4DE424D9" w14:textId="77777777" w:rsidR="00F8113B" w:rsidRDefault="00F8113B">
            <w:pPr>
              <w:pBdr>
                <w:top w:val="nil"/>
                <w:left w:val="nil"/>
                <w:bottom w:val="nil"/>
                <w:right w:val="nil"/>
                <w:between w:val="nil"/>
              </w:pBdr>
              <w:ind w:left="42" w:right="40"/>
              <w:jc w:val="both"/>
              <w:rPr>
                <w:color w:val="000000"/>
              </w:rPr>
            </w:pPr>
          </w:p>
        </w:tc>
      </w:tr>
      <w:tr w:rsidR="00F8113B" w14:paraId="7FDF1E1D" w14:textId="77777777">
        <w:tc>
          <w:tcPr>
            <w:tcW w:w="2246" w:type="dxa"/>
          </w:tcPr>
          <w:p w14:paraId="2C54FF1C"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Exclusivity</w:t>
            </w:r>
          </w:p>
        </w:tc>
        <w:tc>
          <w:tcPr>
            <w:tcW w:w="6401" w:type="dxa"/>
          </w:tcPr>
          <w:p w14:paraId="53CBAA4A" w14:textId="77777777" w:rsidR="00F8113B" w:rsidRDefault="00000000">
            <w:pPr>
              <w:pBdr>
                <w:top w:val="nil"/>
                <w:left w:val="nil"/>
                <w:bottom w:val="nil"/>
                <w:right w:val="nil"/>
                <w:between w:val="nil"/>
              </w:pBdr>
              <w:ind w:left="42" w:right="40"/>
              <w:jc w:val="both"/>
              <w:rPr>
                <w:color w:val="000000"/>
              </w:rPr>
            </w:pPr>
            <w:r>
              <w:rPr>
                <w:color w:val="000000"/>
              </w:rPr>
              <w:t xml:space="preserve">For 90 (ninety) days from the date of execution of this Term Sheet or until the Lead Investor expresses its intent to not proceed with the Proposed Transaction (whichever is earlier), the Company and the Founders will not initiate, continue, respond to, or participate in any way, in any discussions regarding, or accept any proposal for, any equity financing or sale of the Company other than with the Lead Investor. The exclusivity period may be extended by mutual agreement in writing. </w:t>
            </w:r>
          </w:p>
          <w:p w14:paraId="4750BFE9" w14:textId="77777777" w:rsidR="00F8113B" w:rsidRDefault="00F8113B">
            <w:pPr>
              <w:pBdr>
                <w:top w:val="nil"/>
                <w:left w:val="nil"/>
                <w:bottom w:val="nil"/>
                <w:right w:val="nil"/>
                <w:between w:val="nil"/>
              </w:pBdr>
              <w:ind w:left="42" w:right="40"/>
              <w:jc w:val="both"/>
              <w:rPr>
                <w:color w:val="000000"/>
              </w:rPr>
            </w:pPr>
          </w:p>
        </w:tc>
      </w:tr>
      <w:tr w:rsidR="00F8113B" w14:paraId="4DA3AFB3" w14:textId="77777777">
        <w:tc>
          <w:tcPr>
            <w:tcW w:w="2246" w:type="dxa"/>
          </w:tcPr>
          <w:p w14:paraId="2D9341E3"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Expenses</w:t>
            </w:r>
          </w:p>
        </w:tc>
        <w:tc>
          <w:tcPr>
            <w:tcW w:w="6401" w:type="dxa"/>
          </w:tcPr>
          <w:p w14:paraId="055364FB" w14:textId="77777777" w:rsidR="00F8113B" w:rsidRDefault="00000000">
            <w:pPr>
              <w:tabs>
                <w:tab w:val="left" w:pos="1003"/>
                <w:tab w:val="left" w:pos="3119"/>
              </w:tabs>
              <w:ind w:right="40"/>
              <w:jc w:val="both"/>
              <w:rPr>
                <w:b/>
              </w:rPr>
            </w:pPr>
            <w:r>
              <w:t xml:space="preserve">All costs and expenses incurred by pi in connection with any discussions, negotiations, investigations and diligence undertaken in connection with the subject matter hereof and preparation and execution of the Definitive Agreements shall be borne by the Company subject to the closing of the Proposed Transaction and subject to a maximum of INR </w:t>
            </w:r>
            <w:r w:rsidR="006168DD">
              <w:t xml:space="preserve">[•] </w:t>
            </w:r>
            <w:r>
              <w:t xml:space="preserve">(excluding GST). Provided, it is clarified that if the closing is not achieved due to reasons not attributable to pi alone, then the expenses (subject to the cap provided herein) will be reimbursed to pi. </w:t>
            </w:r>
          </w:p>
          <w:p w14:paraId="6B55978B" w14:textId="77777777" w:rsidR="00F8113B" w:rsidRDefault="00F8113B">
            <w:pPr>
              <w:pBdr>
                <w:top w:val="nil"/>
                <w:left w:val="nil"/>
                <w:bottom w:val="nil"/>
                <w:right w:val="nil"/>
                <w:between w:val="nil"/>
              </w:pBdr>
              <w:ind w:left="42" w:right="40"/>
              <w:jc w:val="both"/>
              <w:rPr>
                <w:color w:val="000000"/>
              </w:rPr>
            </w:pPr>
          </w:p>
        </w:tc>
      </w:tr>
      <w:tr w:rsidR="00F8113B" w14:paraId="79D41509" w14:textId="77777777">
        <w:tc>
          <w:tcPr>
            <w:tcW w:w="2246" w:type="dxa"/>
          </w:tcPr>
          <w:p w14:paraId="1B9837C7"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Governing Law</w:t>
            </w:r>
          </w:p>
        </w:tc>
        <w:tc>
          <w:tcPr>
            <w:tcW w:w="6401" w:type="dxa"/>
          </w:tcPr>
          <w:p w14:paraId="39A0874A" w14:textId="77777777" w:rsidR="00F8113B" w:rsidRDefault="00000000">
            <w:pPr>
              <w:tabs>
                <w:tab w:val="left" w:pos="1003"/>
                <w:tab w:val="left" w:pos="3119"/>
              </w:tabs>
              <w:ind w:right="176"/>
              <w:jc w:val="both"/>
            </w:pPr>
            <w:r>
              <w:t>This term sheet shall be governed by the laws of India and shall be subject to the jurisdiction of courts in Bengaluru.</w:t>
            </w:r>
          </w:p>
          <w:p w14:paraId="5E72EBFC" w14:textId="77777777" w:rsidR="00F8113B" w:rsidRDefault="00F8113B">
            <w:pPr>
              <w:tabs>
                <w:tab w:val="left" w:pos="1003"/>
                <w:tab w:val="left" w:pos="3119"/>
              </w:tabs>
              <w:ind w:right="176"/>
              <w:jc w:val="both"/>
            </w:pPr>
          </w:p>
        </w:tc>
      </w:tr>
      <w:tr w:rsidR="00F8113B" w14:paraId="59CC62F6" w14:textId="77777777">
        <w:tc>
          <w:tcPr>
            <w:tcW w:w="2246" w:type="dxa"/>
          </w:tcPr>
          <w:p w14:paraId="5837E916"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Binding Nature</w:t>
            </w:r>
          </w:p>
        </w:tc>
        <w:tc>
          <w:tcPr>
            <w:tcW w:w="6401" w:type="dxa"/>
          </w:tcPr>
          <w:p w14:paraId="73F5E3B4" w14:textId="77777777" w:rsidR="00F8113B" w:rsidRDefault="00000000">
            <w:pPr>
              <w:tabs>
                <w:tab w:val="left" w:pos="1003"/>
                <w:tab w:val="left" w:pos="3119"/>
              </w:tabs>
              <w:ind w:right="40"/>
              <w:jc w:val="both"/>
            </w:pPr>
            <w:r>
              <w:t>It is hereby expressly agreed between the parties that the terms and conditions set forth in this Term Sheet are not legally binding on the Parties, save and except to the extent specifically stated herein. Notwithstanding anything contained herein, the Clauses 25 to 30 (both inclusive) of this Term Sheet, shall be legally binding on the parties.</w:t>
            </w:r>
          </w:p>
          <w:p w14:paraId="3B2D741D" w14:textId="77777777" w:rsidR="009B6A42" w:rsidRDefault="009B6A42">
            <w:pPr>
              <w:tabs>
                <w:tab w:val="left" w:pos="1003"/>
                <w:tab w:val="left" w:pos="3119"/>
              </w:tabs>
              <w:ind w:right="40"/>
              <w:jc w:val="both"/>
            </w:pPr>
          </w:p>
        </w:tc>
      </w:tr>
      <w:tr w:rsidR="00F8113B" w14:paraId="2752542A" w14:textId="77777777">
        <w:tc>
          <w:tcPr>
            <w:tcW w:w="2246" w:type="dxa"/>
          </w:tcPr>
          <w:p w14:paraId="10FD5CD3" w14:textId="77777777" w:rsidR="00F8113B" w:rsidRDefault="00000000">
            <w:pPr>
              <w:numPr>
                <w:ilvl w:val="0"/>
                <w:numId w:val="1"/>
              </w:numPr>
              <w:pBdr>
                <w:top w:val="nil"/>
                <w:left w:val="nil"/>
                <w:bottom w:val="nil"/>
                <w:right w:val="nil"/>
                <w:between w:val="nil"/>
              </w:pBdr>
              <w:spacing w:line="276" w:lineRule="auto"/>
              <w:ind w:left="600" w:hanging="545"/>
              <w:jc w:val="both"/>
              <w:rPr>
                <w:b/>
                <w:color w:val="000000"/>
              </w:rPr>
            </w:pPr>
            <w:r>
              <w:rPr>
                <w:b/>
                <w:color w:val="000000"/>
              </w:rPr>
              <w:t>Validity</w:t>
            </w:r>
          </w:p>
        </w:tc>
        <w:tc>
          <w:tcPr>
            <w:tcW w:w="6401" w:type="dxa"/>
          </w:tcPr>
          <w:p w14:paraId="62DEBBE1" w14:textId="77777777" w:rsidR="00F8113B" w:rsidRDefault="00000000">
            <w:pPr>
              <w:tabs>
                <w:tab w:val="left" w:pos="1003"/>
                <w:tab w:val="left" w:pos="3119"/>
              </w:tabs>
              <w:ind w:right="40"/>
              <w:jc w:val="both"/>
            </w:pPr>
            <w:r>
              <w:t xml:space="preserve">The Term Sheet shall expire automatically at 11:59 pm on </w:t>
            </w:r>
            <w:r w:rsidR="009B6A42">
              <w:t>[•]</w:t>
            </w:r>
            <w:r>
              <w:t>, unless signed by the Company and Founders prior to such expiry.</w:t>
            </w:r>
          </w:p>
          <w:p w14:paraId="15DA8D8B" w14:textId="77777777" w:rsidR="00F8113B" w:rsidRDefault="00F8113B">
            <w:pPr>
              <w:tabs>
                <w:tab w:val="left" w:pos="1003"/>
                <w:tab w:val="left" w:pos="3119"/>
              </w:tabs>
              <w:ind w:right="40"/>
              <w:jc w:val="both"/>
            </w:pPr>
          </w:p>
          <w:p w14:paraId="7C74C910" w14:textId="77777777" w:rsidR="00F8113B" w:rsidRDefault="00000000">
            <w:pPr>
              <w:tabs>
                <w:tab w:val="left" w:pos="1003"/>
                <w:tab w:val="left" w:pos="3119"/>
              </w:tabs>
              <w:ind w:right="40"/>
              <w:jc w:val="both"/>
            </w:pPr>
            <w:r>
              <w:t>This Term Sheet shall terminate automatically if Definitive Agreements are not executed within the exclusivity period (as may be extended).</w:t>
            </w:r>
          </w:p>
        </w:tc>
      </w:tr>
    </w:tbl>
    <w:p w14:paraId="1C7391B9" w14:textId="77777777" w:rsidR="00F8113B" w:rsidRDefault="00F8113B">
      <w:pPr>
        <w:ind w:right="176"/>
        <w:jc w:val="both"/>
        <w:rPr>
          <w:b/>
          <w:i/>
        </w:rPr>
      </w:pPr>
    </w:p>
    <w:p w14:paraId="18AA1E1B" w14:textId="77777777" w:rsidR="00F8113B" w:rsidRDefault="00000000">
      <w:pPr>
        <w:ind w:left="3011" w:right="176"/>
        <w:jc w:val="both"/>
        <w:rPr>
          <w:b/>
          <w:i/>
        </w:rPr>
      </w:pPr>
      <w:r>
        <w:rPr>
          <w:b/>
          <w:i/>
        </w:rPr>
        <w:t>[Signature page follows.]</w:t>
      </w:r>
    </w:p>
    <w:p w14:paraId="5151B89D" w14:textId="77777777" w:rsidR="00F8113B" w:rsidRDefault="00000000">
      <w:pPr>
        <w:widowControl/>
        <w:spacing w:after="160" w:line="259" w:lineRule="auto"/>
      </w:pPr>
      <w:r>
        <w:lastRenderedPageBreak/>
        <w:br w:type="page"/>
      </w:r>
    </w:p>
    <w:p w14:paraId="472451D3" w14:textId="77777777" w:rsidR="00F8113B" w:rsidRDefault="00000000">
      <w:pPr>
        <w:ind w:left="3011" w:right="176"/>
        <w:jc w:val="both"/>
        <w:rPr>
          <w:b/>
        </w:rPr>
      </w:pPr>
      <w:r>
        <w:rPr>
          <w:b/>
        </w:rPr>
        <w:lastRenderedPageBreak/>
        <w:t>Signature Page</w:t>
      </w:r>
    </w:p>
    <w:p w14:paraId="5763EFFB" w14:textId="77777777" w:rsidR="00F8113B" w:rsidRDefault="00F8113B">
      <w:pPr>
        <w:pBdr>
          <w:top w:val="nil"/>
          <w:left w:val="nil"/>
          <w:bottom w:val="nil"/>
          <w:right w:val="nil"/>
          <w:between w:val="nil"/>
        </w:pBdr>
        <w:ind w:right="176"/>
        <w:jc w:val="both"/>
        <w:rPr>
          <w:b/>
          <w:color w:val="000000"/>
          <w:sz w:val="13"/>
          <w:szCs w:val="13"/>
        </w:rPr>
      </w:pPr>
    </w:p>
    <w:p w14:paraId="2FFA5257" w14:textId="77777777" w:rsidR="00F8113B" w:rsidRDefault="00000000">
      <w:pPr>
        <w:pBdr>
          <w:top w:val="nil"/>
          <w:left w:val="nil"/>
          <w:bottom w:val="nil"/>
          <w:right w:val="nil"/>
          <w:between w:val="nil"/>
        </w:pBdr>
        <w:ind w:left="279" w:right="176"/>
        <w:jc w:val="both"/>
        <w:rPr>
          <w:color w:val="000000"/>
        </w:rPr>
      </w:pPr>
      <w:r>
        <w:rPr>
          <w:color w:val="000000"/>
        </w:rPr>
        <w:t>Accepted and agreed:</w:t>
      </w:r>
    </w:p>
    <w:p w14:paraId="3135AB7F" w14:textId="77777777" w:rsidR="00F8113B" w:rsidRDefault="00F8113B">
      <w:pPr>
        <w:pBdr>
          <w:top w:val="nil"/>
          <w:left w:val="nil"/>
          <w:bottom w:val="nil"/>
          <w:right w:val="nil"/>
          <w:between w:val="nil"/>
        </w:pBdr>
        <w:ind w:right="176"/>
        <w:jc w:val="both"/>
        <w:rPr>
          <w:color w:val="000000"/>
        </w:rPr>
      </w:pPr>
    </w:p>
    <w:tbl>
      <w:tblPr>
        <w:tblStyle w:val="a0"/>
        <w:tblW w:w="8481"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0"/>
        <w:gridCol w:w="4291"/>
      </w:tblGrid>
      <w:tr w:rsidR="00F8113B" w14:paraId="50DCC70B" w14:textId="77777777">
        <w:trPr>
          <w:trHeight w:val="1209"/>
        </w:trPr>
        <w:tc>
          <w:tcPr>
            <w:tcW w:w="4190" w:type="dxa"/>
          </w:tcPr>
          <w:p w14:paraId="73010372" w14:textId="77777777" w:rsidR="00F8113B" w:rsidRDefault="00000000">
            <w:pPr>
              <w:pBdr>
                <w:top w:val="nil"/>
                <w:left w:val="nil"/>
                <w:bottom w:val="nil"/>
                <w:right w:val="nil"/>
                <w:between w:val="nil"/>
              </w:pBdr>
              <w:ind w:left="110" w:right="176"/>
              <w:jc w:val="both"/>
              <w:rPr>
                <w:b/>
                <w:color w:val="000000"/>
              </w:rPr>
            </w:pPr>
            <w:r>
              <w:rPr>
                <w:b/>
                <w:color w:val="000000"/>
              </w:rPr>
              <w:t>For and on behalf of the Company Name:</w:t>
            </w:r>
          </w:p>
          <w:p w14:paraId="08EE243A" w14:textId="77777777" w:rsidR="00F8113B" w:rsidRDefault="00000000">
            <w:pPr>
              <w:pBdr>
                <w:top w:val="nil"/>
                <w:left w:val="nil"/>
                <w:bottom w:val="nil"/>
                <w:right w:val="nil"/>
                <w:between w:val="nil"/>
              </w:pBdr>
              <w:ind w:left="110" w:right="176"/>
              <w:jc w:val="both"/>
              <w:rPr>
                <w:b/>
                <w:color w:val="000000"/>
              </w:rPr>
            </w:pPr>
            <w:r>
              <w:rPr>
                <w:b/>
                <w:color w:val="000000"/>
              </w:rPr>
              <w:t>Designation:</w:t>
            </w:r>
          </w:p>
        </w:tc>
        <w:tc>
          <w:tcPr>
            <w:tcW w:w="4291" w:type="dxa"/>
          </w:tcPr>
          <w:p w14:paraId="32F089A1" w14:textId="77777777" w:rsidR="00F8113B" w:rsidRDefault="00F8113B">
            <w:pPr>
              <w:pBdr>
                <w:top w:val="nil"/>
                <w:left w:val="nil"/>
                <w:bottom w:val="nil"/>
                <w:right w:val="nil"/>
                <w:between w:val="nil"/>
              </w:pBdr>
              <w:ind w:right="176"/>
              <w:jc w:val="both"/>
              <w:rPr>
                <w:color w:val="000000"/>
              </w:rPr>
            </w:pPr>
          </w:p>
        </w:tc>
      </w:tr>
      <w:tr w:rsidR="00F8113B" w14:paraId="5677B122" w14:textId="77777777">
        <w:trPr>
          <w:trHeight w:val="818"/>
        </w:trPr>
        <w:tc>
          <w:tcPr>
            <w:tcW w:w="4190" w:type="dxa"/>
          </w:tcPr>
          <w:p w14:paraId="40CCDDDE" w14:textId="77777777" w:rsidR="00F8113B" w:rsidRDefault="00000000">
            <w:pPr>
              <w:pBdr>
                <w:top w:val="nil"/>
                <w:left w:val="nil"/>
                <w:bottom w:val="nil"/>
                <w:right w:val="nil"/>
                <w:between w:val="nil"/>
              </w:pBdr>
              <w:ind w:left="110" w:right="176"/>
              <w:jc w:val="both"/>
              <w:rPr>
                <w:b/>
                <w:color w:val="000000"/>
              </w:rPr>
            </w:pPr>
            <w:r>
              <w:rPr>
                <w:b/>
                <w:color w:val="000000"/>
              </w:rPr>
              <w:t>By Founder 1 ()</w:t>
            </w:r>
          </w:p>
          <w:p w14:paraId="0E686492" w14:textId="77777777" w:rsidR="00F8113B" w:rsidRDefault="00F8113B">
            <w:pPr>
              <w:pBdr>
                <w:top w:val="nil"/>
                <w:left w:val="nil"/>
                <w:bottom w:val="nil"/>
                <w:right w:val="nil"/>
                <w:between w:val="nil"/>
              </w:pBdr>
              <w:ind w:right="176"/>
              <w:jc w:val="both"/>
              <w:rPr>
                <w:b/>
                <w:color w:val="000000"/>
              </w:rPr>
            </w:pPr>
          </w:p>
          <w:p w14:paraId="55E6DD20" w14:textId="77777777" w:rsidR="00F8113B" w:rsidRDefault="00F8113B">
            <w:pPr>
              <w:pBdr>
                <w:top w:val="nil"/>
                <w:left w:val="nil"/>
                <w:bottom w:val="nil"/>
                <w:right w:val="nil"/>
                <w:between w:val="nil"/>
              </w:pBdr>
              <w:ind w:left="110" w:right="176"/>
              <w:jc w:val="both"/>
              <w:rPr>
                <w:color w:val="000000"/>
              </w:rPr>
            </w:pPr>
          </w:p>
        </w:tc>
        <w:tc>
          <w:tcPr>
            <w:tcW w:w="4291" w:type="dxa"/>
          </w:tcPr>
          <w:p w14:paraId="14BDF549" w14:textId="77777777" w:rsidR="00F8113B" w:rsidRDefault="00F8113B">
            <w:pPr>
              <w:pBdr>
                <w:top w:val="nil"/>
                <w:left w:val="nil"/>
                <w:bottom w:val="nil"/>
                <w:right w:val="nil"/>
                <w:between w:val="nil"/>
              </w:pBdr>
              <w:ind w:right="176"/>
              <w:jc w:val="both"/>
              <w:rPr>
                <w:color w:val="000000"/>
              </w:rPr>
            </w:pPr>
          </w:p>
        </w:tc>
      </w:tr>
      <w:tr w:rsidR="00F8113B" w14:paraId="7C590FA9" w14:textId="77777777">
        <w:trPr>
          <w:trHeight w:val="532"/>
        </w:trPr>
        <w:tc>
          <w:tcPr>
            <w:tcW w:w="4190" w:type="dxa"/>
          </w:tcPr>
          <w:p w14:paraId="48D3475C" w14:textId="77777777" w:rsidR="00F8113B" w:rsidRDefault="00000000">
            <w:pPr>
              <w:pBdr>
                <w:top w:val="nil"/>
                <w:left w:val="nil"/>
                <w:bottom w:val="nil"/>
                <w:right w:val="nil"/>
                <w:between w:val="nil"/>
              </w:pBdr>
              <w:ind w:left="110" w:right="176"/>
              <w:jc w:val="both"/>
              <w:rPr>
                <w:b/>
                <w:color w:val="000000"/>
              </w:rPr>
            </w:pPr>
            <w:r>
              <w:rPr>
                <w:b/>
                <w:color w:val="000000"/>
              </w:rPr>
              <w:t>By Founder 2 ()</w:t>
            </w:r>
          </w:p>
          <w:p w14:paraId="6C655E60" w14:textId="77777777" w:rsidR="00F8113B" w:rsidRDefault="00F8113B">
            <w:pPr>
              <w:pBdr>
                <w:top w:val="nil"/>
                <w:left w:val="nil"/>
                <w:bottom w:val="nil"/>
                <w:right w:val="nil"/>
                <w:between w:val="nil"/>
              </w:pBdr>
              <w:ind w:left="110" w:right="176"/>
              <w:jc w:val="both"/>
              <w:rPr>
                <w:b/>
                <w:color w:val="000000"/>
              </w:rPr>
            </w:pPr>
          </w:p>
          <w:p w14:paraId="07E26D6F" w14:textId="77777777" w:rsidR="00F8113B" w:rsidRDefault="00F8113B">
            <w:pPr>
              <w:pBdr>
                <w:top w:val="nil"/>
                <w:left w:val="nil"/>
                <w:bottom w:val="nil"/>
                <w:right w:val="nil"/>
                <w:between w:val="nil"/>
              </w:pBdr>
              <w:ind w:left="110" w:right="176"/>
              <w:jc w:val="both"/>
              <w:rPr>
                <w:b/>
                <w:color w:val="000000"/>
              </w:rPr>
            </w:pPr>
          </w:p>
        </w:tc>
        <w:tc>
          <w:tcPr>
            <w:tcW w:w="4291" w:type="dxa"/>
          </w:tcPr>
          <w:p w14:paraId="148CE5D0" w14:textId="77777777" w:rsidR="00F8113B" w:rsidRDefault="00F8113B">
            <w:pPr>
              <w:pBdr>
                <w:top w:val="nil"/>
                <w:left w:val="nil"/>
                <w:bottom w:val="nil"/>
                <w:right w:val="nil"/>
                <w:between w:val="nil"/>
              </w:pBdr>
              <w:ind w:right="176"/>
              <w:jc w:val="both"/>
              <w:rPr>
                <w:color w:val="000000"/>
              </w:rPr>
            </w:pPr>
          </w:p>
        </w:tc>
      </w:tr>
      <w:tr w:rsidR="00F8113B" w14:paraId="1D452006" w14:textId="77777777">
        <w:trPr>
          <w:trHeight w:val="1266"/>
        </w:trPr>
        <w:tc>
          <w:tcPr>
            <w:tcW w:w="4190" w:type="dxa"/>
          </w:tcPr>
          <w:p w14:paraId="7FBAC1F3" w14:textId="77777777" w:rsidR="00F8113B" w:rsidRDefault="00000000">
            <w:pPr>
              <w:pBdr>
                <w:top w:val="nil"/>
                <w:left w:val="nil"/>
                <w:bottom w:val="nil"/>
                <w:right w:val="nil"/>
                <w:between w:val="nil"/>
              </w:pBdr>
              <w:ind w:left="110" w:right="176"/>
              <w:jc w:val="both"/>
              <w:rPr>
                <w:b/>
                <w:color w:val="000000"/>
              </w:rPr>
            </w:pPr>
            <w:r>
              <w:rPr>
                <w:b/>
                <w:color w:val="000000"/>
              </w:rPr>
              <w:t xml:space="preserve">For and on behalf of Lead Investor </w:t>
            </w:r>
          </w:p>
          <w:p w14:paraId="3AAF7559" w14:textId="77777777" w:rsidR="00F8113B" w:rsidRDefault="00000000">
            <w:pPr>
              <w:pBdr>
                <w:top w:val="nil"/>
                <w:left w:val="nil"/>
                <w:bottom w:val="nil"/>
                <w:right w:val="nil"/>
                <w:between w:val="nil"/>
              </w:pBdr>
              <w:ind w:left="110" w:right="176"/>
              <w:jc w:val="both"/>
              <w:rPr>
                <w:b/>
                <w:color w:val="000000"/>
              </w:rPr>
            </w:pPr>
            <w:r>
              <w:rPr>
                <w:b/>
                <w:color w:val="000000"/>
              </w:rPr>
              <w:t>pi Ventures Fund II</w:t>
            </w:r>
          </w:p>
          <w:p w14:paraId="7835AAB9" w14:textId="77777777" w:rsidR="00F8113B" w:rsidRDefault="00000000">
            <w:pPr>
              <w:pBdr>
                <w:top w:val="nil"/>
                <w:left w:val="nil"/>
                <w:bottom w:val="nil"/>
                <w:right w:val="nil"/>
                <w:between w:val="nil"/>
              </w:pBdr>
              <w:ind w:left="110" w:right="176"/>
              <w:jc w:val="both"/>
              <w:rPr>
                <w:b/>
                <w:color w:val="000000"/>
              </w:rPr>
            </w:pPr>
            <w:r>
              <w:rPr>
                <w:b/>
                <w:color w:val="000000"/>
              </w:rPr>
              <w:t>Name: Manish Singhal</w:t>
            </w:r>
          </w:p>
          <w:p w14:paraId="3DE381C7" w14:textId="77777777" w:rsidR="00F8113B" w:rsidRDefault="00000000">
            <w:pPr>
              <w:pBdr>
                <w:top w:val="nil"/>
                <w:left w:val="nil"/>
                <w:bottom w:val="nil"/>
                <w:right w:val="nil"/>
                <w:between w:val="nil"/>
              </w:pBdr>
              <w:ind w:left="110" w:right="176"/>
              <w:jc w:val="both"/>
              <w:rPr>
                <w:b/>
                <w:color w:val="000000"/>
              </w:rPr>
            </w:pPr>
            <w:r>
              <w:rPr>
                <w:b/>
                <w:color w:val="000000"/>
              </w:rPr>
              <w:t xml:space="preserve">Designation: </w:t>
            </w:r>
            <w:proofErr w:type="spellStart"/>
            <w:r>
              <w:rPr>
                <w:b/>
                <w:color w:val="000000"/>
              </w:rPr>
              <w:t>Authorised</w:t>
            </w:r>
            <w:proofErr w:type="spellEnd"/>
            <w:r>
              <w:rPr>
                <w:b/>
                <w:color w:val="000000"/>
              </w:rPr>
              <w:t xml:space="preserve"> Signatory</w:t>
            </w:r>
          </w:p>
        </w:tc>
        <w:tc>
          <w:tcPr>
            <w:tcW w:w="4291" w:type="dxa"/>
          </w:tcPr>
          <w:p w14:paraId="5BF691D3" w14:textId="77777777" w:rsidR="00F8113B" w:rsidRDefault="00F8113B">
            <w:pPr>
              <w:pBdr>
                <w:top w:val="nil"/>
                <w:left w:val="nil"/>
                <w:bottom w:val="nil"/>
                <w:right w:val="nil"/>
                <w:between w:val="nil"/>
              </w:pBdr>
              <w:ind w:right="176"/>
              <w:jc w:val="both"/>
              <w:rPr>
                <w:color w:val="000000"/>
              </w:rPr>
            </w:pPr>
          </w:p>
        </w:tc>
      </w:tr>
    </w:tbl>
    <w:p w14:paraId="7FEA4DE2" w14:textId="77777777" w:rsidR="00F8113B" w:rsidRDefault="00F8113B">
      <w:pPr>
        <w:ind w:left="3011" w:right="176"/>
        <w:jc w:val="both"/>
        <w:rPr>
          <w:b/>
          <w:u w:val="single"/>
        </w:rPr>
      </w:pPr>
    </w:p>
    <w:p w14:paraId="5ABAD0C9" w14:textId="77777777" w:rsidR="00F8113B" w:rsidRDefault="00000000">
      <w:pPr>
        <w:widowControl/>
        <w:spacing w:after="160" w:line="259" w:lineRule="auto"/>
        <w:rPr>
          <w:b/>
          <w:u w:val="single"/>
        </w:rPr>
      </w:pPr>
      <w:r>
        <w:br w:type="page"/>
      </w:r>
    </w:p>
    <w:p w14:paraId="4BE88842" w14:textId="77777777" w:rsidR="00F8113B" w:rsidRDefault="00000000">
      <w:pPr>
        <w:ind w:right="176"/>
        <w:jc w:val="center"/>
        <w:rPr>
          <w:b/>
        </w:rPr>
      </w:pPr>
      <w:r>
        <w:rPr>
          <w:b/>
          <w:u w:val="single"/>
        </w:rPr>
        <w:lastRenderedPageBreak/>
        <w:t>Schedule 1A</w:t>
      </w:r>
    </w:p>
    <w:p w14:paraId="32C032A1" w14:textId="77777777" w:rsidR="00F8113B" w:rsidRDefault="00F8113B">
      <w:pPr>
        <w:pBdr>
          <w:top w:val="nil"/>
          <w:left w:val="nil"/>
          <w:bottom w:val="nil"/>
          <w:right w:val="nil"/>
          <w:between w:val="nil"/>
        </w:pBdr>
        <w:ind w:right="176"/>
        <w:jc w:val="both"/>
        <w:rPr>
          <w:b/>
          <w:color w:val="000000"/>
          <w:sz w:val="13"/>
          <w:szCs w:val="13"/>
        </w:rPr>
      </w:pPr>
    </w:p>
    <w:p w14:paraId="12631E7C" w14:textId="77777777" w:rsidR="00F8113B" w:rsidRDefault="00000000">
      <w:pPr>
        <w:ind w:right="176"/>
        <w:jc w:val="center"/>
        <w:rPr>
          <w:b/>
          <w:u w:val="single"/>
        </w:rPr>
      </w:pPr>
      <w:sdt>
        <w:sdtPr>
          <w:tag w:val="goog_rdk_0"/>
          <w:id w:val="685482788"/>
        </w:sdtPr>
        <w:sdtContent/>
      </w:sdt>
      <w:r>
        <w:rPr>
          <w:b/>
          <w:u w:val="single"/>
        </w:rPr>
        <w:t>Shareholding Pattern (Current)</w:t>
      </w:r>
    </w:p>
    <w:p w14:paraId="7F954645" w14:textId="77777777" w:rsidR="00F8113B" w:rsidRDefault="00F8113B">
      <w:pPr>
        <w:ind w:left="3011" w:right="176"/>
        <w:jc w:val="both"/>
        <w:rPr>
          <w:b/>
          <w:u w:val="single"/>
        </w:rPr>
      </w:pPr>
    </w:p>
    <w:tbl>
      <w:tblPr>
        <w:tblStyle w:val="a1"/>
        <w:tblW w:w="8911" w:type="dxa"/>
        <w:jc w:val="center"/>
        <w:tblLayout w:type="fixed"/>
        <w:tblLook w:val="0400" w:firstRow="0" w:lastRow="0" w:firstColumn="0" w:lastColumn="0" w:noHBand="0" w:noVBand="1"/>
      </w:tblPr>
      <w:tblGrid>
        <w:gridCol w:w="6669"/>
        <w:gridCol w:w="1302"/>
        <w:gridCol w:w="940"/>
      </w:tblGrid>
      <w:tr w:rsidR="00F8113B" w14:paraId="16084DF6"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5D35C" w14:textId="77777777" w:rsidR="00F8113B" w:rsidRDefault="00000000">
            <w:pPr>
              <w:widowControl/>
              <w:jc w:val="center"/>
              <w:rPr>
                <w:b/>
                <w:color w:val="000000"/>
                <w:sz w:val="20"/>
                <w:szCs w:val="20"/>
              </w:rPr>
            </w:pPr>
            <w:r>
              <w:rPr>
                <w:b/>
                <w:color w:val="000000"/>
                <w:sz w:val="20"/>
                <w:szCs w:val="20"/>
              </w:rPr>
              <w:t>Name of shareholders</w:t>
            </w: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067A2181" w14:textId="77777777" w:rsidR="00F8113B" w:rsidRDefault="00000000">
            <w:pPr>
              <w:widowControl/>
              <w:jc w:val="center"/>
              <w:rPr>
                <w:b/>
                <w:color w:val="000000"/>
                <w:sz w:val="20"/>
                <w:szCs w:val="20"/>
              </w:rPr>
            </w:pPr>
            <w:r>
              <w:rPr>
                <w:b/>
                <w:color w:val="000000"/>
                <w:sz w:val="20"/>
                <w:szCs w:val="20"/>
              </w:rPr>
              <w:t>Total shares</w:t>
            </w:r>
          </w:p>
        </w:tc>
        <w:tc>
          <w:tcPr>
            <w:tcW w:w="940" w:type="dxa"/>
            <w:tcBorders>
              <w:top w:val="single" w:sz="4" w:space="0" w:color="000000"/>
              <w:left w:val="nil"/>
              <w:bottom w:val="single" w:sz="4" w:space="0" w:color="000000"/>
              <w:right w:val="single" w:sz="4" w:space="0" w:color="000000"/>
            </w:tcBorders>
            <w:shd w:val="clear" w:color="auto" w:fill="auto"/>
            <w:vAlign w:val="center"/>
          </w:tcPr>
          <w:p w14:paraId="1664045E" w14:textId="77777777" w:rsidR="00F8113B" w:rsidRDefault="00000000">
            <w:pPr>
              <w:widowControl/>
              <w:jc w:val="center"/>
              <w:rPr>
                <w:b/>
                <w:color w:val="000000"/>
                <w:sz w:val="20"/>
                <w:szCs w:val="20"/>
              </w:rPr>
            </w:pPr>
            <w:r>
              <w:rPr>
                <w:b/>
                <w:color w:val="000000"/>
                <w:sz w:val="20"/>
                <w:szCs w:val="20"/>
              </w:rPr>
              <w:t>%</w:t>
            </w:r>
          </w:p>
        </w:tc>
      </w:tr>
      <w:tr w:rsidR="00F8113B" w14:paraId="16D164C4"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57A3989A"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3A223BAA"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4E57BBED" w14:textId="77777777" w:rsidR="00F8113B" w:rsidRDefault="00F8113B">
            <w:pPr>
              <w:widowControl/>
              <w:jc w:val="right"/>
              <w:rPr>
                <w:b/>
                <w:color w:val="000000"/>
                <w:sz w:val="20"/>
                <w:szCs w:val="20"/>
              </w:rPr>
            </w:pPr>
          </w:p>
        </w:tc>
      </w:tr>
      <w:tr w:rsidR="00F8113B" w14:paraId="48F715D9"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7A137BBB"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587EAE8B"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0EFADCD8" w14:textId="77777777" w:rsidR="00F8113B" w:rsidRDefault="00F8113B">
            <w:pPr>
              <w:widowControl/>
              <w:jc w:val="right"/>
              <w:rPr>
                <w:b/>
                <w:color w:val="000000"/>
                <w:sz w:val="20"/>
                <w:szCs w:val="20"/>
              </w:rPr>
            </w:pPr>
          </w:p>
        </w:tc>
      </w:tr>
      <w:tr w:rsidR="00F8113B" w14:paraId="3BD25DFA"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4A0DF555"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14898D02"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7BF33201" w14:textId="77777777" w:rsidR="00F8113B" w:rsidRDefault="00F8113B">
            <w:pPr>
              <w:widowControl/>
              <w:jc w:val="right"/>
              <w:rPr>
                <w:b/>
                <w:color w:val="000000"/>
                <w:sz w:val="20"/>
                <w:szCs w:val="20"/>
              </w:rPr>
            </w:pPr>
          </w:p>
        </w:tc>
      </w:tr>
      <w:tr w:rsidR="00F8113B" w14:paraId="3121A389"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106C255A"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1FE1A5E5"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2EA5FE83" w14:textId="77777777" w:rsidR="00F8113B" w:rsidRDefault="00F8113B">
            <w:pPr>
              <w:widowControl/>
              <w:jc w:val="right"/>
              <w:rPr>
                <w:b/>
                <w:color w:val="000000"/>
                <w:sz w:val="20"/>
                <w:szCs w:val="20"/>
              </w:rPr>
            </w:pPr>
          </w:p>
        </w:tc>
      </w:tr>
      <w:tr w:rsidR="00F8113B" w14:paraId="31CC8F17"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728B7E3B"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6C7697DD"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1CACF1FF" w14:textId="77777777" w:rsidR="00F8113B" w:rsidRDefault="00F8113B">
            <w:pPr>
              <w:widowControl/>
              <w:jc w:val="right"/>
              <w:rPr>
                <w:b/>
                <w:color w:val="000000"/>
                <w:sz w:val="20"/>
                <w:szCs w:val="20"/>
              </w:rPr>
            </w:pPr>
          </w:p>
        </w:tc>
      </w:tr>
      <w:tr w:rsidR="00F8113B" w14:paraId="7F5B6E73"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A3BD3" w14:textId="77777777" w:rsidR="00F8113B" w:rsidRDefault="00F8113B">
            <w:pPr>
              <w:widowControl/>
              <w:jc w:val="center"/>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2AF5D8A8" w14:textId="77777777" w:rsidR="00F8113B" w:rsidRDefault="00F8113B">
            <w:pPr>
              <w:widowControl/>
              <w:jc w:val="center"/>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vAlign w:val="center"/>
          </w:tcPr>
          <w:p w14:paraId="3485780E" w14:textId="77777777" w:rsidR="00F8113B" w:rsidRDefault="00F8113B">
            <w:pPr>
              <w:widowControl/>
              <w:jc w:val="center"/>
              <w:rPr>
                <w:b/>
                <w:color w:val="000000"/>
                <w:sz w:val="20"/>
                <w:szCs w:val="20"/>
              </w:rPr>
            </w:pPr>
          </w:p>
        </w:tc>
      </w:tr>
      <w:tr w:rsidR="00F8113B" w14:paraId="00E618A0" w14:textId="77777777">
        <w:trPr>
          <w:jc w:val="center"/>
        </w:trPr>
        <w:tc>
          <w:tcPr>
            <w:tcW w:w="6669" w:type="dxa"/>
            <w:tcBorders>
              <w:top w:val="nil"/>
              <w:left w:val="single" w:sz="4" w:space="0" w:color="000000"/>
              <w:bottom w:val="single" w:sz="4" w:space="0" w:color="000000"/>
              <w:right w:val="single" w:sz="4" w:space="0" w:color="000000"/>
            </w:tcBorders>
            <w:shd w:val="clear" w:color="auto" w:fill="auto"/>
            <w:vAlign w:val="center"/>
          </w:tcPr>
          <w:p w14:paraId="71A928E9" w14:textId="77777777" w:rsidR="00F8113B" w:rsidRDefault="00000000">
            <w:pPr>
              <w:widowControl/>
              <w:jc w:val="center"/>
              <w:rPr>
                <w:b/>
                <w:color w:val="000000"/>
                <w:sz w:val="20"/>
                <w:szCs w:val="20"/>
              </w:rPr>
            </w:pPr>
            <w:r>
              <w:rPr>
                <w:b/>
                <w:color w:val="000000"/>
                <w:sz w:val="20"/>
                <w:szCs w:val="20"/>
              </w:rPr>
              <w:t>Total</w:t>
            </w:r>
          </w:p>
        </w:tc>
        <w:tc>
          <w:tcPr>
            <w:tcW w:w="1302" w:type="dxa"/>
            <w:tcBorders>
              <w:top w:val="nil"/>
              <w:left w:val="nil"/>
              <w:bottom w:val="single" w:sz="4" w:space="0" w:color="000000"/>
              <w:right w:val="single" w:sz="4" w:space="0" w:color="000000"/>
            </w:tcBorders>
            <w:shd w:val="clear" w:color="auto" w:fill="auto"/>
            <w:vAlign w:val="center"/>
          </w:tcPr>
          <w:p w14:paraId="01936BA8" w14:textId="77777777" w:rsidR="00F8113B" w:rsidRDefault="00F8113B">
            <w:pPr>
              <w:widowControl/>
              <w:jc w:val="right"/>
              <w:rPr>
                <w:b/>
                <w:color w:val="000000"/>
                <w:sz w:val="20"/>
                <w:szCs w:val="20"/>
              </w:rPr>
            </w:pPr>
          </w:p>
        </w:tc>
        <w:tc>
          <w:tcPr>
            <w:tcW w:w="940" w:type="dxa"/>
            <w:tcBorders>
              <w:top w:val="nil"/>
              <w:left w:val="nil"/>
              <w:bottom w:val="single" w:sz="4" w:space="0" w:color="000000"/>
              <w:right w:val="single" w:sz="4" w:space="0" w:color="000000"/>
            </w:tcBorders>
            <w:shd w:val="clear" w:color="auto" w:fill="auto"/>
            <w:vAlign w:val="center"/>
          </w:tcPr>
          <w:p w14:paraId="0F95CCFF" w14:textId="77777777" w:rsidR="00F8113B" w:rsidRDefault="00000000">
            <w:pPr>
              <w:widowControl/>
              <w:jc w:val="right"/>
              <w:rPr>
                <w:b/>
                <w:color w:val="000000"/>
                <w:sz w:val="20"/>
                <w:szCs w:val="20"/>
              </w:rPr>
            </w:pPr>
            <w:r>
              <w:rPr>
                <w:b/>
                <w:color w:val="000000"/>
                <w:sz w:val="20"/>
                <w:szCs w:val="20"/>
              </w:rPr>
              <w:t>100.0</w:t>
            </w:r>
          </w:p>
        </w:tc>
      </w:tr>
      <w:tr w:rsidR="00F8113B" w14:paraId="13E016CB" w14:textId="77777777">
        <w:trPr>
          <w:jc w:val="center"/>
        </w:trPr>
        <w:tc>
          <w:tcPr>
            <w:tcW w:w="6669" w:type="dxa"/>
            <w:tcBorders>
              <w:top w:val="nil"/>
              <w:left w:val="nil"/>
              <w:bottom w:val="nil"/>
              <w:right w:val="nil"/>
            </w:tcBorders>
            <w:shd w:val="clear" w:color="auto" w:fill="auto"/>
            <w:vAlign w:val="center"/>
          </w:tcPr>
          <w:p w14:paraId="164B63C5" w14:textId="77777777" w:rsidR="00F8113B" w:rsidRDefault="00F8113B">
            <w:pPr>
              <w:widowControl/>
              <w:jc w:val="center"/>
              <w:rPr>
                <w:b/>
                <w:color w:val="000000"/>
                <w:sz w:val="20"/>
                <w:szCs w:val="20"/>
              </w:rPr>
            </w:pPr>
          </w:p>
        </w:tc>
        <w:tc>
          <w:tcPr>
            <w:tcW w:w="1302" w:type="dxa"/>
            <w:tcBorders>
              <w:top w:val="nil"/>
              <w:left w:val="nil"/>
              <w:bottom w:val="nil"/>
              <w:right w:val="nil"/>
            </w:tcBorders>
            <w:shd w:val="clear" w:color="auto" w:fill="auto"/>
            <w:vAlign w:val="center"/>
          </w:tcPr>
          <w:p w14:paraId="653F29C9" w14:textId="77777777" w:rsidR="00F8113B" w:rsidRDefault="00F8113B">
            <w:pPr>
              <w:widowControl/>
              <w:jc w:val="right"/>
              <w:rPr>
                <w:b/>
                <w:color w:val="000000"/>
                <w:sz w:val="20"/>
                <w:szCs w:val="20"/>
              </w:rPr>
            </w:pPr>
          </w:p>
        </w:tc>
        <w:tc>
          <w:tcPr>
            <w:tcW w:w="940" w:type="dxa"/>
            <w:tcBorders>
              <w:top w:val="nil"/>
              <w:left w:val="nil"/>
              <w:bottom w:val="nil"/>
              <w:right w:val="nil"/>
            </w:tcBorders>
            <w:shd w:val="clear" w:color="auto" w:fill="auto"/>
            <w:vAlign w:val="center"/>
          </w:tcPr>
          <w:p w14:paraId="4332EDF8" w14:textId="77777777" w:rsidR="00F8113B" w:rsidRDefault="00F8113B">
            <w:pPr>
              <w:widowControl/>
              <w:jc w:val="right"/>
              <w:rPr>
                <w:b/>
                <w:color w:val="000000"/>
                <w:sz w:val="20"/>
                <w:szCs w:val="20"/>
              </w:rPr>
            </w:pPr>
          </w:p>
        </w:tc>
      </w:tr>
    </w:tbl>
    <w:p w14:paraId="16D7191B" w14:textId="77777777" w:rsidR="00F8113B" w:rsidRDefault="00F8113B"/>
    <w:p w14:paraId="54EACC7E" w14:textId="77777777" w:rsidR="00F8113B" w:rsidRDefault="00F8113B"/>
    <w:p w14:paraId="4EB3D3A4" w14:textId="77777777" w:rsidR="00F8113B" w:rsidRDefault="00000000">
      <w:pPr>
        <w:ind w:right="176"/>
        <w:jc w:val="center"/>
        <w:rPr>
          <w:b/>
        </w:rPr>
      </w:pPr>
      <w:r>
        <w:rPr>
          <w:b/>
          <w:u w:val="single"/>
        </w:rPr>
        <w:t>Schedule 1B</w:t>
      </w:r>
    </w:p>
    <w:p w14:paraId="63CB1A8F" w14:textId="77777777" w:rsidR="00F8113B" w:rsidRDefault="00F8113B">
      <w:pPr>
        <w:pBdr>
          <w:top w:val="nil"/>
          <w:left w:val="nil"/>
          <w:bottom w:val="nil"/>
          <w:right w:val="nil"/>
          <w:between w:val="nil"/>
        </w:pBdr>
        <w:ind w:right="176"/>
        <w:jc w:val="both"/>
        <w:rPr>
          <w:b/>
          <w:color w:val="000000"/>
          <w:sz w:val="13"/>
          <w:szCs w:val="13"/>
        </w:rPr>
      </w:pPr>
    </w:p>
    <w:p w14:paraId="01C6D3F1" w14:textId="77777777" w:rsidR="00F8113B" w:rsidRDefault="00000000">
      <w:pPr>
        <w:ind w:right="176"/>
        <w:jc w:val="center"/>
        <w:rPr>
          <w:b/>
          <w:u w:val="single"/>
        </w:rPr>
      </w:pPr>
      <w:r>
        <w:rPr>
          <w:b/>
          <w:u w:val="single"/>
        </w:rPr>
        <w:t>Indicative Shareholding Pattern (Post closing)</w:t>
      </w:r>
    </w:p>
    <w:p w14:paraId="43BD7EEC" w14:textId="77777777" w:rsidR="00F8113B" w:rsidRDefault="00F8113B">
      <w:pPr>
        <w:ind w:left="3011" w:right="176"/>
        <w:jc w:val="both"/>
        <w:rPr>
          <w:b/>
          <w:u w:val="single"/>
        </w:rPr>
      </w:pPr>
    </w:p>
    <w:tbl>
      <w:tblPr>
        <w:tblStyle w:val="a2"/>
        <w:tblW w:w="8911" w:type="dxa"/>
        <w:jc w:val="center"/>
        <w:tblLayout w:type="fixed"/>
        <w:tblLook w:val="0400" w:firstRow="0" w:lastRow="0" w:firstColumn="0" w:lastColumn="0" w:noHBand="0" w:noVBand="1"/>
      </w:tblPr>
      <w:tblGrid>
        <w:gridCol w:w="6669"/>
        <w:gridCol w:w="1302"/>
        <w:gridCol w:w="940"/>
      </w:tblGrid>
      <w:tr w:rsidR="00F8113B" w14:paraId="75EC7FCA"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EA51" w14:textId="77777777" w:rsidR="00F8113B" w:rsidRDefault="00000000">
            <w:pPr>
              <w:widowControl/>
              <w:jc w:val="center"/>
              <w:rPr>
                <w:b/>
                <w:color w:val="000000"/>
                <w:sz w:val="20"/>
                <w:szCs w:val="20"/>
              </w:rPr>
            </w:pPr>
            <w:r>
              <w:rPr>
                <w:b/>
                <w:color w:val="000000"/>
                <w:sz w:val="20"/>
                <w:szCs w:val="20"/>
              </w:rPr>
              <w:t>Name of shareholders</w:t>
            </w: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38BC1A51" w14:textId="77777777" w:rsidR="00F8113B" w:rsidRDefault="00000000">
            <w:pPr>
              <w:widowControl/>
              <w:jc w:val="center"/>
              <w:rPr>
                <w:b/>
                <w:color w:val="000000"/>
                <w:sz w:val="20"/>
                <w:szCs w:val="20"/>
              </w:rPr>
            </w:pPr>
            <w:r>
              <w:rPr>
                <w:b/>
                <w:color w:val="000000"/>
                <w:sz w:val="20"/>
                <w:szCs w:val="20"/>
              </w:rPr>
              <w:t>Total shares</w:t>
            </w:r>
          </w:p>
        </w:tc>
        <w:tc>
          <w:tcPr>
            <w:tcW w:w="940" w:type="dxa"/>
            <w:tcBorders>
              <w:top w:val="single" w:sz="4" w:space="0" w:color="000000"/>
              <w:left w:val="nil"/>
              <w:bottom w:val="single" w:sz="4" w:space="0" w:color="000000"/>
              <w:right w:val="single" w:sz="4" w:space="0" w:color="000000"/>
            </w:tcBorders>
            <w:shd w:val="clear" w:color="auto" w:fill="auto"/>
            <w:vAlign w:val="center"/>
          </w:tcPr>
          <w:p w14:paraId="234A56B1" w14:textId="77777777" w:rsidR="00F8113B" w:rsidRDefault="00000000">
            <w:pPr>
              <w:widowControl/>
              <w:jc w:val="center"/>
              <w:rPr>
                <w:b/>
                <w:color w:val="000000"/>
                <w:sz w:val="20"/>
                <w:szCs w:val="20"/>
              </w:rPr>
            </w:pPr>
            <w:r>
              <w:rPr>
                <w:b/>
                <w:color w:val="000000"/>
                <w:sz w:val="20"/>
                <w:szCs w:val="20"/>
              </w:rPr>
              <w:t>%</w:t>
            </w:r>
          </w:p>
        </w:tc>
      </w:tr>
      <w:tr w:rsidR="00F8113B" w14:paraId="42739789"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0CEF7121"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58D3C57F"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4F4C700E" w14:textId="77777777" w:rsidR="00F8113B" w:rsidRDefault="00F8113B">
            <w:pPr>
              <w:widowControl/>
              <w:jc w:val="right"/>
              <w:rPr>
                <w:b/>
                <w:color w:val="000000"/>
                <w:sz w:val="20"/>
                <w:szCs w:val="20"/>
              </w:rPr>
            </w:pPr>
          </w:p>
        </w:tc>
      </w:tr>
      <w:tr w:rsidR="00F8113B" w14:paraId="03E9CD1A"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6789436D"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17EC9294"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69BFF368" w14:textId="77777777" w:rsidR="00F8113B" w:rsidRDefault="00F8113B">
            <w:pPr>
              <w:widowControl/>
              <w:jc w:val="right"/>
              <w:rPr>
                <w:b/>
                <w:color w:val="000000"/>
                <w:sz w:val="20"/>
                <w:szCs w:val="20"/>
              </w:rPr>
            </w:pPr>
          </w:p>
        </w:tc>
      </w:tr>
      <w:tr w:rsidR="00F8113B" w14:paraId="2A78C235"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3B6E1CA3"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0A4D69EB"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56E50189" w14:textId="77777777" w:rsidR="00F8113B" w:rsidRDefault="00F8113B">
            <w:pPr>
              <w:widowControl/>
              <w:jc w:val="right"/>
              <w:rPr>
                <w:b/>
                <w:color w:val="000000"/>
                <w:sz w:val="20"/>
                <w:szCs w:val="20"/>
              </w:rPr>
            </w:pPr>
          </w:p>
        </w:tc>
      </w:tr>
      <w:tr w:rsidR="00F8113B" w14:paraId="6143F1A3"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75BF3222"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42F33C1C"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0855DE75" w14:textId="77777777" w:rsidR="00F8113B" w:rsidRDefault="00F8113B">
            <w:pPr>
              <w:widowControl/>
              <w:jc w:val="right"/>
              <w:rPr>
                <w:b/>
                <w:color w:val="000000"/>
                <w:sz w:val="20"/>
                <w:szCs w:val="20"/>
              </w:rPr>
            </w:pPr>
          </w:p>
        </w:tc>
      </w:tr>
      <w:tr w:rsidR="00F8113B" w14:paraId="06DB9DBD"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0699F0D5" w14:textId="77777777" w:rsidR="00F8113B" w:rsidRDefault="00F8113B">
            <w:pPr>
              <w:widowControl/>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5AB8BD18" w14:textId="77777777" w:rsidR="00F8113B" w:rsidRDefault="00F8113B">
            <w:pPr>
              <w:widowControl/>
              <w:jc w:val="right"/>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7C3B37E1" w14:textId="77777777" w:rsidR="00F8113B" w:rsidRDefault="00F8113B">
            <w:pPr>
              <w:widowControl/>
              <w:jc w:val="right"/>
              <w:rPr>
                <w:b/>
                <w:color w:val="000000"/>
                <w:sz w:val="20"/>
                <w:szCs w:val="20"/>
              </w:rPr>
            </w:pPr>
          </w:p>
        </w:tc>
      </w:tr>
      <w:tr w:rsidR="00F8113B" w14:paraId="39824707"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323F1DD3" w14:textId="77777777" w:rsidR="00F8113B" w:rsidRDefault="00F8113B">
            <w:pPr>
              <w:widowControl/>
              <w:rPr>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3A67EA0A" w14:textId="77777777" w:rsidR="00F8113B" w:rsidRDefault="00F8113B">
            <w:pPr>
              <w:widowControl/>
              <w:jc w:val="right"/>
              <w:rPr>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3F8A58ED" w14:textId="77777777" w:rsidR="00F8113B" w:rsidRDefault="00F8113B">
            <w:pPr>
              <w:widowControl/>
              <w:jc w:val="right"/>
              <w:rPr>
                <w:sz w:val="20"/>
                <w:szCs w:val="20"/>
              </w:rPr>
            </w:pPr>
          </w:p>
        </w:tc>
      </w:tr>
      <w:tr w:rsidR="00F8113B" w14:paraId="13489D35"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55EBA398" w14:textId="77777777" w:rsidR="00F8113B" w:rsidRDefault="00F8113B">
            <w:pPr>
              <w:widowControl/>
              <w:rPr>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4BEFE612" w14:textId="77777777" w:rsidR="00F8113B" w:rsidRDefault="00F8113B">
            <w:pPr>
              <w:widowControl/>
              <w:jc w:val="right"/>
              <w:rPr>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4D5A10F0" w14:textId="77777777" w:rsidR="00F8113B" w:rsidRDefault="00F8113B">
            <w:pPr>
              <w:widowControl/>
              <w:jc w:val="right"/>
              <w:rPr>
                <w:sz w:val="20"/>
                <w:szCs w:val="20"/>
              </w:rPr>
            </w:pPr>
          </w:p>
        </w:tc>
      </w:tr>
      <w:tr w:rsidR="00F8113B" w14:paraId="11BEAE99"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tcPr>
          <w:p w14:paraId="63C3C1CF" w14:textId="77777777" w:rsidR="00F8113B" w:rsidRDefault="00F8113B">
            <w:pPr>
              <w:widowControl/>
              <w:rPr>
                <w:sz w:val="20"/>
                <w:szCs w:val="20"/>
              </w:rPr>
            </w:pPr>
          </w:p>
        </w:tc>
        <w:tc>
          <w:tcPr>
            <w:tcW w:w="1302" w:type="dxa"/>
            <w:tcBorders>
              <w:top w:val="single" w:sz="4" w:space="0" w:color="000000"/>
              <w:left w:val="nil"/>
              <w:bottom w:val="single" w:sz="4" w:space="0" w:color="000000"/>
              <w:right w:val="single" w:sz="4" w:space="0" w:color="000000"/>
            </w:tcBorders>
            <w:shd w:val="clear" w:color="auto" w:fill="auto"/>
          </w:tcPr>
          <w:p w14:paraId="67EF0DF2" w14:textId="77777777" w:rsidR="00F8113B" w:rsidRDefault="00F8113B">
            <w:pPr>
              <w:widowControl/>
              <w:jc w:val="right"/>
              <w:rPr>
                <w:sz w:val="20"/>
                <w:szCs w:val="20"/>
              </w:rPr>
            </w:pPr>
          </w:p>
        </w:tc>
        <w:tc>
          <w:tcPr>
            <w:tcW w:w="940" w:type="dxa"/>
            <w:tcBorders>
              <w:top w:val="single" w:sz="4" w:space="0" w:color="000000"/>
              <w:left w:val="nil"/>
              <w:bottom w:val="single" w:sz="4" w:space="0" w:color="000000"/>
              <w:right w:val="single" w:sz="4" w:space="0" w:color="000000"/>
            </w:tcBorders>
            <w:shd w:val="clear" w:color="auto" w:fill="auto"/>
          </w:tcPr>
          <w:p w14:paraId="58F6DE65" w14:textId="77777777" w:rsidR="00F8113B" w:rsidRDefault="00F8113B">
            <w:pPr>
              <w:widowControl/>
              <w:jc w:val="right"/>
              <w:rPr>
                <w:sz w:val="20"/>
                <w:szCs w:val="20"/>
              </w:rPr>
            </w:pPr>
          </w:p>
        </w:tc>
      </w:tr>
      <w:tr w:rsidR="00F8113B" w14:paraId="50832A23" w14:textId="77777777">
        <w:trPr>
          <w:jc w:val="center"/>
        </w:trPr>
        <w:tc>
          <w:tcPr>
            <w:tcW w:w="6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D841" w14:textId="77777777" w:rsidR="00F8113B" w:rsidRDefault="00F8113B">
            <w:pPr>
              <w:widowControl/>
              <w:jc w:val="center"/>
              <w:rPr>
                <w:b/>
                <w:color w:val="000000"/>
                <w:sz w:val="20"/>
                <w:szCs w:val="20"/>
              </w:rPr>
            </w:pP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48412A0D" w14:textId="77777777" w:rsidR="00F8113B" w:rsidRDefault="00F8113B">
            <w:pPr>
              <w:widowControl/>
              <w:jc w:val="center"/>
              <w:rPr>
                <w:b/>
                <w:color w:val="000000"/>
                <w:sz w:val="20"/>
                <w:szCs w:val="20"/>
              </w:rPr>
            </w:pPr>
          </w:p>
        </w:tc>
        <w:tc>
          <w:tcPr>
            <w:tcW w:w="940" w:type="dxa"/>
            <w:tcBorders>
              <w:top w:val="single" w:sz="4" w:space="0" w:color="000000"/>
              <w:left w:val="nil"/>
              <w:bottom w:val="single" w:sz="4" w:space="0" w:color="000000"/>
              <w:right w:val="single" w:sz="4" w:space="0" w:color="000000"/>
            </w:tcBorders>
            <w:shd w:val="clear" w:color="auto" w:fill="auto"/>
            <w:vAlign w:val="center"/>
          </w:tcPr>
          <w:p w14:paraId="06F718E8" w14:textId="77777777" w:rsidR="00F8113B" w:rsidRDefault="00F8113B">
            <w:pPr>
              <w:widowControl/>
              <w:jc w:val="right"/>
              <w:rPr>
                <w:b/>
                <w:color w:val="000000"/>
                <w:sz w:val="20"/>
                <w:szCs w:val="20"/>
              </w:rPr>
            </w:pPr>
          </w:p>
        </w:tc>
      </w:tr>
      <w:tr w:rsidR="00F8113B" w14:paraId="3BC64168" w14:textId="77777777">
        <w:trPr>
          <w:jc w:val="center"/>
        </w:trPr>
        <w:tc>
          <w:tcPr>
            <w:tcW w:w="6669" w:type="dxa"/>
            <w:tcBorders>
              <w:top w:val="nil"/>
              <w:left w:val="single" w:sz="4" w:space="0" w:color="000000"/>
              <w:bottom w:val="single" w:sz="4" w:space="0" w:color="000000"/>
              <w:right w:val="single" w:sz="4" w:space="0" w:color="000000"/>
            </w:tcBorders>
            <w:shd w:val="clear" w:color="auto" w:fill="auto"/>
            <w:vAlign w:val="center"/>
          </w:tcPr>
          <w:p w14:paraId="52F460D9" w14:textId="77777777" w:rsidR="00F8113B" w:rsidRDefault="00000000">
            <w:pPr>
              <w:widowControl/>
              <w:jc w:val="center"/>
              <w:rPr>
                <w:b/>
                <w:color w:val="000000"/>
                <w:sz w:val="20"/>
                <w:szCs w:val="20"/>
              </w:rPr>
            </w:pPr>
            <w:r>
              <w:rPr>
                <w:b/>
                <w:color w:val="000000"/>
                <w:sz w:val="20"/>
                <w:szCs w:val="20"/>
              </w:rPr>
              <w:t>Total</w:t>
            </w:r>
          </w:p>
        </w:tc>
        <w:tc>
          <w:tcPr>
            <w:tcW w:w="1302" w:type="dxa"/>
            <w:tcBorders>
              <w:top w:val="nil"/>
              <w:left w:val="nil"/>
              <w:bottom w:val="single" w:sz="4" w:space="0" w:color="000000"/>
              <w:right w:val="single" w:sz="4" w:space="0" w:color="000000"/>
            </w:tcBorders>
            <w:shd w:val="clear" w:color="auto" w:fill="auto"/>
            <w:vAlign w:val="center"/>
          </w:tcPr>
          <w:p w14:paraId="04344066" w14:textId="77777777" w:rsidR="00F8113B" w:rsidRDefault="00F8113B">
            <w:pPr>
              <w:widowControl/>
              <w:jc w:val="right"/>
              <w:rPr>
                <w:b/>
                <w:color w:val="000000"/>
                <w:sz w:val="20"/>
                <w:szCs w:val="20"/>
              </w:rPr>
            </w:pPr>
          </w:p>
        </w:tc>
        <w:tc>
          <w:tcPr>
            <w:tcW w:w="940" w:type="dxa"/>
            <w:tcBorders>
              <w:top w:val="nil"/>
              <w:left w:val="nil"/>
              <w:bottom w:val="single" w:sz="4" w:space="0" w:color="000000"/>
              <w:right w:val="single" w:sz="4" w:space="0" w:color="000000"/>
            </w:tcBorders>
            <w:shd w:val="clear" w:color="auto" w:fill="auto"/>
            <w:vAlign w:val="center"/>
          </w:tcPr>
          <w:p w14:paraId="63973B2E" w14:textId="77777777" w:rsidR="00F8113B" w:rsidRDefault="00000000">
            <w:pPr>
              <w:widowControl/>
              <w:jc w:val="right"/>
              <w:rPr>
                <w:b/>
                <w:color w:val="000000"/>
                <w:sz w:val="20"/>
                <w:szCs w:val="20"/>
              </w:rPr>
            </w:pPr>
            <w:r>
              <w:rPr>
                <w:b/>
                <w:color w:val="000000"/>
                <w:sz w:val="20"/>
                <w:szCs w:val="20"/>
              </w:rPr>
              <w:t>100.0</w:t>
            </w:r>
          </w:p>
        </w:tc>
      </w:tr>
    </w:tbl>
    <w:p w14:paraId="3FC809A0" w14:textId="77777777" w:rsidR="00F8113B" w:rsidRDefault="00F8113B"/>
    <w:sectPr w:rsidR="00F8113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F803" w14:textId="77777777" w:rsidR="003A3B8C" w:rsidRDefault="003A3B8C">
      <w:r>
        <w:separator/>
      </w:r>
    </w:p>
  </w:endnote>
  <w:endnote w:type="continuationSeparator" w:id="0">
    <w:p w14:paraId="545B74DC" w14:textId="77777777" w:rsidR="003A3B8C" w:rsidRDefault="003A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7CAF" w14:textId="77777777" w:rsidR="00F8113B" w:rsidRDefault="00000000">
    <w:pPr>
      <w:pBdr>
        <w:top w:val="nil"/>
        <w:left w:val="nil"/>
        <w:bottom w:val="nil"/>
        <w:right w:val="nil"/>
        <w:between w:val="nil"/>
      </w:pBdr>
      <w:tabs>
        <w:tab w:val="center" w:pos="4513"/>
        <w:tab w:val="right" w:pos="9026"/>
      </w:tabs>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6168DD">
      <w:rPr>
        <w:smallCaps/>
        <w:noProof/>
        <w:color w:val="000000"/>
      </w:rPr>
      <w:t>1</w:t>
    </w:r>
    <w:r>
      <w:rPr>
        <w:smallCap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1275" w14:textId="77777777" w:rsidR="003A3B8C" w:rsidRDefault="003A3B8C">
      <w:r>
        <w:separator/>
      </w:r>
    </w:p>
  </w:footnote>
  <w:footnote w:type="continuationSeparator" w:id="0">
    <w:p w14:paraId="4BE71180" w14:textId="77777777" w:rsidR="003A3B8C" w:rsidRDefault="003A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4E2" w14:textId="3D7FAD05" w:rsidR="00F8113B" w:rsidRDefault="00675E98" w:rsidP="00675E98">
    <w:pPr>
      <w:pBdr>
        <w:top w:val="nil"/>
        <w:left w:val="nil"/>
        <w:bottom w:val="nil"/>
        <w:right w:val="nil"/>
        <w:between w:val="nil"/>
      </w:pBdr>
      <w:tabs>
        <w:tab w:val="center" w:pos="4513"/>
        <w:tab w:val="right" w:pos="9026"/>
      </w:tabs>
      <w:jc w:val="center"/>
      <w:rPr>
        <w:color w:val="000000"/>
      </w:rPr>
    </w:pPr>
    <w:r>
      <w:rPr>
        <w:color w:val="000000"/>
      </w:rPr>
      <w:t>R</w:t>
    </w:r>
    <w:r w:rsidRPr="00675E98">
      <w:rPr>
        <w:color w:val="000000"/>
      </w:rPr>
      <w:t xml:space="preserve">epresentative </w:t>
    </w:r>
    <w:r>
      <w:rPr>
        <w:color w:val="000000"/>
      </w:rPr>
      <w:t>T</w:t>
    </w:r>
    <w:r w:rsidRPr="00675E98">
      <w:rPr>
        <w:color w:val="000000"/>
      </w:rPr>
      <w:t xml:space="preserve">erm </w:t>
    </w:r>
    <w:r>
      <w:rPr>
        <w:color w:val="000000"/>
      </w:rPr>
      <w:t>S</w:t>
    </w:r>
    <w:r w:rsidRPr="00675E98">
      <w:rPr>
        <w:color w:val="000000"/>
      </w:rPr>
      <w:t xml:space="preserve">heet - </w:t>
    </w:r>
    <w:r>
      <w:rPr>
        <w:color w:val="000000"/>
      </w:rPr>
      <w:t>A</w:t>
    </w:r>
    <w:r w:rsidRPr="00675E98">
      <w:rPr>
        <w:color w:val="000000"/>
      </w:rPr>
      <w:t>ctual terms may vary from investment to investment</w:t>
    </w:r>
    <w:r w:rsidR="00000000">
      <w:rPr>
        <w:noProof/>
        <w:color w:val="000000"/>
      </w:rPr>
      <w:drawing>
        <wp:anchor distT="0" distB="0" distL="0" distR="0" simplePos="0" relativeHeight="251658240" behindDoc="1" locked="0" layoutInCell="1" hidden="0" allowOverlap="1" wp14:anchorId="2E9A5E3A" wp14:editId="731DB34E">
          <wp:simplePos x="0" y="0"/>
          <wp:positionH relativeFrom="page">
            <wp:posOffset>6633714</wp:posOffset>
          </wp:positionH>
          <wp:positionV relativeFrom="page">
            <wp:posOffset>129766</wp:posOffset>
          </wp:positionV>
          <wp:extent cx="495300" cy="553673"/>
          <wp:effectExtent l="0" t="0" r="0" b="0"/>
          <wp:wrapNone/>
          <wp:docPr id="149704141" name="image1.jpg" descr="A white symbol in a blu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white symbol in a blue circle&#10;&#10;Description automatically generated"/>
                  <pic:cNvPicPr preferRelativeResize="0"/>
                </pic:nvPicPr>
                <pic:blipFill>
                  <a:blip r:embed="rId1"/>
                  <a:srcRect/>
                  <a:stretch>
                    <a:fillRect/>
                  </a:stretch>
                </pic:blipFill>
                <pic:spPr>
                  <a:xfrm>
                    <a:off x="0" y="0"/>
                    <a:ext cx="495300" cy="553673"/>
                  </a:xfrm>
                  <a:prstGeom prst="rect">
                    <a:avLst/>
                  </a:prstGeom>
                  <a:ln/>
                </pic:spPr>
              </pic:pic>
            </a:graphicData>
          </a:graphic>
        </wp:anchor>
      </w:drawing>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960B4"/>
    <w:multiLevelType w:val="multilevel"/>
    <w:tmpl w:val="63BEC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8D2F8B"/>
    <w:multiLevelType w:val="multilevel"/>
    <w:tmpl w:val="2D1A9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771282">
    <w:abstractNumId w:val="1"/>
  </w:num>
  <w:num w:numId="2" w16cid:durableId="14451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3B"/>
    <w:rsid w:val="0034165F"/>
    <w:rsid w:val="003A3B8C"/>
    <w:rsid w:val="006168DD"/>
    <w:rsid w:val="00675E98"/>
    <w:rsid w:val="0074703F"/>
    <w:rsid w:val="00802C4F"/>
    <w:rsid w:val="0093575B"/>
    <w:rsid w:val="009B6A42"/>
    <w:rsid w:val="00B74B12"/>
    <w:rsid w:val="00C14ABE"/>
    <w:rsid w:val="00C9363F"/>
    <w:rsid w:val="00D23B7F"/>
    <w:rsid w:val="00F8113B"/>
    <w:rsid w:val="00F91A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B577"/>
  <w15:docId w15:val="{D4090294-BD93-4384-AF8A-FF83DFCC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N" w:bidi="hi-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B7"/>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15B7"/>
    <w:pPr>
      <w:tabs>
        <w:tab w:val="center" w:pos="4513"/>
        <w:tab w:val="right" w:pos="9026"/>
      </w:tabs>
    </w:pPr>
  </w:style>
  <w:style w:type="character" w:customStyle="1" w:styleId="HeaderChar">
    <w:name w:val="Header Char"/>
    <w:basedOn w:val="DefaultParagraphFont"/>
    <w:link w:val="Header"/>
    <w:uiPriority w:val="99"/>
    <w:rsid w:val="004315B7"/>
  </w:style>
  <w:style w:type="paragraph" w:styleId="Footer">
    <w:name w:val="footer"/>
    <w:basedOn w:val="Normal"/>
    <w:link w:val="FooterChar"/>
    <w:uiPriority w:val="99"/>
    <w:unhideWhenUsed/>
    <w:rsid w:val="004315B7"/>
    <w:pPr>
      <w:tabs>
        <w:tab w:val="center" w:pos="4513"/>
        <w:tab w:val="right" w:pos="9026"/>
      </w:tabs>
    </w:pPr>
  </w:style>
  <w:style w:type="character" w:customStyle="1" w:styleId="FooterChar">
    <w:name w:val="Footer Char"/>
    <w:basedOn w:val="DefaultParagraphFont"/>
    <w:link w:val="Footer"/>
    <w:uiPriority w:val="99"/>
    <w:rsid w:val="004315B7"/>
  </w:style>
  <w:style w:type="paragraph" w:styleId="BodyText">
    <w:name w:val="Body Text"/>
    <w:basedOn w:val="Normal"/>
    <w:link w:val="BodyTextChar"/>
    <w:uiPriority w:val="1"/>
    <w:qFormat/>
    <w:rsid w:val="004315B7"/>
  </w:style>
  <w:style w:type="character" w:customStyle="1" w:styleId="BodyTextChar">
    <w:name w:val="Body Text Char"/>
    <w:basedOn w:val="DefaultParagraphFont"/>
    <w:link w:val="BodyText"/>
    <w:uiPriority w:val="1"/>
    <w:rsid w:val="004315B7"/>
    <w:rPr>
      <w:rFonts w:ascii="Times New Roman" w:eastAsia="Times New Roman" w:hAnsi="Times New Roman" w:cs="Times New Roman"/>
      <w:kern w:val="0"/>
      <w:lang w:val="en-US"/>
    </w:rPr>
  </w:style>
  <w:style w:type="table" w:styleId="TableGrid">
    <w:name w:val="Table Grid"/>
    <w:basedOn w:val="TableNormal"/>
    <w:uiPriority w:val="39"/>
    <w:rsid w:val="0043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5B7"/>
    <w:pPr>
      <w:ind w:left="720"/>
      <w:contextualSpacing/>
    </w:pPr>
  </w:style>
  <w:style w:type="character" w:styleId="CommentReference">
    <w:name w:val="annotation reference"/>
    <w:basedOn w:val="DefaultParagraphFont"/>
    <w:uiPriority w:val="99"/>
    <w:semiHidden/>
    <w:unhideWhenUsed/>
    <w:rsid w:val="004315B7"/>
    <w:rPr>
      <w:sz w:val="16"/>
      <w:szCs w:val="16"/>
    </w:rPr>
  </w:style>
  <w:style w:type="paragraph" w:styleId="CommentText">
    <w:name w:val="annotation text"/>
    <w:basedOn w:val="Normal"/>
    <w:link w:val="CommentTextChar"/>
    <w:uiPriority w:val="99"/>
    <w:unhideWhenUsed/>
    <w:rsid w:val="004315B7"/>
    <w:rPr>
      <w:sz w:val="20"/>
      <w:szCs w:val="20"/>
    </w:rPr>
  </w:style>
  <w:style w:type="character" w:customStyle="1" w:styleId="CommentTextChar">
    <w:name w:val="Comment Text Char"/>
    <w:basedOn w:val="DefaultParagraphFont"/>
    <w:link w:val="CommentText"/>
    <w:uiPriority w:val="99"/>
    <w:rsid w:val="004315B7"/>
    <w:rPr>
      <w:rFonts w:ascii="Times New Roman" w:eastAsia="Times New Roman" w:hAnsi="Times New Roman" w:cs="Times New Roman"/>
      <w:kern w:val="0"/>
      <w:sz w:val="20"/>
      <w:szCs w:val="20"/>
      <w:lang w:val="en-US"/>
    </w:rPr>
  </w:style>
  <w:style w:type="paragraph" w:styleId="Revision">
    <w:name w:val="Revision"/>
    <w:hidden/>
    <w:uiPriority w:val="99"/>
    <w:semiHidden/>
    <w:rsid w:val="00715730"/>
  </w:style>
  <w:style w:type="paragraph" w:customStyle="1" w:styleId="TableParagraph">
    <w:name w:val="Table Paragraph"/>
    <w:basedOn w:val="Normal"/>
    <w:uiPriority w:val="1"/>
    <w:qFormat/>
    <w:rsid w:val="00715730"/>
    <w:pPr>
      <w:ind w:left="110"/>
    </w:pPr>
  </w:style>
  <w:style w:type="paragraph" w:styleId="CommentSubject">
    <w:name w:val="annotation subject"/>
    <w:basedOn w:val="CommentText"/>
    <w:next w:val="CommentText"/>
    <w:link w:val="CommentSubjectChar"/>
    <w:uiPriority w:val="99"/>
    <w:semiHidden/>
    <w:unhideWhenUsed/>
    <w:rsid w:val="001627EE"/>
    <w:rPr>
      <w:b/>
      <w:bCs/>
    </w:rPr>
  </w:style>
  <w:style w:type="character" w:customStyle="1" w:styleId="CommentSubjectChar">
    <w:name w:val="Comment Subject Char"/>
    <w:basedOn w:val="CommentTextChar"/>
    <w:link w:val="CommentSubject"/>
    <w:uiPriority w:val="99"/>
    <w:semiHidden/>
    <w:rsid w:val="001627EE"/>
    <w:rPr>
      <w:rFonts w:ascii="Times New Roman" w:eastAsia="Times New Roman" w:hAnsi="Times New Roman" w:cs="Times New Roman"/>
      <w:b/>
      <w:bCs/>
      <w:kern w:val="0"/>
      <w:sz w:val="20"/>
      <w:szCs w:val="20"/>
      <w:lang w:val="en-US"/>
    </w:rPr>
  </w:style>
  <w:style w:type="paragraph" w:customStyle="1" w:styleId="Default">
    <w:name w:val="Default"/>
    <w:rsid w:val="004D2A90"/>
    <w:pPr>
      <w:autoSpaceDE w:val="0"/>
      <w:autoSpaceDN w:val="0"/>
      <w:adjustRightInd w:val="0"/>
    </w:pPr>
    <w:rPr>
      <w:color w:val="000000"/>
      <w:sz w:val="24"/>
      <w:szCs w:val="24"/>
      <w:lang w:val="en-GB"/>
    </w:rPr>
  </w:style>
  <w:style w:type="paragraph" w:styleId="NoSpacing">
    <w:name w:val="No Spacing"/>
    <w:uiPriority w:val="1"/>
    <w:qFormat/>
    <w:rsid w:val="00350E7B"/>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uAwgYQi8FqHH1dkbHTmpl8jw==">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Saiyam Kalia</dc:creator>
  <cp:lastModifiedBy>Vinit Agrawal</cp:lastModifiedBy>
  <cp:revision>7</cp:revision>
  <dcterms:created xsi:type="dcterms:W3CDTF">2024-06-10T09:28:00Z</dcterms:created>
  <dcterms:modified xsi:type="dcterms:W3CDTF">2025-07-31T08:21:00Z</dcterms:modified>
</cp:coreProperties>
</file>