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3252" w14:textId="77777777" w:rsidR="00BD0590" w:rsidRPr="00BD0590" w:rsidRDefault="00BD0590" w:rsidP="00BD0590">
      <w:pPr>
        <w:shd w:val="clear" w:color="auto" w:fill="F2F2F2" w:themeFill="background1" w:themeFillShade="F2"/>
        <w:jc w:val="center"/>
        <w:rPr>
          <w:b/>
          <w:bCs/>
          <w:caps/>
          <w:sz w:val="36"/>
          <w:szCs w:val="36"/>
          <w:lang w:val="de-DE"/>
        </w:rPr>
      </w:pPr>
      <w:r w:rsidRPr="00BD0590">
        <w:rPr>
          <w:b/>
          <w:bCs/>
          <w:caps/>
          <w:sz w:val="36"/>
          <w:szCs w:val="36"/>
          <w:lang w:val="de-DE"/>
        </w:rPr>
        <w:t xml:space="preserve">Stellungnahme zum Bundestagsbeschluss </w:t>
      </w:r>
    </w:p>
    <w:p w14:paraId="738AA627" w14:textId="6A88421D" w:rsidR="004E1B5E" w:rsidRPr="00BC6F18" w:rsidRDefault="00BD0590" w:rsidP="00BD0590">
      <w:pPr>
        <w:shd w:val="clear" w:color="auto" w:fill="F2F2F2" w:themeFill="background1" w:themeFillShade="F2"/>
        <w:jc w:val="center"/>
        <w:rPr>
          <w:b/>
          <w:bCs/>
          <w:caps/>
          <w:sz w:val="36"/>
          <w:szCs w:val="36"/>
          <w:lang w:val="de-DE"/>
        </w:rPr>
      </w:pPr>
      <w:r w:rsidRPr="00BD0590">
        <w:rPr>
          <w:b/>
          <w:bCs/>
          <w:caps/>
          <w:sz w:val="36"/>
          <w:szCs w:val="36"/>
          <w:lang w:val="de-DE"/>
        </w:rPr>
        <w:t>Gesetz zur Weiterentwicklung der</w:t>
      </w:r>
      <w:r>
        <w:rPr>
          <w:b/>
          <w:bCs/>
          <w:caps/>
          <w:sz w:val="36"/>
          <w:szCs w:val="36"/>
          <w:lang w:val="de-DE"/>
        </w:rPr>
        <w:br/>
        <w:t>Treibhausminderungsquote (thg-Quote)</w:t>
      </w:r>
      <w:r w:rsidR="000A61ED" w:rsidRPr="00BC6F18">
        <w:rPr>
          <w:b/>
          <w:bCs/>
          <w:caps/>
          <w:sz w:val="36"/>
          <w:szCs w:val="36"/>
          <w:lang w:val="de-DE"/>
        </w:rPr>
        <w:t xml:space="preserve"> </w:t>
      </w:r>
    </w:p>
    <w:p w14:paraId="1B2E48C3" w14:textId="7B579C39" w:rsidR="00BC3145" w:rsidRPr="00BC6F18" w:rsidRDefault="00BC3145" w:rsidP="00BC3145">
      <w:pPr>
        <w:rPr>
          <w:sz w:val="22"/>
          <w:szCs w:val="22"/>
          <w:lang w:val="de-DE"/>
        </w:rPr>
      </w:pPr>
    </w:p>
    <w:p w14:paraId="7192F2B7" w14:textId="77777777" w:rsidR="00BC3145" w:rsidRPr="00BC6F18" w:rsidRDefault="00BC3145" w:rsidP="00BC3145">
      <w:pPr>
        <w:rPr>
          <w:sz w:val="22"/>
          <w:szCs w:val="22"/>
          <w:lang w:val="de-DE"/>
        </w:rPr>
      </w:pPr>
    </w:p>
    <w:p w14:paraId="21CBE41D" w14:textId="7D05A7CE" w:rsidR="0035556B" w:rsidRPr="00BC6F18" w:rsidRDefault="0035556B" w:rsidP="00BC3145">
      <w:pPr>
        <w:rPr>
          <w:lang w:val="de-DE"/>
        </w:rPr>
      </w:pPr>
      <w:r w:rsidRPr="00BC6F18">
        <w:rPr>
          <w:lang w:val="de-DE"/>
        </w:rPr>
        <w:t xml:space="preserve">Berlin, </w:t>
      </w:r>
      <w:r w:rsidR="00BC3145" w:rsidRPr="00BC6F18">
        <w:rPr>
          <w:lang w:val="de-DE"/>
        </w:rPr>
        <w:t>2</w:t>
      </w:r>
      <w:r w:rsidR="00BD0590">
        <w:rPr>
          <w:lang w:val="de-DE"/>
        </w:rPr>
        <w:t>3</w:t>
      </w:r>
      <w:r w:rsidR="00BC3145" w:rsidRPr="00BC6F18">
        <w:rPr>
          <w:lang w:val="de-DE"/>
        </w:rPr>
        <w:t>. April 2026</w:t>
      </w:r>
      <w:r w:rsidR="00D80A8D" w:rsidRPr="00BC6F18">
        <w:rPr>
          <w:noProof/>
        </w:rPr>
        <w:t xml:space="preserve"> </w:t>
      </w:r>
    </w:p>
    <w:p w14:paraId="77889E34" w14:textId="77777777" w:rsidR="00CD76BF" w:rsidRDefault="00CD76BF" w:rsidP="00CD76BF">
      <w:pPr>
        <w:rPr>
          <w:lang w:val="de-DE"/>
        </w:rPr>
      </w:pPr>
    </w:p>
    <w:p w14:paraId="16A41D94" w14:textId="5D3FC9D9" w:rsidR="00BD0590" w:rsidRDefault="00612B88" w:rsidP="00612B88">
      <w:pPr>
        <w:jc w:val="both"/>
        <w:rPr>
          <w:lang w:val="de-DE"/>
        </w:rPr>
      </w:pPr>
      <w:r w:rsidRPr="00612B88">
        <w:rPr>
          <w:lang w:val="de-DE"/>
        </w:rPr>
        <w:t>Der Branchenverband charGER e.V. (Ladeinfrastruktur für Deutschland) begrüßt die im Artikel des Bundesumweltministeriums dargestellte Gesetzesnovelle zur Weiterentwicklung der THG</w:t>
      </w:r>
      <w:r w:rsidRPr="00612B88">
        <w:rPr>
          <w:rFonts w:ascii="Cambria Math" w:hAnsi="Cambria Math" w:cs="Cambria Math"/>
          <w:lang w:val="de-DE"/>
        </w:rPr>
        <w:t>‑</w:t>
      </w:r>
      <w:r w:rsidRPr="00612B88">
        <w:rPr>
          <w:lang w:val="de-DE"/>
        </w:rPr>
        <w:t>Quote als wichtigen Schritt, um die Treibhausgasemissionen im Verkehrssektor wirksam zu senken und zugleich Investitionssignale f</w:t>
      </w:r>
      <w:r w:rsidRPr="00612B88">
        <w:rPr>
          <w:rFonts w:ascii="Aptos" w:hAnsi="Aptos" w:cs="Aptos"/>
          <w:lang w:val="de-DE"/>
        </w:rPr>
        <w:t>ü</w:t>
      </w:r>
      <w:r w:rsidRPr="00612B88">
        <w:rPr>
          <w:lang w:val="de-DE"/>
        </w:rPr>
        <w:t>r klimafreundliche Kraftstoffe und Ladestrom zu st</w:t>
      </w:r>
      <w:r w:rsidRPr="00612B88">
        <w:rPr>
          <w:rFonts w:ascii="Aptos" w:hAnsi="Aptos" w:cs="Aptos"/>
          <w:lang w:val="de-DE"/>
        </w:rPr>
        <w:t>ä</w:t>
      </w:r>
      <w:r w:rsidRPr="00612B88">
        <w:rPr>
          <w:lang w:val="de-DE"/>
        </w:rPr>
        <w:t>rken.</w:t>
      </w:r>
    </w:p>
    <w:p w14:paraId="15872B94" w14:textId="6B41D685" w:rsidR="00612B88" w:rsidRPr="00612B88" w:rsidRDefault="00612B88" w:rsidP="00612B88">
      <w:pPr>
        <w:jc w:val="both"/>
        <w:rPr>
          <w:i/>
          <w:iCs/>
          <w:lang w:val="de-DE"/>
        </w:rPr>
      </w:pPr>
      <w:r w:rsidRPr="00612B88">
        <w:rPr>
          <w:i/>
          <w:iCs/>
          <w:lang w:val="de-DE"/>
        </w:rPr>
        <w:t>„Die THG</w:t>
      </w:r>
      <w:r w:rsidRPr="00612B88">
        <w:rPr>
          <w:rFonts w:ascii="Cambria Math" w:hAnsi="Cambria Math" w:cs="Cambria Math"/>
          <w:i/>
          <w:iCs/>
          <w:lang w:val="de-DE"/>
        </w:rPr>
        <w:t>‑</w:t>
      </w:r>
      <w:r w:rsidRPr="00612B88">
        <w:rPr>
          <w:i/>
          <w:iCs/>
          <w:lang w:val="de-DE"/>
        </w:rPr>
        <w:t>Quote ist eines der zentralen marktwirtschaftlichen Instrumente, um Klimaschutz im Verkehr mit realen Investitionen in Infrastruktur zu verbinden. Entscheidend ist jetzt, dass die Weiterentwicklung der Quote in der Praxis verl</w:t>
      </w:r>
      <w:r w:rsidRPr="00612B88">
        <w:rPr>
          <w:rFonts w:ascii="Aptos" w:hAnsi="Aptos" w:cs="Aptos"/>
          <w:i/>
          <w:iCs/>
          <w:lang w:val="de-DE"/>
        </w:rPr>
        <w:t>ä</w:t>
      </w:r>
      <w:r w:rsidRPr="00612B88">
        <w:rPr>
          <w:i/>
          <w:iCs/>
          <w:lang w:val="de-DE"/>
        </w:rPr>
        <w:t xml:space="preserve">sslich funktioniert </w:t>
      </w:r>
      <w:r w:rsidRPr="00612B88">
        <w:rPr>
          <w:rFonts w:ascii="Aptos" w:hAnsi="Aptos" w:cs="Aptos"/>
          <w:i/>
          <w:iCs/>
          <w:lang w:val="de-DE"/>
        </w:rPr>
        <w:t>–</w:t>
      </w:r>
      <w:r w:rsidRPr="00612B88">
        <w:rPr>
          <w:i/>
          <w:iCs/>
          <w:lang w:val="de-DE"/>
        </w:rPr>
        <w:t xml:space="preserve"> insbesondere f</w:t>
      </w:r>
      <w:r w:rsidRPr="00612B88">
        <w:rPr>
          <w:rFonts w:ascii="Aptos" w:hAnsi="Aptos" w:cs="Aptos"/>
          <w:i/>
          <w:iCs/>
          <w:lang w:val="de-DE"/>
        </w:rPr>
        <w:t>ü</w:t>
      </w:r>
      <w:r w:rsidRPr="00612B88">
        <w:rPr>
          <w:i/>
          <w:iCs/>
          <w:lang w:val="de-DE"/>
        </w:rPr>
        <w:t xml:space="preserve">r den Hochlauf der </w:t>
      </w:r>
      <w:r w:rsidRPr="00612B88">
        <w:rPr>
          <w:rFonts w:ascii="Aptos" w:hAnsi="Aptos" w:cs="Aptos"/>
          <w:i/>
          <w:iCs/>
          <w:lang w:val="de-DE"/>
        </w:rPr>
        <w:t>ö</w:t>
      </w:r>
      <w:r w:rsidRPr="00612B88">
        <w:rPr>
          <w:i/>
          <w:iCs/>
          <w:lang w:val="de-DE"/>
        </w:rPr>
        <w:t>ffentlichen und (halb</w:t>
      </w:r>
      <w:r w:rsidRPr="00612B88">
        <w:rPr>
          <w:rFonts w:ascii="Cambria Math" w:hAnsi="Cambria Math" w:cs="Cambria Math"/>
          <w:i/>
          <w:iCs/>
          <w:lang w:val="de-DE"/>
        </w:rPr>
        <w:t>‑</w:t>
      </w:r>
      <w:r w:rsidRPr="00612B88">
        <w:rPr>
          <w:i/>
          <w:iCs/>
          <w:lang w:val="de-DE"/>
        </w:rPr>
        <w:t>)</w:t>
      </w:r>
      <w:r w:rsidRPr="00612B88">
        <w:rPr>
          <w:rFonts w:ascii="Aptos" w:hAnsi="Aptos" w:cs="Aptos"/>
          <w:i/>
          <w:iCs/>
          <w:lang w:val="de-DE"/>
        </w:rPr>
        <w:t>ö</w:t>
      </w:r>
      <w:r w:rsidRPr="00612B88">
        <w:rPr>
          <w:i/>
          <w:iCs/>
          <w:lang w:val="de-DE"/>
        </w:rPr>
        <w:t>ffentlichen Ladeinfrastruktur</w:t>
      </w:r>
      <w:r w:rsidRPr="00612B88">
        <w:rPr>
          <w:rFonts w:ascii="Aptos" w:hAnsi="Aptos" w:cs="Aptos"/>
          <w:i/>
          <w:iCs/>
          <w:lang w:val="de-DE"/>
        </w:rPr>
        <w:t>“</w:t>
      </w:r>
      <w:r w:rsidR="00941484">
        <w:rPr>
          <w:rFonts w:ascii="Aptos" w:hAnsi="Aptos" w:cs="Aptos"/>
          <w:i/>
          <w:iCs/>
          <w:lang w:val="de-DE"/>
        </w:rPr>
        <w:t xml:space="preserve">, </w:t>
      </w:r>
      <w:r w:rsidR="00941484" w:rsidRPr="00941484">
        <w:rPr>
          <w:rFonts w:ascii="Aptos" w:hAnsi="Aptos" w:cs="Aptos"/>
          <w:lang w:val="de-DE"/>
        </w:rPr>
        <w:t xml:space="preserve">kommentiert </w:t>
      </w:r>
      <w:r w:rsidRPr="00941484">
        <w:rPr>
          <w:lang w:val="de-DE"/>
        </w:rPr>
        <w:t>Constantin Schwaab, Vorsitzender charGER e.V.</w:t>
      </w:r>
      <w:r w:rsidR="00941484" w:rsidRPr="00941484">
        <w:rPr>
          <w:lang w:val="de-DE"/>
        </w:rPr>
        <w:t xml:space="preserve"> das Abstimmungsergebnis des Bundestages.</w:t>
      </w:r>
    </w:p>
    <w:p w14:paraId="5E451661" w14:textId="77777777" w:rsidR="007F0452" w:rsidRDefault="007F0452" w:rsidP="007F0452">
      <w:pPr>
        <w:jc w:val="both"/>
        <w:rPr>
          <w:lang w:val="de-DE"/>
        </w:rPr>
      </w:pPr>
      <w:r w:rsidRPr="007F0452">
        <w:rPr>
          <w:lang w:val="de-DE"/>
        </w:rPr>
        <w:t>Die THG</w:t>
      </w:r>
      <w:r w:rsidRPr="007F0452">
        <w:rPr>
          <w:lang w:val="de-DE"/>
        </w:rPr>
        <w:noBreakHyphen/>
        <w:t>Quote verpflichtet Kraftstoffanbieter, ihre CO₂</w:t>
      </w:r>
      <w:r w:rsidRPr="007F0452">
        <w:rPr>
          <w:lang w:val="de-DE"/>
        </w:rPr>
        <w:noBreakHyphen/>
        <w:t>Emissionen in festgelegtem Umfang zu mindern; als Erfüllungsoptionen nennt das BMUV u.</w:t>
      </w:r>
      <w:r w:rsidRPr="007F0452">
        <w:rPr>
          <w:rFonts w:ascii="Arial" w:hAnsi="Arial" w:cs="Arial"/>
          <w:lang w:val="de-DE"/>
        </w:rPr>
        <w:t> </w:t>
      </w:r>
      <w:r w:rsidRPr="007F0452">
        <w:rPr>
          <w:lang w:val="de-DE"/>
        </w:rPr>
        <w:t xml:space="preserve">a. nachhaltige Biokraftstoffe, Kraftstoffe auf Basis von grünem Wasserstoff sowie Strom für Elektrofahrzeuge. </w:t>
      </w:r>
      <w:r>
        <w:rPr>
          <w:lang w:val="de-DE"/>
        </w:rPr>
        <w:t xml:space="preserve"> </w:t>
      </w:r>
    </w:p>
    <w:p w14:paraId="7EC0714F" w14:textId="77364B25" w:rsidR="007F0452" w:rsidRPr="007F0452" w:rsidRDefault="007F0452" w:rsidP="007F0452">
      <w:pPr>
        <w:jc w:val="both"/>
        <w:rPr>
          <w:lang w:val="de-DE"/>
        </w:rPr>
      </w:pPr>
      <w:r w:rsidRPr="007F0452">
        <w:rPr>
          <w:lang w:val="de-DE"/>
        </w:rPr>
        <w:t xml:space="preserve">Positiv bewertet der charGER e.V. insbesondere: </w:t>
      </w:r>
    </w:p>
    <w:p w14:paraId="37C7DA9C" w14:textId="05A6592D" w:rsidR="007F0452" w:rsidRPr="007F0452" w:rsidRDefault="007F0452" w:rsidP="007F0452">
      <w:pPr>
        <w:numPr>
          <w:ilvl w:val="0"/>
          <w:numId w:val="22"/>
        </w:numPr>
        <w:jc w:val="both"/>
      </w:pPr>
      <w:r w:rsidRPr="007F0452">
        <w:rPr>
          <w:b/>
          <w:bCs/>
          <w:lang w:val="de-DE"/>
        </w:rPr>
        <w:t>Langfristige Fortentwicklung bis 2040</w:t>
      </w:r>
      <w:r w:rsidRPr="007F0452">
        <w:rPr>
          <w:lang w:val="de-DE"/>
        </w:rPr>
        <w:t>: Die THG</w:t>
      </w:r>
      <w:r w:rsidRPr="007F0452">
        <w:rPr>
          <w:lang w:val="de-DE"/>
        </w:rPr>
        <w:noBreakHyphen/>
        <w:t>Quote soll von 10,6</w:t>
      </w:r>
      <w:r w:rsidRPr="007F0452">
        <w:rPr>
          <w:rFonts w:ascii="Arial" w:hAnsi="Arial" w:cs="Arial"/>
          <w:lang w:val="de-DE"/>
        </w:rPr>
        <w:t> </w:t>
      </w:r>
      <w:r w:rsidRPr="007F0452">
        <w:rPr>
          <w:lang w:val="de-DE"/>
        </w:rPr>
        <w:t xml:space="preserve">% (2025) schrittweise auf </w:t>
      </w:r>
      <w:r w:rsidR="00C603AB">
        <w:rPr>
          <w:lang w:val="de-DE"/>
        </w:rPr>
        <w:t xml:space="preserve">65 </w:t>
      </w:r>
      <w:r w:rsidRPr="007F0452">
        <w:rPr>
          <w:lang w:val="de-DE"/>
        </w:rPr>
        <w:t xml:space="preserve">% (2040) ansteigen – ein klares Langfristsignal für Planungssicherheit. </w:t>
      </w:r>
    </w:p>
    <w:p w14:paraId="091A76B4" w14:textId="560B07AF" w:rsidR="007F0452" w:rsidRPr="007F0452" w:rsidRDefault="007F0452" w:rsidP="007F0452">
      <w:pPr>
        <w:numPr>
          <w:ilvl w:val="0"/>
          <w:numId w:val="22"/>
        </w:numPr>
        <w:jc w:val="both"/>
        <w:rPr>
          <w:lang w:val="de-DE"/>
        </w:rPr>
      </w:pPr>
      <w:r w:rsidRPr="007F0452">
        <w:rPr>
          <w:b/>
          <w:bCs/>
          <w:lang w:val="de-DE"/>
        </w:rPr>
        <w:t>Stärkung von Ladestrom</w:t>
      </w:r>
      <w:r w:rsidRPr="007F0452">
        <w:rPr>
          <w:lang w:val="de-DE"/>
        </w:rPr>
        <w:t xml:space="preserve">: Strom für Elektroautos bleibt anrechenbar, wenn er nachweislich im Verkehr eingesetzt wird; erneuerbarer Strom fürs Laden wird dabei besonders hoch gewichtet. </w:t>
      </w:r>
    </w:p>
    <w:p w14:paraId="17D5B7DD" w14:textId="5285B70B" w:rsidR="007F0452" w:rsidRDefault="007F0452" w:rsidP="007F0452">
      <w:pPr>
        <w:numPr>
          <w:ilvl w:val="0"/>
          <w:numId w:val="22"/>
        </w:numPr>
        <w:jc w:val="both"/>
        <w:rPr>
          <w:lang w:val="de-DE"/>
        </w:rPr>
      </w:pPr>
      <w:r w:rsidRPr="007F0452">
        <w:rPr>
          <w:lang w:val="de-DE"/>
        </w:rPr>
        <w:lastRenderedPageBreak/>
        <w:t>Betrugsprävention durch Vor</w:t>
      </w:r>
      <w:r w:rsidRPr="007F0452">
        <w:rPr>
          <w:lang w:val="de-DE"/>
        </w:rPr>
        <w:noBreakHyphen/>
        <w:t>Ort</w:t>
      </w:r>
      <w:r w:rsidRPr="007F0452">
        <w:rPr>
          <w:lang w:val="de-DE"/>
        </w:rPr>
        <w:noBreakHyphen/>
        <w:t>Kontrollen: Ab 2027 sollen erneuerbare Kraftstoffe nur noch anrechenbar sein, wenn Vor</w:t>
      </w:r>
      <w:r w:rsidRPr="007F0452">
        <w:rPr>
          <w:lang w:val="de-DE"/>
        </w:rPr>
        <w:noBreakHyphen/>
        <w:t>Ort</w:t>
      </w:r>
      <w:r w:rsidRPr="007F0452">
        <w:rPr>
          <w:lang w:val="de-DE"/>
        </w:rPr>
        <w:noBreakHyphen/>
        <w:t xml:space="preserve">Kontrollen durch staatliche Kontrolleure möglich sind. </w:t>
      </w:r>
    </w:p>
    <w:p w14:paraId="7B35A0B5" w14:textId="3607F61E" w:rsidR="00A470F3" w:rsidRPr="00A470F3" w:rsidRDefault="00A470F3" w:rsidP="00A470F3">
      <w:pPr>
        <w:ind w:left="360"/>
        <w:jc w:val="both"/>
        <w:rPr>
          <w:lang w:val="de-DE"/>
        </w:rPr>
      </w:pPr>
      <w:r w:rsidRPr="00A470F3">
        <w:rPr>
          <w:lang w:val="de-DE"/>
        </w:rPr>
        <w:t>Aus Sicht des charGER e.V. ist die THG</w:t>
      </w:r>
      <w:r w:rsidRPr="00A470F3">
        <w:rPr>
          <w:lang w:val="de-DE"/>
        </w:rPr>
        <w:noBreakHyphen/>
        <w:t xml:space="preserve">Quote ein </w:t>
      </w:r>
      <w:r w:rsidRPr="00A470F3">
        <w:rPr>
          <w:b/>
          <w:bCs/>
          <w:lang w:val="de-DE"/>
        </w:rPr>
        <w:t>marktwirtschaftliches Förderinstrument</w:t>
      </w:r>
      <w:r w:rsidRPr="00A470F3">
        <w:rPr>
          <w:lang w:val="de-DE"/>
        </w:rPr>
        <w:t xml:space="preserve">, das so ausgestaltet werden muss, dass </w:t>
      </w:r>
      <w:r w:rsidRPr="00A470F3">
        <w:rPr>
          <w:b/>
          <w:bCs/>
          <w:lang w:val="de-DE"/>
        </w:rPr>
        <w:t>Fehlanreize und Preisverzerrungen</w:t>
      </w:r>
      <w:r w:rsidRPr="00A470F3">
        <w:rPr>
          <w:lang w:val="de-DE"/>
        </w:rPr>
        <w:t xml:space="preserve"> korrigiert werden und der Ausbau der Ladeinfrastruktur </w:t>
      </w:r>
      <w:r w:rsidRPr="00A470F3">
        <w:rPr>
          <w:b/>
          <w:bCs/>
          <w:lang w:val="de-DE"/>
        </w:rPr>
        <w:t>wirksam und haushaltsneutral</w:t>
      </w:r>
      <w:r w:rsidRPr="00A470F3">
        <w:rPr>
          <w:lang w:val="de-DE"/>
        </w:rPr>
        <w:t xml:space="preserve"> unterstützt werden kann. </w:t>
      </w:r>
    </w:p>
    <w:p w14:paraId="53634619" w14:textId="77777777" w:rsidR="00A470F3" w:rsidRDefault="00A470F3" w:rsidP="00A470F3">
      <w:pPr>
        <w:ind w:left="360"/>
        <w:jc w:val="both"/>
        <w:rPr>
          <w:lang w:val="de-DE"/>
        </w:rPr>
      </w:pPr>
      <w:r w:rsidRPr="00A470F3">
        <w:rPr>
          <w:lang w:val="de-DE"/>
        </w:rPr>
        <w:t>Der Verband arbeitet seit Gründung u.</w:t>
      </w:r>
      <w:r w:rsidRPr="00A470F3">
        <w:rPr>
          <w:rFonts w:ascii="Arial" w:hAnsi="Arial" w:cs="Arial"/>
          <w:lang w:val="de-DE"/>
        </w:rPr>
        <w:t> </w:t>
      </w:r>
      <w:r w:rsidRPr="00A470F3">
        <w:rPr>
          <w:lang w:val="de-DE"/>
        </w:rPr>
        <w:t>a. an der „Wiederherstellung der Funktionalität der THG</w:t>
      </w:r>
      <w:r w:rsidRPr="00A470F3">
        <w:rPr>
          <w:lang w:val="de-DE"/>
        </w:rPr>
        <w:noBreakHyphen/>
        <w:t>Quote“ – mit Fokus auf Planungssicherheit und Missbrauchsschutz im THG</w:t>
      </w:r>
      <w:r w:rsidRPr="00A470F3">
        <w:rPr>
          <w:lang w:val="de-DE"/>
        </w:rPr>
        <w:noBreakHyphen/>
        <w:t>Quotenhandel.</w:t>
      </w:r>
    </w:p>
    <w:p w14:paraId="170CA1FD" w14:textId="77777777" w:rsidR="004449DD" w:rsidRPr="004449DD" w:rsidRDefault="004449DD" w:rsidP="004449DD">
      <w:pPr>
        <w:ind w:left="360"/>
        <w:jc w:val="both"/>
        <w:rPr>
          <w:lang w:val="de-DE"/>
        </w:rPr>
      </w:pPr>
      <w:r w:rsidRPr="004449DD">
        <w:rPr>
          <w:lang w:val="de-DE"/>
        </w:rPr>
        <w:t>Damit die Novelle ihre Ziele erreicht, sieht der charGER e.V. bei der Umsetzung drei zentrale Stellhebel:</w:t>
      </w:r>
    </w:p>
    <w:p w14:paraId="5AAF3775" w14:textId="14B6095A" w:rsidR="004449DD" w:rsidRPr="004449DD" w:rsidRDefault="004449DD" w:rsidP="004449DD">
      <w:pPr>
        <w:pStyle w:val="Listenabsatz"/>
        <w:numPr>
          <w:ilvl w:val="0"/>
          <w:numId w:val="23"/>
        </w:numPr>
        <w:jc w:val="both"/>
        <w:rPr>
          <w:lang w:val="de-DE"/>
        </w:rPr>
      </w:pPr>
      <w:r w:rsidRPr="004449DD">
        <w:rPr>
          <w:b/>
          <w:bCs/>
          <w:lang w:val="de-DE"/>
        </w:rPr>
        <w:t>Klarheit bei „öffentlicher Zugänglichkeit“ – auch für halböffentliche Ladepunkte</w:t>
      </w:r>
      <w:r w:rsidRPr="004449DD">
        <w:rPr>
          <w:lang w:val="de-DE"/>
        </w:rPr>
        <w:br/>
        <w:t>Der Verband weist seit längerem darauf hin, dass Anreize der THG</w:t>
      </w:r>
      <w:r w:rsidRPr="004449DD">
        <w:rPr>
          <w:lang w:val="de-DE"/>
        </w:rPr>
        <w:noBreakHyphen/>
        <w:t>Quote an der Definition der „Öffentlichkeit“ scheitern können – etwa wenn Ladepunkte auf beschrankten Hotel</w:t>
      </w:r>
      <w:r w:rsidRPr="004449DD">
        <w:rPr>
          <w:lang w:val="de-DE"/>
        </w:rPr>
        <w:noBreakHyphen/>
        <w:t xml:space="preserve"> oder Kundenparkplätzen nicht als öffentlich anerkannt werden und dadurch ein wirtschaftlicher Anreiz entfällt.</w:t>
      </w:r>
      <w:r>
        <w:rPr>
          <w:lang w:val="de-DE"/>
        </w:rPr>
        <w:t xml:space="preserve"> </w:t>
      </w:r>
      <w:r w:rsidRPr="004449DD">
        <w:rPr>
          <w:lang w:val="de-DE"/>
        </w:rPr>
        <w:t xml:space="preserve">charGER spricht sich daher für eine </w:t>
      </w:r>
      <w:r w:rsidRPr="004449DD">
        <w:rPr>
          <w:b/>
          <w:bCs/>
          <w:lang w:val="de-DE"/>
        </w:rPr>
        <w:t>explizite Einbindung halböffentlicher Ladepunkte</w:t>
      </w:r>
      <w:r w:rsidRPr="004449DD">
        <w:rPr>
          <w:lang w:val="de-DE"/>
        </w:rPr>
        <w:t xml:space="preserve"> (z.</w:t>
      </w:r>
      <w:r w:rsidRPr="004449DD">
        <w:rPr>
          <w:rFonts w:ascii="Arial" w:hAnsi="Arial" w:cs="Arial"/>
          <w:lang w:val="de-DE"/>
        </w:rPr>
        <w:t> </w:t>
      </w:r>
      <w:r w:rsidRPr="004449DD">
        <w:rPr>
          <w:lang w:val="de-DE"/>
        </w:rPr>
        <w:t>B. bei Unternehmen, Handel, Hotels, Mitarbeitenden</w:t>
      </w:r>
      <w:r w:rsidRPr="004449DD">
        <w:rPr>
          <w:lang w:val="de-DE"/>
        </w:rPr>
        <w:noBreakHyphen/>
        <w:t>Parkpl</w:t>
      </w:r>
      <w:r w:rsidRPr="004449DD">
        <w:rPr>
          <w:rFonts w:ascii="Aptos" w:hAnsi="Aptos" w:cs="Aptos"/>
          <w:lang w:val="de-DE"/>
        </w:rPr>
        <w:t>ä</w:t>
      </w:r>
      <w:r w:rsidRPr="004449DD">
        <w:rPr>
          <w:lang w:val="de-DE"/>
        </w:rPr>
        <w:t xml:space="preserve">tzen) in den Anreizmechanismus aus. </w:t>
      </w:r>
    </w:p>
    <w:p w14:paraId="374E5361" w14:textId="52E17CBD" w:rsidR="004449DD" w:rsidRPr="004449DD" w:rsidRDefault="004449DD" w:rsidP="004449DD">
      <w:pPr>
        <w:pStyle w:val="Listenabsatz"/>
        <w:numPr>
          <w:ilvl w:val="0"/>
          <w:numId w:val="23"/>
        </w:numPr>
        <w:jc w:val="both"/>
        <w:rPr>
          <w:b/>
          <w:bCs/>
          <w:lang w:val="de-DE"/>
        </w:rPr>
      </w:pPr>
      <w:r w:rsidRPr="004449DD">
        <w:rPr>
          <w:b/>
          <w:bCs/>
          <w:lang w:val="de-DE"/>
        </w:rPr>
        <w:t>Verlässliche, praxisnahe Marktregeln für den THG</w:t>
      </w:r>
      <w:r w:rsidRPr="004449DD">
        <w:rPr>
          <w:b/>
          <w:bCs/>
          <w:lang w:val="de-DE"/>
        </w:rPr>
        <w:noBreakHyphen/>
        <w:t>Quotenhandel</w:t>
      </w:r>
    </w:p>
    <w:p w14:paraId="0EEF6776" w14:textId="748EB3A3" w:rsidR="004449DD" w:rsidRDefault="004449DD" w:rsidP="004449DD">
      <w:pPr>
        <w:pStyle w:val="Listenabsatz"/>
        <w:ind w:left="756"/>
        <w:jc w:val="both"/>
        <w:rPr>
          <w:lang w:val="de-DE"/>
        </w:rPr>
      </w:pPr>
      <w:r w:rsidRPr="004449DD">
        <w:rPr>
          <w:lang w:val="de-DE"/>
        </w:rPr>
        <w:t>Planungssicherheit für Betreiber und Investoren setzt voraus, dass der Quotenhandel stabil, nachvollziehbar und gegen Missbrauch geschützt ist – inklusive marktdienlicher Regeln für den Umgang mit Überhängen/Übererfüllungen und wirksamen Schutzmechanismen.</w:t>
      </w:r>
      <w:r>
        <w:rPr>
          <w:lang w:val="de-DE"/>
        </w:rPr>
        <w:t xml:space="preserve"> </w:t>
      </w:r>
    </w:p>
    <w:p w14:paraId="700C1FD9" w14:textId="1C2EBC0C" w:rsidR="004449DD" w:rsidRPr="004449DD" w:rsidRDefault="004449DD" w:rsidP="004449DD">
      <w:pPr>
        <w:pStyle w:val="Listenabsatz"/>
        <w:numPr>
          <w:ilvl w:val="0"/>
          <w:numId w:val="23"/>
        </w:numPr>
        <w:jc w:val="both"/>
        <w:rPr>
          <w:b/>
          <w:bCs/>
          <w:lang w:val="de-DE"/>
        </w:rPr>
      </w:pPr>
      <w:r w:rsidRPr="004449DD">
        <w:rPr>
          <w:b/>
          <w:bCs/>
          <w:lang w:val="de-DE"/>
        </w:rPr>
        <w:t>Bürokratiearmut und Digitaltauglichkeit (Nachweis/Anrechnung von Ladestrom)</w:t>
      </w:r>
    </w:p>
    <w:p w14:paraId="1160D92F" w14:textId="060DC6E0" w:rsidR="004449DD" w:rsidRDefault="004449DD" w:rsidP="004449DD">
      <w:pPr>
        <w:pStyle w:val="Listenabsatz"/>
        <w:ind w:left="756"/>
        <w:jc w:val="both"/>
        <w:rPr>
          <w:lang w:val="de-DE"/>
        </w:rPr>
      </w:pPr>
      <w:r w:rsidRPr="004449DD">
        <w:rPr>
          <w:lang w:val="de-DE"/>
        </w:rPr>
        <w:t>Da Ladestrom nur bei nachweislichem Einsatz im Verkehr anrechenbar ist, müssen Nachweis- und Antragsprozesse so gestaltet sein, dass sie skaliert und ohne unnötige Reibungsverluste funktionieren.</w:t>
      </w:r>
    </w:p>
    <w:p w14:paraId="76047066" w14:textId="2358FC7B" w:rsidR="00E77FC3" w:rsidRDefault="00E77FC3">
      <w:pPr>
        <w:rPr>
          <w:lang w:val="de-DE"/>
        </w:rPr>
      </w:pPr>
      <w:r>
        <w:rPr>
          <w:lang w:val="de-DE"/>
        </w:rPr>
        <w:br w:type="page"/>
      </w:r>
    </w:p>
    <w:p w14:paraId="0E4081F7" w14:textId="77777777" w:rsidR="00E77FC3" w:rsidRPr="00E77FC3" w:rsidRDefault="00E77FC3" w:rsidP="00E77FC3">
      <w:pPr>
        <w:jc w:val="both"/>
        <w:rPr>
          <w:lang w:val="de-DE"/>
        </w:rPr>
      </w:pPr>
      <w:r w:rsidRPr="00E77FC3">
        <w:rPr>
          <w:lang w:val="de-DE"/>
        </w:rPr>
        <w:lastRenderedPageBreak/>
        <w:t>charGER e.V. begrüßt die im BMUV</w:t>
      </w:r>
      <w:r w:rsidRPr="00E77FC3">
        <w:rPr>
          <w:lang w:val="de-DE"/>
        </w:rPr>
        <w:noBreakHyphen/>
        <w:t>Beitrag skizzierte Weiterentwicklung der THG</w:t>
      </w:r>
      <w:r w:rsidRPr="00E77FC3">
        <w:rPr>
          <w:lang w:val="de-DE"/>
        </w:rPr>
        <w:noBreakHyphen/>
        <w:t>Quote als wichtigen Hebel für Emissionsminderung und die Stärkung von Ladestrom und grünem Wasserstoff. Gleichzeitig betont der Verband, dass die Wirksamkeit maßgeblich von einer praxisnahen Ausgestaltung abhängt: klare Definitionen (Öffentlichkeit), stabile und missbrauchsresistente Marktregeln sowie schlanke Nachweisprozesse – damit die THG</w:t>
      </w:r>
      <w:r w:rsidRPr="00E77FC3">
        <w:rPr>
          <w:lang w:val="de-DE"/>
        </w:rPr>
        <w:noBreakHyphen/>
        <w:t>Quote ihre Funktion als Investitionsmotor für Ladeinfrastruktur tatsächlich entfalten kann.</w:t>
      </w:r>
    </w:p>
    <w:p w14:paraId="27DAC53D" w14:textId="77777777" w:rsidR="00E77FC3" w:rsidRPr="004449DD" w:rsidRDefault="00E77FC3" w:rsidP="004449DD">
      <w:pPr>
        <w:pStyle w:val="Listenabsatz"/>
        <w:ind w:left="756"/>
        <w:jc w:val="both"/>
        <w:rPr>
          <w:lang w:val="de-DE"/>
        </w:rPr>
      </w:pPr>
    </w:p>
    <w:p w14:paraId="37A7FB7B" w14:textId="77777777" w:rsidR="00BD0590" w:rsidRDefault="00BD0590" w:rsidP="00612B88">
      <w:pPr>
        <w:jc w:val="both"/>
        <w:rPr>
          <w:lang w:val="de-DE"/>
        </w:rPr>
      </w:pPr>
    </w:p>
    <w:p w14:paraId="4144B426" w14:textId="1315BF85" w:rsidR="00CD76BF" w:rsidRDefault="00CD76BF" w:rsidP="00CD76BF">
      <w:pPr>
        <w:jc w:val="center"/>
        <w:rPr>
          <w:lang w:val="de-DE"/>
        </w:rPr>
      </w:pPr>
      <w:r>
        <w:rPr>
          <w:lang w:val="de-DE"/>
        </w:rPr>
        <w:t>### ENDE STELLUNGNAHME ###</w:t>
      </w:r>
    </w:p>
    <w:p w14:paraId="58245B60" w14:textId="77777777" w:rsidR="00CD76BF" w:rsidRDefault="00CD76BF" w:rsidP="00CD76BF">
      <w:pPr>
        <w:rPr>
          <w:lang w:val="de-DE"/>
        </w:rPr>
      </w:pPr>
    </w:p>
    <w:p w14:paraId="5090BCA8" w14:textId="77777777" w:rsidR="00CD76BF" w:rsidRPr="00CD76BF" w:rsidRDefault="00CD76BF" w:rsidP="00CD76BF">
      <w:pPr>
        <w:rPr>
          <w:b/>
          <w:bCs/>
          <w:lang w:val="de-DE"/>
        </w:rPr>
      </w:pPr>
      <w:r w:rsidRPr="00CD76BF">
        <w:rPr>
          <w:b/>
          <w:bCs/>
          <w:lang w:val="de-DE"/>
        </w:rPr>
        <w:t>Über charGER e.V.</w:t>
      </w:r>
    </w:p>
    <w:p w14:paraId="5BA25378" w14:textId="77777777" w:rsidR="00CD76BF" w:rsidRPr="00CD76BF" w:rsidRDefault="00CD76BF" w:rsidP="00CD76BF">
      <w:pPr>
        <w:rPr>
          <w:lang w:val="de-DE"/>
        </w:rPr>
      </w:pPr>
      <w:r w:rsidRPr="00CD76BF">
        <w:rPr>
          <w:lang w:val="de-DE"/>
        </w:rPr>
        <w:t>charGER e.V. wurde 2025 in München gegründet und vereint Unternehmen, die öffentliche Ladeinfrastruktur entwickeln, betreiben oder digital steuern. Der Verband bringt die Perspektive der Betreiberpraxis in politische und regulatorische Prozesse ein – mit dem Ziel, Verfahren zu beschleunigen, faire Marktbedingungen zu schaffen und den Ausbau der Ladeinfrastruktur in Deutschland nutzerorientiert voranzubringen.</w:t>
      </w:r>
    </w:p>
    <w:p w14:paraId="712DCBF3" w14:textId="77777777" w:rsidR="00CD76BF" w:rsidRPr="00CD76BF" w:rsidRDefault="00CD76BF" w:rsidP="00CD76BF">
      <w:pPr>
        <w:rPr>
          <w:lang w:val="de-DE"/>
        </w:rPr>
      </w:pPr>
    </w:p>
    <w:sectPr w:rsidR="00CD76BF" w:rsidRPr="00CD76BF" w:rsidSect="00606B35">
      <w:headerReference w:type="default" r:id="rId11"/>
      <w:footerReference w:type="default" r:id="rId12"/>
      <w:pgSz w:w="12240" w:h="15840"/>
      <w:pgMar w:top="1418" w:right="11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D0C9" w14:textId="77777777" w:rsidR="00336F1D" w:rsidRDefault="00336F1D" w:rsidP="004E1B5E">
      <w:pPr>
        <w:spacing w:after="0" w:line="240" w:lineRule="auto"/>
      </w:pPr>
      <w:r>
        <w:separator/>
      </w:r>
    </w:p>
  </w:endnote>
  <w:endnote w:type="continuationSeparator" w:id="0">
    <w:p w14:paraId="122B4E82" w14:textId="77777777" w:rsidR="00336F1D" w:rsidRDefault="00336F1D" w:rsidP="004E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808" w14:textId="4FE39F1D" w:rsidR="004E1B5E" w:rsidRDefault="004E1B5E" w:rsidP="004E1B5E">
    <w:pPr>
      <w:pStyle w:val="Fuzeile"/>
      <w:jc w:val="center"/>
      <w:rPr>
        <w:sz w:val="16"/>
        <w:szCs w:val="16"/>
        <w:lang w:val="de-DE"/>
      </w:rPr>
    </w:pPr>
  </w:p>
  <w:p w14:paraId="64C2A472" w14:textId="12B2E732" w:rsidR="004E1B5E" w:rsidRDefault="004E1B5E" w:rsidP="00EB6926">
    <w:pPr>
      <w:pStyle w:val="Fuzeile"/>
      <w:jc w:val="center"/>
      <w:rPr>
        <w:sz w:val="16"/>
        <w:szCs w:val="16"/>
        <w:lang w:val="de-DE"/>
      </w:rPr>
    </w:pPr>
    <w:r>
      <w:rPr>
        <w:b/>
        <w:bCs/>
        <w:sz w:val="16"/>
        <w:szCs w:val="16"/>
        <w:lang w:val="de-DE"/>
      </w:rPr>
      <w:br/>
    </w:r>
    <w:r w:rsidRPr="004E1B5E">
      <w:rPr>
        <w:b/>
        <w:bCs/>
        <w:sz w:val="16"/>
        <w:szCs w:val="16"/>
        <w:lang w:val="de-DE"/>
      </w:rPr>
      <w:t>charGER e.V</w:t>
    </w:r>
    <w:r w:rsidRPr="00EB6926">
      <w:rPr>
        <w:b/>
        <w:bCs/>
        <w:sz w:val="16"/>
        <w:szCs w:val="16"/>
        <w:lang w:val="de-DE"/>
      </w:rPr>
      <w:t xml:space="preserve">.  | </w:t>
    </w:r>
    <w:r w:rsidR="00EB6926" w:rsidRPr="00EB6926">
      <w:rPr>
        <w:b/>
        <w:bCs/>
        <w:sz w:val="16"/>
        <w:szCs w:val="16"/>
        <w:lang w:val="de-DE"/>
      </w:rPr>
      <w:t>Ladeinfrastruktur für Deutschland</w:t>
    </w:r>
    <w:r w:rsidR="00EB6926" w:rsidRPr="00EB6926">
      <w:rPr>
        <w:b/>
        <w:bCs/>
        <w:sz w:val="16"/>
        <w:szCs w:val="16"/>
        <w:lang w:val="de-DE"/>
      </w:rPr>
      <w:br/>
    </w:r>
    <w:r w:rsidR="00EB6926" w:rsidRPr="00EB6926">
      <w:rPr>
        <w:sz w:val="16"/>
        <w:szCs w:val="16"/>
        <w:lang w:val="de-DE"/>
      </w:rPr>
      <w:t>Saarbrücker Straße 24, Haus B</w:t>
    </w:r>
    <w:r w:rsidR="00EB6926">
      <w:rPr>
        <w:sz w:val="16"/>
        <w:szCs w:val="16"/>
        <w:lang w:val="de-DE"/>
      </w:rPr>
      <w:t xml:space="preserve">, </w:t>
    </w:r>
    <w:r w:rsidR="00EB6926" w:rsidRPr="00EB6926">
      <w:rPr>
        <w:sz w:val="16"/>
        <w:szCs w:val="16"/>
        <w:lang w:val="de-DE"/>
      </w:rPr>
      <w:t>10405 Berlin</w:t>
    </w:r>
  </w:p>
  <w:p w14:paraId="442D5083" w14:textId="74F20D3A" w:rsidR="004E1B5E" w:rsidRPr="004E1B5E" w:rsidRDefault="00A9609C" w:rsidP="004E1B5E">
    <w:pPr>
      <w:pStyle w:val="Fuzeile"/>
      <w:jc w:val="center"/>
      <w:rPr>
        <w:b/>
        <w:bCs/>
        <w:sz w:val="16"/>
        <w:szCs w:val="16"/>
        <w:lang w:val="de-DE"/>
      </w:rPr>
    </w:pPr>
    <w:r w:rsidRPr="00A9609C">
      <w:rPr>
        <w:sz w:val="16"/>
        <w:szCs w:val="16"/>
        <w:lang w:val="de-DE"/>
      </w:rPr>
      <w:t>https://www.charger-verband.de</w:t>
    </w:r>
    <w:r>
      <w:rPr>
        <w:b/>
        <w:bCs/>
        <w:sz w:val="16"/>
        <w:szCs w:val="16"/>
        <w:lang w:val="de-DE"/>
      </w:rPr>
      <w:br/>
    </w:r>
    <w:r w:rsidR="004E1B5E" w:rsidRPr="004E1B5E">
      <w:rPr>
        <w:b/>
        <w:bCs/>
        <w:sz w:val="16"/>
        <w:szCs w:val="16"/>
        <w:lang w:val="de-DE"/>
      </w:rPr>
      <w:t xml:space="preserve">Seite </w:t>
    </w:r>
    <w:r w:rsidR="004E1B5E" w:rsidRPr="004E1B5E">
      <w:rPr>
        <w:b/>
        <w:bCs/>
        <w:sz w:val="16"/>
        <w:szCs w:val="16"/>
        <w:lang w:val="de-DE"/>
      </w:rPr>
      <w:fldChar w:fldCharType="begin"/>
    </w:r>
    <w:r w:rsidR="004E1B5E" w:rsidRPr="004E1B5E">
      <w:rPr>
        <w:b/>
        <w:bCs/>
        <w:sz w:val="16"/>
        <w:szCs w:val="16"/>
        <w:lang w:val="de-DE"/>
      </w:rPr>
      <w:instrText xml:space="preserve"> PAGE   \* MERGEFORMAT </w:instrText>
    </w:r>
    <w:r w:rsidR="004E1B5E" w:rsidRPr="004E1B5E">
      <w:rPr>
        <w:b/>
        <w:bCs/>
        <w:sz w:val="16"/>
        <w:szCs w:val="16"/>
        <w:lang w:val="de-DE"/>
      </w:rPr>
      <w:fldChar w:fldCharType="separate"/>
    </w:r>
    <w:r w:rsidR="004E1B5E" w:rsidRPr="004E1B5E">
      <w:rPr>
        <w:b/>
        <w:bCs/>
        <w:sz w:val="16"/>
        <w:szCs w:val="16"/>
        <w:lang w:val="de-DE"/>
      </w:rPr>
      <w:t>1</w:t>
    </w:r>
    <w:r w:rsidR="004E1B5E" w:rsidRPr="004E1B5E">
      <w:rPr>
        <w:b/>
        <w:bCs/>
        <w:noProof/>
        <w:sz w:val="16"/>
        <w:szCs w:val="16"/>
        <w:lang w:val="de-DE"/>
      </w:rPr>
      <w:fldChar w:fldCharType="end"/>
    </w:r>
    <w:r w:rsidR="004E1B5E" w:rsidRPr="004E1B5E">
      <w:rPr>
        <w:b/>
        <w:bCs/>
        <w:noProof/>
        <w:sz w:val="16"/>
        <w:szCs w:val="16"/>
        <w:lang w:val="de-DE"/>
      </w:rPr>
      <w:t xml:space="preserve"> </w:t>
    </w:r>
    <w:r w:rsidR="004E1B5E" w:rsidRPr="004E1B5E">
      <w:rPr>
        <w:b/>
        <w:bCs/>
        <w:sz w:val="16"/>
        <w:szCs w:val="16"/>
        <w:lang w:val="de-DE"/>
      </w:rPr>
      <w:t xml:space="preserve">von </w:t>
    </w:r>
    <w:r w:rsidR="004E1B5E" w:rsidRPr="004E1B5E">
      <w:rPr>
        <w:b/>
        <w:bCs/>
        <w:sz w:val="16"/>
        <w:szCs w:val="16"/>
        <w:lang w:val="de-DE"/>
      </w:rPr>
      <w:fldChar w:fldCharType="begin"/>
    </w:r>
    <w:r w:rsidR="004E1B5E" w:rsidRPr="004E1B5E">
      <w:rPr>
        <w:b/>
        <w:bCs/>
        <w:sz w:val="16"/>
        <w:szCs w:val="16"/>
        <w:lang w:val="de-DE"/>
      </w:rPr>
      <w:instrText xml:space="preserve"> NUMPAGES   \* MERGEFORMAT </w:instrText>
    </w:r>
    <w:r w:rsidR="004E1B5E" w:rsidRPr="004E1B5E">
      <w:rPr>
        <w:b/>
        <w:bCs/>
        <w:sz w:val="16"/>
        <w:szCs w:val="16"/>
        <w:lang w:val="de-DE"/>
      </w:rPr>
      <w:fldChar w:fldCharType="separate"/>
    </w:r>
    <w:r w:rsidR="004E1B5E" w:rsidRPr="004E1B5E">
      <w:rPr>
        <w:b/>
        <w:bCs/>
        <w:noProof/>
        <w:sz w:val="16"/>
        <w:szCs w:val="16"/>
        <w:lang w:val="de-DE"/>
      </w:rPr>
      <w:t>1</w:t>
    </w:r>
    <w:r w:rsidR="004E1B5E" w:rsidRPr="004E1B5E">
      <w:rPr>
        <w:b/>
        <w:bCs/>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84AC" w14:textId="77777777" w:rsidR="00336F1D" w:rsidRDefault="00336F1D" w:rsidP="004E1B5E">
      <w:pPr>
        <w:spacing w:after="0" w:line="240" w:lineRule="auto"/>
      </w:pPr>
      <w:r>
        <w:separator/>
      </w:r>
    </w:p>
  </w:footnote>
  <w:footnote w:type="continuationSeparator" w:id="0">
    <w:p w14:paraId="0213A265" w14:textId="77777777" w:rsidR="00336F1D" w:rsidRDefault="00336F1D" w:rsidP="004E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0963" w14:textId="592A534F" w:rsidR="00E06E36" w:rsidRDefault="00E06E36" w:rsidP="00E06E36">
    <w:pPr>
      <w:pStyle w:val="StandardWeb"/>
    </w:pPr>
    <w:r>
      <w:rPr>
        <w:noProof/>
      </w:rPr>
      <w:drawing>
        <wp:anchor distT="0" distB="0" distL="114300" distR="114300" simplePos="0" relativeHeight="251658240" behindDoc="0" locked="0" layoutInCell="1" allowOverlap="1" wp14:anchorId="2FCEE645" wp14:editId="4033C2D5">
          <wp:simplePos x="0" y="0"/>
          <wp:positionH relativeFrom="column">
            <wp:posOffset>5031105</wp:posOffset>
          </wp:positionH>
          <wp:positionV relativeFrom="paragraph">
            <wp:posOffset>7718</wp:posOffset>
          </wp:positionV>
          <wp:extent cx="1413666" cy="8839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666"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56CD7" w14:textId="44D2D1B9" w:rsidR="004E1B5E" w:rsidRPr="00F00CCE" w:rsidRDefault="000034D7" w:rsidP="008E4654">
    <w:pPr>
      <w:pStyle w:val="Kopfzeile"/>
      <w:rPr>
        <w:b/>
        <w:bCs/>
        <w:lang w:val="de-DE"/>
      </w:rPr>
    </w:pPr>
    <w:r w:rsidRPr="00F00CCE">
      <w:rPr>
        <w:lang w:val="de-DE"/>
      </w:rPr>
      <w:t>Stellungnahme zu</w:t>
    </w:r>
    <w:r w:rsidR="008E4654">
      <w:rPr>
        <w:lang w:val="de-DE"/>
      </w:rPr>
      <w:t xml:space="preserve">m Bundestagsbeschluss </w:t>
    </w:r>
    <w:r w:rsidR="008E4654">
      <w:rPr>
        <w:lang w:val="de-DE"/>
      </w:rPr>
      <w:br/>
      <w:t>Gesetz zur Weiterentwicklung der THG QUote</w:t>
    </w:r>
    <w:r w:rsidRPr="00F00CCE">
      <w:rPr>
        <w:b/>
        <w:bCs/>
        <w:lang w:val="de-DE"/>
      </w:rPr>
      <w:br/>
    </w:r>
  </w:p>
  <w:tbl>
    <w:tblPr>
      <w:tblW w:w="0" w:type="auto"/>
      <w:tblLayout w:type="fixed"/>
      <w:tblLook w:val="06A0" w:firstRow="1" w:lastRow="0" w:firstColumn="1" w:lastColumn="0" w:noHBand="1" w:noVBand="1"/>
    </w:tblPr>
    <w:tblGrid>
      <w:gridCol w:w="3020"/>
      <w:gridCol w:w="3020"/>
      <w:gridCol w:w="3020"/>
      <w:gridCol w:w="3020"/>
    </w:tblGrid>
    <w:tr w:rsidR="00E06E36" w:rsidRPr="008E4654" w14:paraId="0B96D230" w14:textId="1EF2FAF8" w:rsidTr="00E06E36">
      <w:trPr>
        <w:trHeight w:val="300"/>
      </w:trPr>
      <w:tc>
        <w:tcPr>
          <w:tcW w:w="3020" w:type="dxa"/>
        </w:tcPr>
        <w:p w14:paraId="7CFA9480" w14:textId="77777777" w:rsidR="00E06E36" w:rsidRPr="00F00CCE" w:rsidRDefault="00E06E36" w:rsidP="00F46DD2">
          <w:pPr>
            <w:pStyle w:val="Kopfzeile"/>
            <w:ind w:left="-115"/>
            <w:rPr>
              <w:lang w:val="de-DE"/>
            </w:rPr>
          </w:pPr>
        </w:p>
      </w:tc>
      <w:tc>
        <w:tcPr>
          <w:tcW w:w="3020" w:type="dxa"/>
        </w:tcPr>
        <w:p w14:paraId="341FDB53" w14:textId="2CE187C9" w:rsidR="00E06E36" w:rsidRPr="00F00CCE" w:rsidRDefault="00E06E36" w:rsidP="00F46DD2">
          <w:pPr>
            <w:pStyle w:val="Kopfzeile"/>
            <w:jc w:val="center"/>
            <w:rPr>
              <w:lang w:val="de-DE"/>
            </w:rPr>
          </w:pPr>
        </w:p>
      </w:tc>
      <w:tc>
        <w:tcPr>
          <w:tcW w:w="3020" w:type="dxa"/>
        </w:tcPr>
        <w:p w14:paraId="452DDD7D" w14:textId="3FB25181" w:rsidR="00E06E36" w:rsidRPr="00F00CCE" w:rsidRDefault="00E06E36" w:rsidP="00F46DD2">
          <w:pPr>
            <w:pStyle w:val="Kopfzeile"/>
            <w:ind w:right="-115"/>
            <w:jc w:val="right"/>
            <w:rPr>
              <w:lang w:val="de-DE"/>
            </w:rPr>
          </w:pPr>
        </w:p>
      </w:tc>
      <w:tc>
        <w:tcPr>
          <w:tcW w:w="3020" w:type="dxa"/>
        </w:tcPr>
        <w:p w14:paraId="6A92B064" w14:textId="2A31F254" w:rsidR="00E06E36" w:rsidRPr="00F00CCE" w:rsidRDefault="00E06E36" w:rsidP="00F46DD2">
          <w:pPr>
            <w:pStyle w:val="Kopfzeile"/>
            <w:ind w:right="-115"/>
            <w:jc w:val="right"/>
            <w:rPr>
              <w:lang w:val="de-DE"/>
            </w:rPr>
          </w:pPr>
        </w:p>
      </w:tc>
    </w:tr>
  </w:tbl>
  <w:p w14:paraId="620930EA" w14:textId="6B0832BC" w:rsidR="004E1B5E" w:rsidRPr="00F00CCE" w:rsidRDefault="004E1B5E">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4F"/>
    <w:multiLevelType w:val="hybridMultilevel"/>
    <w:tmpl w:val="DDE0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1FA7"/>
    <w:multiLevelType w:val="hybridMultilevel"/>
    <w:tmpl w:val="B1023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F1D0D"/>
    <w:multiLevelType w:val="hybridMultilevel"/>
    <w:tmpl w:val="E432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573B"/>
    <w:multiLevelType w:val="hybridMultilevel"/>
    <w:tmpl w:val="6E321224"/>
    <w:lvl w:ilvl="0" w:tplc="8D349A60">
      <w:start w:val="1"/>
      <w:numFmt w:val="decimal"/>
      <w:lvlText w:val="%1)"/>
      <w:lvlJc w:val="left"/>
      <w:pPr>
        <w:ind w:left="1080" w:hanging="360"/>
      </w:pPr>
      <w:rPr>
        <w:rFonts w:hint="default"/>
      </w:rPr>
    </w:lvl>
    <w:lvl w:ilvl="1" w:tplc="44221BFC">
      <w:start w:val="1"/>
      <w:numFmt w:val="lowerLetter"/>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4241D5"/>
    <w:multiLevelType w:val="hybridMultilevel"/>
    <w:tmpl w:val="AE66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4A50F9"/>
    <w:multiLevelType w:val="hybridMultilevel"/>
    <w:tmpl w:val="1302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52953"/>
    <w:multiLevelType w:val="hybridMultilevel"/>
    <w:tmpl w:val="3E84B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32467D"/>
    <w:multiLevelType w:val="hybridMultilevel"/>
    <w:tmpl w:val="DD663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E278FE"/>
    <w:multiLevelType w:val="hybridMultilevel"/>
    <w:tmpl w:val="3C283412"/>
    <w:lvl w:ilvl="0" w:tplc="25D6CBA6">
      <w:start w:val="1"/>
      <w:numFmt w:val="upp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E2A12"/>
    <w:multiLevelType w:val="hybridMultilevel"/>
    <w:tmpl w:val="70E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D644D"/>
    <w:multiLevelType w:val="hybridMultilevel"/>
    <w:tmpl w:val="4322F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2F49D1"/>
    <w:multiLevelType w:val="hybridMultilevel"/>
    <w:tmpl w:val="1A02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522DF"/>
    <w:multiLevelType w:val="hybridMultilevel"/>
    <w:tmpl w:val="D8F23AA8"/>
    <w:lvl w:ilvl="0" w:tplc="6FF47E04">
      <w:start w:val="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33B62"/>
    <w:multiLevelType w:val="hybridMultilevel"/>
    <w:tmpl w:val="961AD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D6F4B"/>
    <w:multiLevelType w:val="hybridMultilevel"/>
    <w:tmpl w:val="D520B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E2531"/>
    <w:multiLevelType w:val="multilevel"/>
    <w:tmpl w:val="28DA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C090E"/>
    <w:multiLevelType w:val="hybridMultilevel"/>
    <w:tmpl w:val="8ADA7892"/>
    <w:lvl w:ilvl="0" w:tplc="989C32C2">
      <w:start w:val="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44AB3"/>
    <w:multiLevelType w:val="hybridMultilevel"/>
    <w:tmpl w:val="06F07D46"/>
    <w:lvl w:ilvl="0" w:tplc="C92AFB22">
      <w:start w:val="1"/>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47B4B"/>
    <w:multiLevelType w:val="hybridMultilevel"/>
    <w:tmpl w:val="38A4734A"/>
    <w:lvl w:ilvl="0" w:tplc="838E5E12">
      <w:start w:val="23"/>
      <w:numFmt w:val="bullet"/>
      <w:lvlText w:val="-"/>
      <w:lvlJc w:val="left"/>
      <w:pPr>
        <w:ind w:left="1128" w:hanging="360"/>
      </w:pPr>
      <w:rPr>
        <w:rFonts w:ascii="Aptos" w:eastAsiaTheme="minorHAnsi" w:hAnsi="Aptos"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9" w15:restartNumberingAfterBreak="0">
    <w:nsid w:val="66A5276D"/>
    <w:multiLevelType w:val="hybridMultilevel"/>
    <w:tmpl w:val="54F6C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823B77"/>
    <w:multiLevelType w:val="hybridMultilevel"/>
    <w:tmpl w:val="0498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B18CA1"/>
    <w:multiLevelType w:val="hybridMultilevel"/>
    <w:tmpl w:val="2C8448AE"/>
    <w:lvl w:ilvl="0" w:tplc="8FA4F742">
      <w:start w:val="1"/>
      <w:numFmt w:val="upperLetter"/>
      <w:lvlText w:val="%1)"/>
      <w:lvlJc w:val="left"/>
      <w:pPr>
        <w:ind w:left="720" w:hanging="360"/>
      </w:pPr>
    </w:lvl>
    <w:lvl w:ilvl="1" w:tplc="637ABA34">
      <w:start w:val="1"/>
      <w:numFmt w:val="lowerLetter"/>
      <w:lvlText w:val="%2."/>
      <w:lvlJc w:val="left"/>
      <w:pPr>
        <w:ind w:left="1440" w:hanging="360"/>
      </w:pPr>
    </w:lvl>
    <w:lvl w:ilvl="2" w:tplc="DDBE7FCA">
      <w:start w:val="1"/>
      <w:numFmt w:val="lowerRoman"/>
      <w:lvlText w:val="%3."/>
      <w:lvlJc w:val="right"/>
      <w:pPr>
        <w:ind w:left="2160" w:hanging="180"/>
      </w:pPr>
    </w:lvl>
    <w:lvl w:ilvl="3" w:tplc="0708223C">
      <w:start w:val="1"/>
      <w:numFmt w:val="decimal"/>
      <w:lvlText w:val="%4."/>
      <w:lvlJc w:val="left"/>
      <w:pPr>
        <w:ind w:left="2880" w:hanging="360"/>
      </w:pPr>
    </w:lvl>
    <w:lvl w:ilvl="4" w:tplc="DEB8DE98">
      <w:start w:val="1"/>
      <w:numFmt w:val="lowerLetter"/>
      <w:lvlText w:val="%5."/>
      <w:lvlJc w:val="left"/>
      <w:pPr>
        <w:ind w:left="3600" w:hanging="360"/>
      </w:pPr>
    </w:lvl>
    <w:lvl w:ilvl="5" w:tplc="FDD0BE04">
      <w:start w:val="1"/>
      <w:numFmt w:val="lowerRoman"/>
      <w:lvlText w:val="%6."/>
      <w:lvlJc w:val="right"/>
      <w:pPr>
        <w:ind w:left="4320" w:hanging="180"/>
      </w:pPr>
    </w:lvl>
    <w:lvl w:ilvl="6" w:tplc="140A1766">
      <w:start w:val="1"/>
      <w:numFmt w:val="decimal"/>
      <w:lvlText w:val="%7."/>
      <w:lvlJc w:val="left"/>
      <w:pPr>
        <w:ind w:left="5040" w:hanging="360"/>
      </w:pPr>
    </w:lvl>
    <w:lvl w:ilvl="7" w:tplc="FB84BD84">
      <w:start w:val="1"/>
      <w:numFmt w:val="lowerLetter"/>
      <w:lvlText w:val="%8."/>
      <w:lvlJc w:val="left"/>
      <w:pPr>
        <w:ind w:left="5760" w:hanging="360"/>
      </w:pPr>
    </w:lvl>
    <w:lvl w:ilvl="8" w:tplc="FC700C42">
      <w:start w:val="1"/>
      <w:numFmt w:val="lowerRoman"/>
      <w:lvlText w:val="%9."/>
      <w:lvlJc w:val="right"/>
      <w:pPr>
        <w:ind w:left="6480" w:hanging="180"/>
      </w:pPr>
    </w:lvl>
  </w:abstractNum>
  <w:abstractNum w:abstractNumId="22" w15:restartNumberingAfterBreak="0">
    <w:nsid w:val="7F3C010F"/>
    <w:multiLevelType w:val="hybridMultilevel"/>
    <w:tmpl w:val="8544EBC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num w:numId="1" w16cid:durableId="211115130">
    <w:abstractNumId w:val="21"/>
  </w:num>
  <w:num w:numId="2" w16cid:durableId="1690373118">
    <w:abstractNumId w:val="12"/>
  </w:num>
  <w:num w:numId="3" w16cid:durableId="776485142">
    <w:abstractNumId w:val="16"/>
  </w:num>
  <w:num w:numId="4" w16cid:durableId="2061631649">
    <w:abstractNumId w:val="18"/>
  </w:num>
  <w:num w:numId="5" w16cid:durableId="1486580526">
    <w:abstractNumId w:val="11"/>
  </w:num>
  <w:num w:numId="6" w16cid:durableId="751050581">
    <w:abstractNumId w:val="10"/>
  </w:num>
  <w:num w:numId="7" w16cid:durableId="319042815">
    <w:abstractNumId w:val="3"/>
  </w:num>
  <w:num w:numId="8" w16cid:durableId="1992100959">
    <w:abstractNumId w:val="9"/>
  </w:num>
  <w:num w:numId="9" w16cid:durableId="1472400073">
    <w:abstractNumId w:val="17"/>
  </w:num>
  <w:num w:numId="10" w16cid:durableId="2133132024">
    <w:abstractNumId w:val="0"/>
  </w:num>
  <w:num w:numId="11" w16cid:durableId="245923049">
    <w:abstractNumId w:val="14"/>
  </w:num>
  <w:num w:numId="12" w16cid:durableId="753820059">
    <w:abstractNumId w:val="13"/>
  </w:num>
  <w:num w:numId="13" w16cid:durableId="2008046774">
    <w:abstractNumId w:val="2"/>
  </w:num>
  <w:num w:numId="14" w16cid:durableId="1588076434">
    <w:abstractNumId w:val="1"/>
  </w:num>
  <w:num w:numId="15" w16cid:durableId="473719181">
    <w:abstractNumId w:val="5"/>
  </w:num>
  <w:num w:numId="16" w16cid:durableId="401413346">
    <w:abstractNumId w:val="19"/>
  </w:num>
  <w:num w:numId="17" w16cid:durableId="288360298">
    <w:abstractNumId w:val="6"/>
  </w:num>
  <w:num w:numId="18" w16cid:durableId="75442823">
    <w:abstractNumId w:val="7"/>
  </w:num>
  <w:num w:numId="19" w16cid:durableId="638730127">
    <w:abstractNumId w:val="4"/>
  </w:num>
  <w:num w:numId="20" w16cid:durableId="1244684998">
    <w:abstractNumId w:val="22"/>
  </w:num>
  <w:num w:numId="21" w16cid:durableId="971907707">
    <w:abstractNumId w:val="20"/>
  </w:num>
  <w:num w:numId="22" w16cid:durableId="314920048">
    <w:abstractNumId w:val="15"/>
  </w:num>
  <w:num w:numId="23" w16cid:durableId="1627587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5E"/>
    <w:rsid w:val="00000434"/>
    <w:rsid w:val="000022BA"/>
    <w:rsid w:val="000034D7"/>
    <w:rsid w:val="0001016B"/>
    <w:rsid w:val="00011505"/>
    <w:rsid w:val="000206F0"/>
    <w:rsid w:val="0002175B"/>
    <w:rsid w:val="000228BB"/>
    <w:rsid w:val="00027168"/>
    <w:rsid w:val="00030D48"/>
    <w:rsid w:val="00032658"/>
    <w:rsid w:val="00034CD9"/>
    <w:rsid w:val="000406BC"/>
    <w:rsid w:val="00041E15"/>
    <w:rsid w:val="0004461D"/>
    <w:rsid w:val="0004523B"/>
    <w:rsid w:val="000472D6"/>
    <w:rsid w:val="00047D43"/>
    <w:rsid w:val="00053DAA"/>
    <w:rsid w:val="00054204"/>
    <w:rsid w:val="000551C7"/>
    <w:rsid w:val="00057F97"/>
    <w:rsid w:val="00060092"/>
    <w:rsid w:val="000617FF"/>
    <w:rsid w:val="00063032"/>
    <w:rsid w:val="000637C4"/>
    <w:rsid w:val="000656E6"/>
    <w:rsid w:val="00065DF9"/>
    <w:rsid w:val="00070D52"/>
    <w:rsid w:val="00072D68"/>
    <w:rsid w:val="00074BAE"/>
    <w:rsid w:val="00076157"/>
    <w:rsid w:val="00076311"/>
    <w:rsid w:val="000770F8"/>
    <w:rsid w:val="000804D8"/>
    <w:rsid w:val="000815E5"/>
    <w:rsid w:val="0008303D"/>
    <w:rsid w:val="000852C5"/>
    <w:rsid w:val="000875B8"/>
    <w:rsid w:val="00090D46"/>
    <w:rsid w:val="00091266"/>
    <w:rsid w:val="00091C88"/>
    <w:rsid w:val="00093087"/>
    <w:rsid w:val="00093375"/>
    <w:rsid w:val="0009685A"/>
    <w:rsid w:val="00097DF4"/>
    <w:rsid w:val="000A04EC"/>
    <w:rsid w:val="000A0509"/>
    <w:rsid w:val="000A4744"/>
    <w:rsid w:val="000A4CE0"/>
    <w:rsid w:val="000A61ED"/>
    <w:rsid w:val="000A6830"/>
    <w:rsid w:val="000B3AA0"/>
    <w:rsid w:val="000B3D1A"/>
    <w:rsid w:val="000B485E"/>
    <w:rsid w:val="000B70C5"/>
    <w:rsid w:val="000C33F5"/>
    <w:rsid w:val="000C44A3"/>
    <w:rsid w:val="000C72B0"/>
    <w:rsid w:val="000D15D9"/>
    <w:rsid w:val="000D20C7"/>
    <w:rsid w:val="000D22D0"/>
    <w:rsid w:val="000D29CF"/>
    <w:rsid w:val="000D2C20"/>
    <w:rsid w:val="000D356A"/>
    <w:rsid w:val="000D5659"/>
    <w:rsid w:val="000D5D12"/>
    <w:rsid w:val="000D6DEA"/>
    <w:rsid w:val="000D7905"/>
    <w:rsid w:val="000D7AE0"/>
    <w:rsid w:val="000D7D08"/>
    <w:rsid w:val="000E00D4"/>
    <w:rsid w:val="000E029B"/>
    <w:rsid w:val="000E2542"/>
    <w:rsid w:val="000E4C95"/>
    <w:rsid w:val="000F341C"/>
    <w:rsid w:val="000F5D01"/>
    <w:rsid w:val="0010526E"/>
    <w:rsid w:val="00105532"/>
    <w:rsid w:val="00110B56"/>
    <w:rsid w:val="00112A92"/>
    <w:rsid w:val="00112ADB"/>
    <w:rsid w:val="00112B4C"/>
    <w:rsid w:val="00112C23"/>
    <w:rsid w:val="0012547C"/>
    <w:rsid w:val="001260D6"/>
    <w:rsid w:val="00130669"/>
    <w:rsid w:val="001320A0"/>
    <w:rsid w:val="00135F1E"/>
    <w:rsid w:val="00143A03"/>
    <w:rsid w:val="0014670A"/>
    <w:rsid w:val="00153C83"/>
    <w:rsid w:val="00154883"/>
    <w:rsid w:val="001579E7"/>
    <w:rsid w:val="001631DA"/>
    <w:rsid w:val="001635ED"/>
    <w:rsid w:val="0016424D"/>
    <w:rsid w:val="001708A4"/>
    <w:rsid w:val="00171F1A"/>
    <w:rsid w:val="00173146"/>
    <w:rsid w:val="001739ED"/>
    <w:rsid w:val="00181A29"/>
    <w:rsid w:val="001860A2"/>
    <w:rsid w:val="001861D8"/>
    <w:rsid w:val="00190036"/>
    <w:rsid w:val="00191888"/>
    <w:rsid w:val="00192F01"/>
    <w:rsid w:val="00194027"/>
    <w:rsid w:val="0019418D"/>
    <w:rsid w:val="00194E2F"/>
    <w:rsid w:val="00195792"/>
    <w:rsid w:val="00196963"/>
    <w:rsid w:val="00197541"/>
    <w:rsid w:val="00197892"/>
    <w:rsid w:val="001A0BAA"/>
    <w:rsid w:val="001A181F"/>
    <w:rsid w:val="001A3009"/>
    <w:rsid w:val="001A5963"/>
    <w:rsid w:val="001A6EB6"/>
    <w:rsid w:val="001B0514"/>
    <w:rsid w:val="001C255B"/>
    <w:rsid w:val="001C300C"/>
    <w:rsid w:val="001D28BA"/>
    <w:rsid w:val="001D2B08"/>
    <w:rsid w:val="001D55D4"/>
    <w:rsid w:val="001E4135"/>
    <w:rsid w:val="001E6282"/>
    <w:rsid w:val="001F118C"/>
    <w:rsid w:val="001F19E0"/>
    <w:rsid w:val="001F38BF"/>
    <w:rsid w:val="001F3E90"/>
    <w:rsid w:val="00202121"/>
    <w:rsid w:val="00203651"/>
    <w:rsid w:val="002048F7"/>
    <w:rsid w:val="002052A5"/>
    <w:rsid w:val="0020748E"/>
    <w:rsid w:val="00207F2B"/>
    <w:rsid w:val="00210896"/>
    <w:rsid w:val="00210B77"/>
    <w:rsid w:val="00211228"/>
    <w:rsid w:val="00214117"/>
    <w:rsid w:val="00215393"/>
    <w:rsid w:val="00216924"/>
    <w:rsid w:val="002214B4"/>
    <w:rsid w:val="00221804"/>
    <w:rsid w:val="002226E0"/>
    <w:rsid w:val="00223F84"/>
    <w:rsid w:val="00223FC8"/>
    <w:rsid w:val="002324B4"/>
    <w:rsid w:val="002329F8"/>
    <w:rsid w:val="00233C16"/>
    <w:rsid w:val="002346BC"/>
    <w:rsid w:val="0023489E"/>
    <w:rsid w:val="00234D26"/>
    <w:rsid w:val="00234FE2"/>
    <w:rsid w:val="002353E5"/>
    <w:rsid w:val="00235C98"/>
    <w:rsid w:val="00236EC4"/>
    <w:rsid w:val="00247C15"/>
    <w:rsid w:val="00252327"/>
    <w:rsid w:val="00252B1E"/>
    <w:rsid w:val="002549E3"/>
    <w:rsid w:val="002555AC"/>
    <w:rsid w:val="00262A1A"/>
    <w:rsid w:val="00262C2B"/>
    <w:rsid w:val="00266762"/>
    <w:rsid w:val="00266F44"/>
    <w:rsid w:val="00267658"/>
    <w:rsid w:val="00267E1C"/>
    <w:rsid w:val="00270DF2"/>
    <w:rsid w:val="00273A2D"/>
    <w:rsid w:val="00273B00"/>
    <w:rsid w:val="00274044"/>
    <w:rsid w:val="00277C1D"/>
    <w:rsid w:val="002827B2"/>
    <w:rsid w:val="00282BC8"/>
    <w:rsid w:val="002840CB"/>
    <w:rsid w:val="002851FB"/>
    <w:rsid w:val="00285554"/>
    <w:rsid w:val="00290178"/>
    <w:rsid w:val="002928C9"/>
    <w:rsid w:val="00292E59"/>
    <w:rsid w:val="00292E7E"/>
    <w:rsid w:val="00293F1F"/>
    <w:rsid w:val="00294292"/>
    <w:rsid w:val="002950CF"/>
    <w:rsid w:val="002A1526"/>
    <w:rsid w:val="002A5833"/>
    <w:rsid w:val="002A61F4"/>
    <w:rsid w:val="002B47B3"/>
    <w:rsid w:val="002B498B"/>
    <w:rsid w:val="002B50C4"/>
    <w:rsid w:val="002B5F1D"/>
    <w:rsid w:val="002B64A2"/>
    <w:rsid w:val="002C0BD0"/>
    <w:rsid w:val="002C13A8"/>
    <w:rsid w:val="002C2418"/>
    <w:rsid w:val="002C43BB"/>
    <w:rsid w:val="002C54D6"/>
    <w:rsid w:val="002D2460"/>
    <w:rsid w:val="002D27BE"/>
    <w:rsid w:val="002D5766"/>
    <w:rsid w:val="002D5E92"/>
    <w:rsid w:val="002D615C"/>
    <w:rsid w:val="002D61C6"/>
    <w:rsid w:val="002D7557"/>
    <w:rsid w:val="002D771F"/>
    <w:rsid w:val="002D792E"/>
    <w:rsid w:val="002E4A9E"/>
    <w:rsid w:val="002E5194"/>
    <w:rsid w:val="002E641D"/>
    <w:rsid w:val="002E64DB"/>
    <w:rsid w:val="002F235A"/>
    <w:rsid w:val="002F279A"/>
    <w:rsid w:val="002F3990"/>
    <w:rsid w:val="003004C8"/>
    <w:rsid w:val="003011C5"/>
    <w:rsid w:val="00303FD9"/>
    <w:rsid w:val="00304577"/>
    <w:rsid w:val="00306976"/>
    <w:rsid w:val="00307622"/>
    <w:rsid w:val="003137FD"/>
    <w:rsid w:val="00315334"/>
    <w:rsid w:val="00317266"/>
    <w:rsid w:val="003202E5"/>
    <w:rsid w:val="0032074C"/>
    <w:rsid w:val="0032093F"/>
    <w:rsid w:val="00320B6A"/>
    <w:rsid w:val="00332974"/>
    <w:rsid w:val="003369C0"/>
    <w:rsid w:val="00336F1D"/>
    <w:rsid w:val="00340597"/>
    <w:rsid w:val="00343A2A"/>
    <w:rsid w:val="00343B96"/>
    <w:rsid w:val="0034730C"/>
    <w:rsid w:val="00351B1C"/>
    <w:rsid w:val="00352976"/>
    <w:rsid w:val="0035556B"/>
    <w:rsid w:val="00361D7B"/>
    <w:rsid w:val="00361FEE"/>
    <w:rsid w:val="00362FFF"/>
    <w:rsid w:val="00365AC4"/>
    <w:rsid w:val="003708CD"/>
    <w:rsid w:val="00371C79"/>
    <w:rsid w:val="00372893"/>
    <w:rsid w:val="00373A68"/>
    <w:rsid w:val="00380CF3"/>
    <w:rsid w:val="00382171"/>
    <w:rsid w:val="00382921"/>
    <w:rsid w:val="0038527C"/>
    <w:rsid w:val="00386017"/>
    <w:rsid w:val="00390C17"/>
    <w:rsid w:val="00392122"/>
    <w:rsid w:val="00392726"/>
    <w:rsid w:val="00394098"/>
    <w:rsid w:val="00395CA9"/>
    <w:rsid w:val="003967EB"/>
    <w:rsid w:val="00396885"/>
    <w:rsid w:val="0039726C"/>
    <w:rsid w:val="003A1B41"/>
    <w:rsid w:val="003A3B0B"/>
    <w:rsid w:val="003A47DF"/>
    <w:rsid w:val="003A63EA"/>
    <w:rsid w:val="003B5CF6"/>
    <w:rsid w:val="003C2B88"/>
    <w:rsid w:val="003C4667"/>
    <w:rsid w:val="003C6C81"/>
    <w:rsid w:val="003D538B"/>
    <w:rsid w:val="003D5462"/>
    <w:rsid w:val="003E0B5A"/>
    <w:rsid w:val="003E147A"/>
    <w:rsid w:val="003E3052"/>
    <w:rsid w:val="003E3956"/>
    <w:rsid w:val="003E3E18"/>
    <w:rsid w:val="003E55D6"/>
    <w:rsid w:val="003E7291"/>
    <w:rsid w:val="003F31EC"/>
    <w:rsid w:val="003F3835"/>
    <w:rsid w:val="003F5696"/>
    <w:rsid w:val="003F6812"/>
    <w:rsid w:val="003F7E38"/>
    <w:rsid w:val="00401127"/>
    <w:rsid w:val="00403DC6"/>
    <w:rsid w:val="00406A5A"/>
    <w:rsid w:val="00406BA3"/>
    <w:rsid w:val="00412E52"/>
    <w:rsid w:val="004147DA"/>
    <w:rsid w:val="00415151"/>
    <w:rsid w:val="00415907"/>
    <w:rsid w:val="00416750"/>
    <w:rsid w:val="004177FA"/>
    <w:rsid w:val="00417E94"/>
    <w:rsid w:val="00417EA5"/>
    <w:rsid w:val="00420BB8"/>
    <w:rsid w:val="004210F3"/>
    <w:rsid w:val="00424D96"/>
    <w:rsid w:val="004269A3"/>
    <w:rsid w:val="0042784A"/>
    <w:rsid w:val="004314EC"/>
    <w:rsid w:val="00441F57"/>
    <w:rsid w:val="0044295D"/>
    <w:rsid w:val="00442D12"/>
    <w:rsid w:val="004438A4"/>
    <w:rsid w:val="004449DD"/>
    <w:rsid w:val="00444CB5"/>
    <w:rsid w:val="00446B9A"/>
    <w:rsid w:val="00450EC0"/>
    <w:rsid w:val="00454A94"/>
    <w:rsid w:val="004555A4"/>
    <w:rsid w:val="00460120"/>
    <w:rsid w:val="00461DBF"/>
    <w:rsid w:val="00465524"/>
    <w:rsid w:val="00465EB1"/>
    <w:rsid w:val="00473031"/>
    <w:rsid w:val="004730CA"/>
    <w:rsid w:val="00474F5B"/>
    <w:rsid w:val="00475883"/>
    <w:rsid w:val="00480946"/>
    <w:rsid w:val="00481AEB"/>
    <w:rsid w:val="004828D8"/>
    <w:rsid w:val="0048356D"/>
    <w:rsid w:val="0048441D"/>
    <w:rsid w:val="004860F1"/>
    <w:rsid w:val="00486FE4"/>
    <w:rsid w:val="0048721B"/>
    <w:rsid w:val="004918CC"/>
    <w:rsid w:val="00493B18"/>
    <w:rsid w:val="004A1E63"/>
    <w:rsid w:val="004A22EC"/>
    <w:rsid w:val="004A354E"/>
    <w:rsid w:val="004A4FE1"/>
    <w:rsid w:val="004A634C"/>
    <w:rsid w:val="004A72CD"/>
    <w:rsid w:val="004B4F90"/>
    <w:rsid w:val="004B5935"/>
    <w:rsid w:val="004C0FC7"/>
    <w:rsid w:val="004C0FEC"/>
    <w:rsid w:val="004C29FD"/>
    <w:rsid w:val="004C5462"/>
    <w:rsid w:val="004D07D8"/>
    <w:rsid w:val="004D15E1"/>
    <w:rsid w:val="004D35E1"/>
    <w:rsid w:val="004D5712"/>
    <w:rsid w:val="004D7314"/>
    <w:rsid w:val="004D787D"/>
    <w:rsid w:val="004E0082"/>
    <w:rsid w:val="004E03C7"/>
    <w:rsid w:val="004E12F0"/>
    <w:rsid w:val="004E1B5E"/>
    <w:rsid w:val="004E2D6A"/>
    <w:rsid w:val="004E3F07"/>
    <w:rsid w:val="004E4EB5"/>
    <w:rsid w:val="004E7A71"/>
    <w:rsid w:val="004F18E3"/>
    <w:rsid w:val="004F74F1"/>
    <w:rsid w:val="004F7D5A"/>
    <w:rsid w:val="005005E1"/>
    <w:rsid w:val="00501256"/>
    <w:rsid w:val="005026AF"/>
    <w:rsid w:val="00503E84"/>
    <w:rsid w:val="0050403E"/>
    <w:rsid w:val="00510BB0"/>
    <w:rsid w:val="00511431"/>
    <w:rsid w:val="00513BB5"/>
    <w:rsid w:val="005159A4"/>
    <w:rsid w:val="00515B3E"/>
    <w:rsid w:val="005203AE"/>
    <w:rsid w:val="005215BA"/>
    <w:rsid w:val="0052299E"/>
    <w:rsid w:val="005232C1"/>
    <w:rsid w:val="005232FC"/>
    <w:rsid w:val="005272F2"/>
    <w:rsid w:val="00530001"/>
    <w:rsid w:val="00530320"/>
    <w:rsid w:val="00530C3E"/>
    <w:rsid w:val="00531A5F"/>
    <w:rsid w:val="00532057"/>
    <w:rsid w:val="0053324D"/>
    <w:rsid w:val="005336A0"/>
    <w:rsid w:val="00535C01"/>
    <w:rsid w:val="00540CDC"/>
    <w:rsid w:val="005479F4"/>
    <w:rsid w:val="00552E48"/>
    <w:rsid w:val="00556570"/>
    <w:rsid w:val="00557778"/>
    <w:rsid w:val="00557B5F"/>
    <w:rsid w:val="00561F14"/>
    <w:rsid w:val="00563C56"/>
    <w:rsid w:val="00563E23"/>
    <w:rsid w:val="00564490"/>
    <w:rsid w:val="005671FE"/>
    <w:rsid w:val="00571BE9"/>
    <w:rsid w:val="00574554"/>
    <w:rsid w:val="00574BE7"/>
    <w:rsid w:val="005751AF"/>
    <w:rsid w:val="0058372B"/>
    <w:rsid w:val="00583DC1"/>
    <w:rsid w:val="005863A6"/>
    <w:rsid w:val="0059357B"/>
    <w:rsid w:val="00594D91"/>
    <w:rsid w:val="00595C2A"/>
    <w:rsid w:val="00597DAE"/>
    <w:rsid w:val="005A2A09"/>
    <w:rsid w:val="005A7452"/>
    <w:rsid w:val="005B036F"/>
    <w:rsid w:val="005B23B9"/>
    <w:rsid w:val="005B2685"/>
    <w:rsid w:val="005B28DE"/>
    <w:rsid w:val="005B3492"/>
    <w:rsid w:val="005B7984"/>
    <w:rsid w:val="005C2B0B"/>
    <w:rsid w:val="005C3CC9"/>
    <w:rsid w:val="005C53F1"/>
    <w:rsid w:val="005D7C84"/>
    <w:rsid w:val="005D7F71"/>
    <w:rsid w:val="005E075D"/>
    <w:rsid w:val="005E2D89"/>
    <w:rsid w:val="005E3747"/>
    <w:rsid w:val="005E5233"/>
    <w:rsid w:val="005E54DB"/>
    <w:rsid w:val="005F1117"/>
    <w:rsid w:val="005F31CC"/>
    <w:rsid w:val="005F3BC8"/>
    <w:rsid w:val="005F3CC7"/>
    <w:rsid w:val="00601485"/>
    <w:rsid w:val="00604696"/>
    <w:rsid w:val="00604B1B"/>
    <w:rsid w:val="00604BCC"/>
    <w:rsid w:val="00604F3D"/>
    <w:rsid w:val="006061B1"/>
    <w:rsid w:val="00606B35"/>
    <w:rsid w:val="00611BBB"/>
    <w:rsid w:val="00612B31"/>
    <w:rsid w:val="00612B88"/>
    <w:rsid w:val="00612C87"/>
    <w:rsid w:val="00622358"/>
    <w:rsid w:val="00622373"/>
    <w:rsid w:val="00623FF5"/>
    <w:rsid w:val="00624BAD"/>
    <w:rsid w:val="00624E1D"/>
    <w:rsid w:val="00632E18"/>
    <w:rsid w:val="006343AB"/>
    <w:rsid w:val="006347E8"/>
    <w:rsid w:val="006349FA"/>
    <w:rsid w:val="00634D6E"/>
    <w:rsid w:val="0064511D"/>
    <w:rsid w:val="00647F63"/>
    <w:rsid w:val="006522A3"/>
    <w:rsid w:val="00653408"/>
    <w:rsid w:val="00655AD4"/>
    <w:rsid w:val="0065675A"/>
    <w:rsid w:val="0066124D"/>
    <w:rsid w:val="006612AD"/>
    <w:rsid w:val="00662819"/>
    <w:rsid w:val="006631EF"/>
    <w:rsid w:val="00670646"/>
    <w:rsid w:val="0067120C"/>
    <w:rsid w:val="00673146"/>
    <w:rsid w:val="0068205D"/>
    <w:rsid w:val="00683358"/>
    <w:rsid w:val="00684384"/>
    <w:rsid w:val="006906A7"/>
    <w:rsid w:val="0069118E"/>
    <w:rsid w:val="006953BF"/>
    <w:rsid w:val="00695872"/>
    <w:rsid w:val="006973B5"/>
    <w:rsid w:val="006A0935"/>
    <w:rsid w:val="006A2883"/>
    <w:rsid w:val="006A2900"/>
    <w:rsid w:val="006A4F1C"/>
    <w:rsid w:val="006A59BF"/>
    <w:rsid w:val="006B1D35"/>
    <w:rsid w:val="006B2EE5"/>
    <w:rsid w:val="006B3B1E"/>
    <w:rsid w:val="006B514C"/>
    <w:rsid w:val="006C0BD9"/>
    <w:rsid w:val="006C1197"/>
    <w:rsid w:val="006C14D9"/>
    <w:rsid w:val="006C3813"/>
    <w:rsid w:val="006D14F6"/>
    <w:rsid w:val="006D4D47"/>
    <w:rsid w:val="006E0E5B"/>
    <w:rsid w:val="006E21F4"/>
    <w:rsid w:val="006E2D87"/>
    <w:rsid w:val="006E31F3"/>
    <w:rsid w:val="006E5102"/>
    <w:rsid w:val="006E6952"/>
    <w:rsid w:val="006F51EF"/>
    <w:rsid w:val="007030F2"/>
    <w:rsid w:val="00705706"/>
    <w:rsid w:val="007065D2"/>
    <w:rsid w:val="0070668D"/>
    <w:rsid w:val="00707EB8"/>
    <w:rsid w:val="00710F0B"/>
    <w:rsid w:val="007113D4"/>
    <w:rsid w:val="0071636A"/>
    <w:rsid w:val="00716B9B"/>
    <w:rsid w:val="007227EB"/>
    <w:rsid w:val="007243EB"/>
    <w:rsid w:val="00726CCC"/>
    <w:rsid w:val="00727C21"/>
    <w:rsid w:val="00730F64"/>
    <w:rsid w:val="007369B7"/>
    <w:rsid w:val="00736E69"/>
    <w:rsid w:val="00745D3D"/>
    <w:rsid w:val="00747E70"/>
    <w:rsid w:val="00754770"/>
    <w:rsid w:val="00754B14"/>
    <w:rsid w:val="00757AE2"/>
    <w:rsid w:val="00757FF1"/>
    <w:rsid w:val="00760206"/>
    <w:rsid w:val="0076139A"/>
    <w:rsid w:val="00762384"/>
    <w:rsid w:val="00763EFD"/>
    <w:rsid w:val="007641C4"/>
    <w:rsid w:val="00764320"/>
    <w:rsid w:val="0076544E"/>
    <w:rsid w:val="00766052"/>
    <w:rsid w:val="00766193"/>
    <w:rsid w:val="00766E22"/>
    <w:rsid w:val="0077153A"/>
    <w:rsid w:val="00773524"/>
    <w:rsid w:val="00775D2F"/>
    <w:rsid w:val="007769D7"/>
    <w:rsid w:val="007817D1"/>
    <w:rsid w:val="00783674"/>
    <w:rsid w:val="00783685"/>
    <w:rsid w:val="00791F54"/>
    <w:rsid w:val="00792701"/>
    <w:rsid w:val="00792779"/>
    <w:rsid w:val="00793920"/>
    <w:rsid w:val="00793D8A"/>
    <w:rsid w:val="00796A41"/>
    <w:rsid w:val="00796CA9"/>
    <w:rsid w:val="007A1E35"/>
    <w:rsid w:val="007A2346"/>
    <w:rsid w:val="007A4602"/>
    <w:rsid w:val="007B444F"/>
    <w:rsid w:val="007C0906"/>
    <w:rsid w:val="007C13DF"/>
    <w:rsid w:val="007C3FDE"/>
    <w:rsid w:val="007C7504"/>
    <w:rsid w:val="007C7B02"/>
    <w:rsid w:val="007D09C8"/>
    <w:rsid w:val="007D3B05"/>
    <w:rsid w:val="007D3C24"/>
    <w:rsid w:val="007D4326"/>
    <w:rsid w:val="007D5B94"/>
    <w:rsid w:val="007D60A7"/>
    <w:rsid w:val="007D75CF"/>
    <w:rsid w:val="007E07B4"/>
    <w:rsid w:val="007E5BAB"/>
    <w:rsid w:val="007E5CE2"/>
    <w:rsid w:val="007F0452"/>
    <w:rsid w:val="007F14B6"/>
    <w:rsid w:val="007F28CD"/>
    <w:rsid w:val="007F29FD"/>
    <w:rsid w:val="007F344A"/>
    <w:rsid w:val="007F412F"/>
    <w:rsid w:val="007F60EC"/>
    <w:rsid w:val="00802BE2"/>
    <w:rsid w:val="0080764A"/>
    <w:rsid w:val="00810AD2"/>
    <w:rsid w:val="00810B17"/>
    <w:rsid w:val="00812EAD"/>
    <w:rsid w:val="00812FD3"/>
    <w:rsid w:val="00815A3D"/>
    <w:rsid w:val="00816CA5"/>
    <w:rsid w:val="00827E73"/>
    <w:rsid w:val="0083003D"/>
    <w:rsid w:val="00834C89"/>
    <w:rsid w:val="00845F1E"/>
    <w:rsid w:val="00846E1F"/>
    <w:rsid w:val="00852FC2"/>
    <w:rsid w:val="00853F7C"/>
    <w:rsid w:val="0085493F"/>
    <w:rsid w:val="00856FC4"/>
    <w:rsid w:val="00861969"/>
    <w:rsid w:val="0086197A"/>
    <w:rsid w:val="00864745"/>
    <w:rsid w:val="00865082"/>
    <w:rsid w:val="00881509"/>
    <w:rsid w:val="00886150"/>
    <w:rsid w:val="00887774"/>
    <w:rsid w:val="00890327"/>
    <w:rsid w:val="00890675"/>
    <w:rsid w:val="008961F1"/>
    <w:rsid w:val="008A0F18"/>
    <w:rsid w:val="008A3C06"/>
    <w:rsid w:val="008A46C3"/>
    <w:rsid w:val="008B0B44"/>
    <w:rsid w:val="008B1EF3"/>
    <w:rsid w:val="008B66AC"/>
    <w:rsid w:val="008C2826"/>
    <w:rsid w:val="008C3396"/>
    <w:rsid w:val="008C5DD9"/>
    <w:rsid w:val="008C70D1"/>
    <w:rsid w:val="008D434E"/>
    <w:rsid w:val="008D5C88"/>
    <w:rsid w:val="008D5DB6"/>
    <w:rsid w:val="008D7DD3"/>
    <w:rsid w:val="008D7E05"/>
    <w:rsid w:val="008E0F92"/>
    <w:rsid w:val="008E2248"/>
    <w:rsid w:val="008E4654"/>
    <w:rsid w:val="008E4E37"/>
    <w:rsid w:val="008E6395"/>
    <w:rsid w:val="008F22C0"/>
    <w:rsid w:val="008F2686"/>
    <w:rsid w:val="008F2B65"/>
    <w:rsid w:val="008F5483"/>
    <w:rsid w:val="00901A1B"/>
    <w:rsid w:val="0090336F"/>
    <w:rsid w:val="00905CF5"/>
    <w:rsid w:val="00905FA1"/>
    <w:rsid w:val="00910165"/>
    <w:rsid w:val="009133C2"/>
    <w:rsid w:val="0091472A"/>
    <w:rsid w:val="00915B35"/>
    <w:rsid w:val="009213BD"/>
    <w:rsid w:val="009228CD"/>
    <w:rsid w:val="00927589"/>
    <w:rsid w:val="00930F36"/>
    <w:rsid w:val="009342BF"/>
    <w:rsid w:val="00936EF4"/>
    <w:rsid w:val="00937152"/>
    <w:rsid w:val="009373E8"/>
    <w:rsid w:val="00937609"/>
    <w:rsid w:val="00937C01"/>
    <w:rsid w:val="00941484"/>
    <w:rsid w:val="0094155A"/>
    <w:rsid w:val="00941838"/>
    <w:rsid w:val="00941B3A"/>
    <w:rsid w:val="00942A4B"/>
    <w:rsid w:val="009433CF"/>
    <w:rsid w:val="00944B5B"/>
    <w:rsid w:val="00947A26"/>
    <w:rsid w:val="00950AA4"/>
    <w:rsid w:val="00950E29"/>
    <w:rsid w:val="009544E0"/>
    <w:rsid w:val="00955F74"/>
    <w:rsid w:val="00956078"/>
    <w:rsid w:val="00961748"/>
    <w:rsid w:val="00970A5D"/>
    <w:rsid w:val="00974130"/>
    <w:rsid w:val="0097642C"/>
    <w:rsid w:val="0098197F"/>
    <w:rsid w:val="00983A1D"/>
    <w:rsid w:val="009841E7"/>
    <w:rsid w:val="00984465"/>
    <w:rsid w:val="009872AE"/>
    <w:rsid w:val="009913B6"/>
    <w:rsid w:val="0099268C"/>
    <w:rsid w:val="009932A0"/>
    <w:rsid w:val="00993CB7"/>
    <w:rsid w:val="009956EF"/>
    <w:rsid w:val="009A0FE2"/>
    <w:rsid w:val="009A3D6A"/>
    <w:rsid w:val="009A4DF9"/>
    <w:rsid w:val="009A5A21"/>
    <w:rsid w:val="009A5AD9"/>
    <w:rsid w:val="009A7A09"/>
    <w:rsid w:val="009B0259"/>
    <w:rsid w:val="009B12B9"/>
    <w:rsid w:val="009B2561"/>
    <w:rsid w:val="009B44D1"/>
    <w:rsid w:val="009B4778"/>
    <w:rsid w:val="009B49B2"/>
    <w:rsid w:val="009B6219"/>
    <w:rsid w:val="009C0253"/>
    <w:rsid w:val="009C14CD"/>
    <w:rsid w:val="009C50DB"/>
    <w:rsid w:val="009C5130"/>
    <w:rsid w:val="009C6C37"/>
    <w:rsid w:val="009C7123"/>
    <w:rsid w:val="009D0D02"/>
    <w:rsid w:val="009D118C"/>
    <w:rsid w:val="009D16D6"/>
    <w:rsid w:val="009D29DB"/>
    <w:rsid w:val="009D3852"/>
    <w:rsid w:val="009D3E4E"/>
    <w:rsid w:val="009D6FAC"/>
    <w:rsid w:val="009D73DF"/>
    <w:rsid w:val="009E0AAC"/>
    <w:rsid w:val="009E20DD"/>
    <w:rsid w:val="009E2789"/>
    <w:rsid w:val="009E7AEE"/>
    <w:rsid w:val="009F1A8E"/>
    <w:rsid w:val="009F49D5"/>
    <w:rsid w:val="009F4E12"/>
    <w:rsid w:val="00A0043B"/>
    <w:rsid w:val="00A010D7"/>
    <w:rsid w:val="00A02B41"/>
    <w:rsid w:val="00A040A3"/>
    <w:rsid w:val="00A10035"/>
    <w:rsid w:val="00A16452"/>
    <w:rsid w:val="00A21160"/>
    <w:rsid w:val="00A22043"/>
    <w:rsid w:val="00A259A4"/>
    <w:rsid w:val="00A26CFE"/>
    <w:rsid w:val="00A274C7"/>
    <w:rsid w:val="00A3122B"/>
    <w:rsid w:val="00A36347"/>
    <w:rsid w:val="00A42560"/>
    <w:rsid w:val="00A43417"/>
    <w:rsid w:val="00A43C22"/>
    <w:rsid w:val="00A4466C"/>
    <w:rsid w:val="00A456CA"/>
    <w:rsid w:val="00A470F3"/>
    <w:rsid w:val="00A47228"/>
    <w:rsid w:val="00A47A7A"/>
    <w:rsid w:val="00A50B6F"/>
    <w:rsid w:val="00A53BA3"/>
    <w:rsid w:val="00A54C55"/>
    <w:rsid w:val="00A54EB1"/>
    <w:rsid w:val="00A56610"/>
    <w:rsid w:val="00A57D1C"/>
    <w:rsid w:val="00A60C75"/>
    <w:rsid w:val="00A63B0D"/>
    <w:rsid w:val="00A6505D"/>
    <w:rsid w:val="00A70944"/>
    <w:rsid w:val="00A73942"/>
    <w:rsid w:val="00A764C9"/>
    <w:rsid w:val="00A80F3D"/>
    <w:rsid w:val="00A82A17"/>
    <w:rsid w:val="00A82B34"/>
    <w:rsid w:val="00A84808"/>
    <w:rsid w:val="00A855C6"/>
    <w:rsid w:val="00A8635C"/>
    <w:rsid w:val="00A87C25"/>
    <w:rsid w:val="00A91FD5"/>
    <w:rsid w:val="00A9307F"/>
    <w:rsid w:val="00A9609C"/>
    <w:rsid w:val="00AA05D9"/>
    <w:rsid w:val="00AA3830"/>
    <w:rsid w:val="00AA4750"/>
    <w:rsid w:val="00AA6134"/>
    <w:rsid w:val="00AB002E"/>
    <w:rsid w:val="00AB0710"/>
    <w:rsid w:val="00AB1132"/>
    <w:rsid w:val="00AB1FF2"/>
    <w:rsid w:val="00AB25EA"/>
    <w:rsid w:val="00AB3E59"/>
    <w:rsid w:val="00AB469A"/>
    <w:rsid w:val="00AB7094"/>
    <w:rsid w:val="00AC0731"/>
    <w:rsid w:val="00AC08F5"/>
    <w:rsid w:val="00AC19B2"/>
    <w:rsid w:val="00AC235D"/>
    <w:rsid w:val="00AC4894"/>
    <w:rsid w:val="00AC5A11"/>
    <w:rsid w:val="00AC5E3D"/>
    <w:rsid w:val="00AC7016"/>
    <w:rsid w:val="00AC762D"/>
    <w:rsid w:val="00AD0991"/>
    <w:rsid w:val="00AD09DF"/>
    <w:rsid w:val="00AD16C9"/>
    <w:rsid w:val="00AD18B3"/>
    <w:rsid w:val="00AD4490"/>
    <w:rsid w:val="00AD613F"/>
    <w:rsid w:val="00AD7045"/>
    <w:rsid w:val="00AE0220"/>
    <w:rsid w:val="00AE07B3"/>
    <w:rsid w:val="00AE09A0"/>
    <w:rsid w:val="00AE0D53"/>
    <w:rsid w:val="00AE2F70"/>
    <w:rsid w:val="00AE51EC"/>
    <w:rsid w:val="00AE68C2"/>
    <w:rsid w:val="00AE6E56"/>
    <w:rsid w:val="00AE7260"/>
    <w:rsid w:val="00AE7E1E"/>
    <w:rsid w:val="00AF01D7"/>
    <w:rsid w:val="00AF107F"/>
    <w:rsid w:val="00AF1436"/>
    <w:rsid w:val="00AF1579"/>
    <w:rsid w:val="00AF4346"/>
    <w:rsid w:val="00AF48EC"/>
    <w:rsid w:val="00B012F2"/>
    <w:rsid w:val="00B0203A"/>
    <w:rsid w:val="00B0306C"/>
    <w:rsid w:val="00B040C4"/>
    <w:rsid w:val="00B04C08"/>
    <w:rsid w:val="00B06BEA"/>
    <w:rsid w:val="00B1449B"/>
    <w:rsid w:val="00B229AE"/>
    <w:rsid w:val="00B23D3D"/>
    <w:rsid w:val="00B27270"/>
    <w:rsid w:val="00B31D53"/>
    <w:rsid w:val="00B3332B"/>
    <w:rsid w:val="00B359A5"/>
    <w:rsid w:val="00B40079"/>
    <w:rsid w:val="00B43815"/>
    <w:rsid w:val="00B449C6"/>
    <w:rsid w:val="00B530B9"/>
    <w:rsid w:val="00B54E5F"/>
    <w:rsid w:val="00B57BD0"/>
    <w:rsid w:val="00B61103"/>
    <w:rsid w:val="00B7235D"/>
    <w:rsid w:val="00B73ED0"/>
    <w:rsid w:val="00B8326F"/>
    <w:rsid w:val="00B85DF2"/>
    <w:rsid w:val="00B86038"/>
    <w:rsid w:val="00B86436"/>
    <w:rsid w:val="00B86559"/>
    <w:rsid w:val="00B905A5"/>
    <w:rsid w:val="00B942C8"/>
    <w:rsid w:val="00B96031"/>
    <w:rsid w:val="00BA0EE0"/>
    <w:rsid w:val="00BA1A94"/>
    <w:rsid w:val="00BA1EA3"/>
    <w:rsid w:val="00BA2B20"/>
    <w:rsid w:val="00BA4DEF"/>
    <w:rsid w:val="00BA6CFB"/>
    <w:rsid w:val="00BA7335"/>
    <w:rsid w:val="00BB0196"/>
    <w:rsid w:val="00BB2FC5"/>
    <w:rsid w:val="00BB312A"/>
    <w:rsid w:val="00BB34BA"/>
    <w:rsid w:val="00BB5831"/>
    <w:rsid w:val="00BB5BAC"/>
    <w:rsid w:val="00BB70FA"/>
    <w:rsid w:val="00BB7337"/>
    <w:rsid w:val="00BB76FD"/>
    <w:rsid w:val="00BB7BC8"/>
    <w:rsid w:val="00BC1ACE"/>
    <w:rsid w:val="00BC3145"/>
    <w:rsid w:val="00BC3294"/>
    <w:rsid w:val="00BC44DF"/>
    <w:rsid w:val="00BC4F17"/>
    <w:rsid w:val="00BC6F18"/>
    <w:rsid w:val="00BD0423"/>
    <w:rsid w:val="00BD0590"/>
    <w:rsid w:val="00BD13E6"/>
    <w:rsid w:val="00BD1E8E"/>
    <w:rsid w:val="00BD252D"/>
    <w:rsid w:val="00BD2700"/>
    <w:rsid w:val="00BD307E"/>
    <w:rsid w:val="00BD3F46"/>
    <w:rsid w:val="00BD4393"/>
    <w:rsid w:val="00BD7968"/>
    <w:rsid w:val="00BE1AEB"/>
    <w:rsid w:val="00BE1E72"/>
    <w:rsid w:val="00BE26DD"/>
    <w:rsid w:val="00BE739B"/>
    <w:rsid w:val="00BF0735"/>
    <w:rsid w:val="00BF0F98"/>
    <w:rsid w:val="00BF1C29"/>
    <w:rsid w:val="00BF4273"/>
    <w:rsid w:val="00BF6389"/>
    <w:rsid w:val="00BF7B78"/>
    <w:rsid w:val="00C00601"/>
    <w:rsid w:val="00C00A25"/>
    <w:rsid w:val="00C03FCB"/>
    <w:rsid w:val="00C05FF5"/>
    <w:rsid w:val="00C07A79"/>
    <w:rsid w:val="00C13632"/>
    <w:rsid w:val="00C17062"/>
    <w:rsid w:val="00C1720C"/>
    <w:rsid w:val="00C17CD8"/>
    <w:rsid w:val="00C204C2"/>
    <w:rsid w:val="00C2064E"/>
    <w:rsid w:val="00C22688"/>
    <w:rsid w:val="00C23D64"/>
    <w:rsid w:val="00C243E4"/>
    <w:rsid w:val="00C2715D"/>
    <w:rsid w:val="00C31AF6"/>
    <w:rsid w:val="00C31F3E"/>
    <w:rsid w:val="00C34C37"/>
    <w:rsid w:val="00C35808"/>
    <w:rsid w:val="00C42383"/>
    <w:rsid w:val="00C425CC"/>
    <w:rsid w:val="00C43325"/>
    <w:rsid w:val="00C43467"/>
    <w:rsid w:val="00C4682D"/>
    <w:rsid w:val="00C47221"/>
    <w:rsid w:val="00C47B0B"/>
    <w:rsid w:val="00C50234"/>
    <w:rsid w:val="00C5158F"/>
    <w:rsid w:val="00C5193C"/>
    <w:rsid w:val="00C54320"/>
    <w:rsid w:val="00C573FD"/>
    <w:rsid w:val="00C57491"/>
    <w:rsid w:val="00C603AB"/>
    <w:rsid w:val="00C6043D"/>
    <w:rsid w:val="00C61F61"/>
    <w:rsid w:val="00C71774"/>
    <w:rsid w:val="00C7299B"/>
    <w:rsid w:val="00C734BA"/>
    <w:rsid w:val="00C75032"/>
    <w:rsid w:val="00C80F07"/>
    <w:rsid w:val="00C82F11"/>
    <w:rsid w:val="00C87BFB"/>
    <w:rsid w:val="00C90EA1"/>
    <w:rsid w:val="00C92275"/>
    <w:rsid w:val="00CA157F"/>
    <w:rsid w:val="00CA1D21"/>
    <w:rsid w:val="00CA3B73"/>
    <w:rsid w:val="00CA48D8"/>
    <w:rsid w:val="00CA6CEE"/>
    <w:rsid w:val="00CB0B25"/>
    <w:rsid w:val="00CB1354"/>
    <w:rsid w:val="00CB19CA"/>
    <w:rsid w:val="00CB3C6F"/>
    <w:rsid w:val="00CC024E"/>
    <w:rsid w:val="00CC0573"/>
    <w:rsid w:val="00CC0C3F"/>
    <w:rsid w:val="00CC1BE7"/>
    <w:rsid w:val="00CC277A"/>
    <w:rsid w:val="00CC2850"/>
    <w:rsid w:val="00CC5A2D"/>
    <w:rsid w:val="00CC5DE4"/>
    <w:rsid w:val="00CC6668"/>
    <w:rsid w:val="00CC69B0"/>
    <w:rsid w:val="00CD0F41"/>
    <w:rsid w:val="00CD1008"/>
    <w:rsid w:val="00CD257B"/>
    <w:rsid w:val="00CD345C"/>
    <w:rsid w:val="00CD4109"/>
    <w:rsid w:val="00CD4A9E"/>
    <w:rsid w:val="00CD4F43"/>
    <w:rsid w:val="00CD7082"/>
    <w:rsid w:val="00CD76BF"/>
    <w:rsid w:val="00CE02CF"/>
    <w:rsid w:val="00CE0A9F"/>
    <w:rsid w:val="00CE579A"/>
    <w:rsid w:val="00CF4E1E"/>
    <w:rsid w:val="00CF509F"/>
    <w:rsid w:val="00D02E0A"/>
    <w:rsid w:val="00D04830"/>
    <w:rsid w:val="00D04E8C"/>
    <w:rsid w:val="00D04EC2"/>
    <w:rsid w:val="00D05E09"/>
    <w:rsid w:val="00D06350"/>
    <w:rsid w:val="00D06B02"/>
    <w:rsid w:val="00D07B1B"/>
    <w:rsid w:val="00D14C4B"/>
    <w:rsid w:val="00D14E58"/>
    <w:rsid w:val="00D167EF"/>
    <w:rsid w:val="00D16F51"/>
    <w:rsid w:val="00D20B96"/>
    <w:rsid w:val="00D25947"/>
    <w:rsid w:val="00D25B5B"/>
    <w:rsid w:val="00D3479B"/>
    <w:rsid w:val="00D35C80"/>
    <w:rsid w:val="00D36AE5"/>
    <w:rsid w:val="00D3770D"/>
    <w:rsid w:val="00D37ACA"/>
    <w:rsid w:val="00D41A72"/>
    <w:rsid w:val="00D43F7A"/>
    <w:rsid w:val="00D44E46"/>
    <w:rsid w:val="00D45CCE"/>
    <w:rsid w:val="00D4629C"/>
    <w:rsid w:val="00D5009F"/>
    <w:rsid w:val="00D5053B"/>
    <w:rsid w:val="00D530F1"/>
    <w:rsid w:val="00D5486E"/>
    <w:rsid w:val="00D57E9B"/>
    <w:rsid w:val="00D6205A"/>
    <w:rsid w:val="00D63B27"/>
    <w:rsid w:val="00D6696B"/>
    <w:rsid w:val="00D713AC"/>
    <w:rsid w:val="00D72E7F"/>
    <w:rsid w:val="00D73F4E"/>
    <w:rsid w:val="00D758CC"/>
    <w:rsid w:val="00D80A8D"/>
    <w:rsid w:val="00D811CD"/>
    <w:rsid w:val="00D8455B"/>
    <w:rsid w:val="00D85E0A"/>
    <w:rsid w:val="00D86230"/>
    <w:rsid w:val="00D8795D"/>
    <w:rsid w:val="00D90F55"/>
    <w:rsid w:val="00D9186B"/>
    <w:rsid w:val="00D97AEB"/>
    <w:rsid w:val="00DA25BA"/>
    <w:rsid w:val="00DA3D13"/>
    <w:rsid w:val="00DA6012"/>
    <w:rsid w:val="00DA6C05"/>
    <w:rsid w:val="00DB1FBF"/>
    <w:rsid w:val="00DB5A10"/>
    <w:rsid w:val="00DC4DAA"/>
    <w:rsid w:val="00DD2668"/>
    <w:rsid w:val="00DD2D35"/>
    <w:rsid w:val="00DD382A"/>
    <w:rsid w:val="00DD5D84"/>
    <w:rsid w:val="00DD7B59"/>
    <w:rsid w:val="00DE0D0F"/>
    <w:rsid w:val="00DF0297"/>
    <w:rsid w:val="00DF31C7"/>
    <w:rsid w:val="00DF35D2"/>
    <w:rsid w:val="00DF3A75"/>
    <w:rsid w:val="00DF4590"/>
    <w:rsid w:val="00DF7D20"/>
    <w:rsid w:val="00E00594"/>
    <w:rsid w:val="00E05746"/>
    <w:rsid w:val="00E06CDA"/>
    <w:rsid w:val="00E06E36"/>
    <w:rsid w:val="00E12E4E"/>
    <w:rsid w:val="00E13636"/>
    <w:rsid w:val="00E1455C"/>
    <w:rsid w:val="00E15EBF"/>
    <w:rsid w:val="00E16EA3"/>
    <w:rsid w:val="00E173FA"/>
    <w:rsid w:val="00E176F3"/>
    <w:rsid w:val="00E2146B"/>
    <w:rsid w:val="00E222B3"/>
    <w:rsid w:val="00E23005"/>
    <w:rsid w:val="00E31E37"/>
    <w:rsid w:val="00E33D57"/>
    <w:rsid w:val="00E344F7"/>
    <w:rsid w:val="00E36CF4"/>
    <w:rsid w:val="00E37760"/>
    <w:rsid w:val="00E43462"/>
    <w:rsid w:val="00E46674"/>
    <w:rsid w:val="00E47AF4"/>
    <w:rsid w:val="00E509FA"/>
    <w:rsid w:val="00E51779"/>
    <w:rsid w:val="00E536C3"/>
    <w:rsid w:val="00E5481A"/>
    <w:rsid w:val="00E601EA"/>
    <w:rsid w:val="00E62326"/>
    <w:rsid w:val="00E62ED2"/>
    <w:rsid w:val="00E63F20"/>
    <w:rsid w:val="00E718C0"/>
    <w:rsid w:val="00E72546"/>
    <w:rsid w:val="00E73474"/>
    <w:rsid w:val="00E74249"/>
    <w:rsid w:val="00E76A5C"/>
    <w:rsid w:val="00E76DE5"/>
    <w:rsid w:val="00E774DE"/>
    <w:rsid w:val="00E77FC3"/>
    <w:rsid w:val="00E80837"/>
    <w:rsid w:val="00E82B92"/>
    <w:rsid w:val="00E83C38"/>
    <w:rsid w:val="00E8446D"/>
    <w:rsid w:val="00E853D3"/>
    <w:rsid w:val="00E86061"/>
    <w:rsid w:val="00E90570"/>
    <w:rsid w:val="00E916A5"/>
    <w:rsid w:val="00E91866"/>
    <w:rsid w:val="00E95FBF"/>
    <w:rsid w:val="00E96769"/>
    <w:rsid w:val="00EB1A1E"/>
    <w:rsid w:val="00EB35C9"/>
    <w:rsid w:val="00EB491C"/>
    <w:rsid w:val="00EB4CC3"/>
    <w:rsid w:val="00EB6926"/>
    <w:rsid w:val="00EB76F6"/>
    <w:rsid w:val="00EB7841"/>
    <w:rsid w:val="00EB7B3C"/>
    <w:rsid w:val="00EC0C1D"/>
    <w:rsid w:val="00EC3C78"/>
    <w:rsid w:val="00ED094D"/>
    <w:rsid w:val="00ED3279"/>
    <w:rsid w:val="00ED37E2"/>
    <w:rsid w:val="00ED3D28"/>
    <w:rsid w:val="00ED406C"/>
    <w:rsid w:val="00ED7C08"/>
    <w:rsid w:val="00EE17FA"/>
    <w:rsid w:val="00EE1F9F"/>
    <w:rsid w:val="00EF1497"/>
    <w:rsid w:val="00EF3200"/>
    <w:rsid w:val="00EF515F"/>
    <w:rsid w:val="00EF6D73"/>
    <w:rsid w:val="00F006CC"/>
    <w:rsid w:val="00F00CCE"/>
    <w:rsid w:val="00F014FE"/>
    <w:rsid w:val="00F038B3"/>
    <w:rsid w:val="00F0392F"/>
    <w:rsid w:val="00F075A3"/>
    <w:rsid w:val="00F1460F"/>
    <w:rsid w:val="00F14690"/>
    <w:rsid w:val="00F164D5"/>
    <w:rsid w:val="00F16D44"/>
    <w:rsid w:val="00F16E80"/>
    <w:rsid w:val="00F174E9"/>
    <w:rsid w:val="00F22CB3"/>
    <w:rsid w:val="00F23CCD"/>
    <w:rsid w:val="00F2427C"/>
    <w:rsid w:val="00F24CA8"/>
    <w:rsid w:val="00F2517F"/>
    <w:rsid w:val="00F351CC"/>
    <w:rsid w:val="00F360B0"/>
    <w:rsid w:val="00F378BC"/>
    <w:rsid w:val="00F40056"/>
    <w:rsid w:val="00F4193A"/>
    <w:rsid w:val="00F42D8A"/>
    <w:rsid w:val="00F45C74"/>
    <w:rsid w:val="00F463FE"/>
    <w:rsid w:val="00F46DD2"/>
    <w:rsid w:val="00F539CA"/>
    <w:rsid w:val="00F53BB3"/>
    <w:rsid w:val="00F541BE"/>
    <w:rsid w:val="00F557F8"/>
    <w:rsid w:val="00F55804"/>
    <w:rsid w:val="00F576FF"/>
    <w:rsid w:val="00F60BBF"/>
    <w:rsid w:val="00F63559"/>
    <w:rsid w:val="00F65C79"/>
    <w:rsid w:val="00F67883"/>
    <w:rsid w:val="00F70AFE"/>
    <w:rsid w:val="00F70BC0"/>
    <w:rsid w:val="00F70C5D"/>
    <w:rsid w:val="00F70E8C"/>
    <w:rsid w:val="00F72230"/>
    <w:rsid w:val="00F74DCA"/>
    <w:rsid w:val="00F75C93"/>
    <w:rsid w:val="00F76B62"/>
    <w:rsid w:val="00F77E2D"/>
    <w:rsid w:val="00F81755"/>
    <w:rsid w:val="00F82488"/>
    <w:rsid w:val="00F83781"/>
    <w:rsid w:val="00F87127"/>
    <w:rsid w:val="00F8756A"/>
    <w:rsid w:val="00F92113"/>
    <w:rsid w:val="00F92251"/>
    <w:rsid w:val="00F9639E"/>
    <w:rsid w:val="00FA6E16"/>
    <w:rsid w:val="00FA73A5"/>
    <w:rsid w:val="00FB5013"/>
    <w:rsid w:val="00FC1431"/>
    <w:rsid w:val="00FC5885"/>
    <w:rsid w:val="00FC700E"/>
    <w:rsid w:val="00FD3345"/>
    <w:rsid w:val="00FD522C"/>
    <w:rsid w:val="00FE063F"/>
    <w:rsid w:val="00FE0B75"/>
    <w:rsid w:val="00FE1191"/>
    <w:rsid w:val="00FE2561"/>
    <w:rsid w:val="00FE2820"/>
    <w:rsid w:val="00FE3146"/>
    <w:rsid w:val="00FE32D4"/>
    <w:rsid w:val="00FE3BBB"/>
    <w:rsid w:val="00FE41DA"/>
    <w:rsid w:val="00FF169B"/>
    <w:rsid w:val="00FF31DC"/>
    <w:rsid w:val="00FF3978"/>
    <w:rsid w:val="00FF5978"/>
    <w:rsid w:val="00FF6332"/>
    <w:rsid w:val="00FF65E6"/>
    <w:rsid w:val="00FF73C9"/>
    <w:rsid w:val="0157D890"/>
    <w:rsid w:val="0203332C"/>
    <w:rsid w:val="0238D10B"/>
    <w:rsid w:val="032FAA7D"/>
    <w:rsid w:val="03B1E62D"/>
    <w:rsid w:val="03D6F8BD"/>
    <w:rsid w:val="03FB3C56"/>
    <w:rsid w:val="049BFC5B"/>
    <w:rsid w:val="04D8E2DF"/>
    <w:rsid w:val="054627F6"/>
    <w:rsid w:val="05739C77"/>
    <w:rsid w:val="0636C4C4"/>
    <w:rsid w:val="063AE077"/>
    <w:rsid w:val="079777FE"/>
    <w:rsid w:val="0833391F"/>
    <w:rsid w:val="0858CDA3"/>
    <w:rsid w:val="0891AA8A"/>
    <w:rsid w:val="092E7BDB"/>
    <w:rsid w:val="096C26E1"/>
    <w:rsid w:val="0A1AC5E3"/>
    <w:rsid w:val="0A62199B"/>
    <w:rsid w:val="0A6E086B"/>
    <w:rsid w:val="0B01FF44"/>
    <w:rsid w:val="0B4FECA4"/>
    <w:rsid w:val="0BB27121"/>
    <w:rsid w:val="0BE70831"/>
    <w:rsid w:val="0C788851"/>
    <w:rsid w:val="0CB1A209"/>
    <w:rsid w:val="0CBD18F8"/>
    <w:rsid w:val="0CF0EB32"/>
    <w:rsid w:val="0DB186B3"/>
    <w:rsid w:val="0E4EC03D"/>
    <w:rsid w:val="0E6FB741"/>
    <w:rsid w:val="0E9E0552"/>
    <w:rsid w:val="0F084702"/>
    <w:rsid w:val="0F74D97E"/>
    <w:rsid w:val="0F84B0BF"/>
    <w:rsid w:val="0F8F9F73"/>
    <w:rsid w:val="0FFC5C8F"/>
    <w:rsid w:val="109A3531"/>
    <w:rsid w:val="10B50279"/>
    <w:rsid w:val="11DDBA03"/>
    <w:rsid w:val="1247AC58"/>
    <w:rsid w:val="1272DD65"/>
    <w:rsid w:val="12C09F06"/>
    <w:rsid w:val="130724AD"/>
    <w:rsid w:val="132CD89A"/>
    <w:rsid w:val="134FB944"/>
    <w:rsid w:val="139D3347"/>
    <w:rsid w:val="151B2D1D"/>
    <w:rsid w:val="153FB007"/>
    <w:rsid w:val="1567502A"/>
    <w:rsid w:val="158AFF8C"/>
    <w:rsid w:val="15B9B2FB"/>
    <w:rsid w:val="15F816FD"/>
    <w:rsid w:val="161EDBCD"/>
    <w:rsid w:val="174E8CA7"/>
    <w:rsid w:val="1753D5CF"/>
    <w:rsid w:val="17FC5FAF"/>
    <w:rsid w:val="192B2C60"/>
    <w:rsid w:val="198D4715"/>
    <w:rsid w:val="19A0B271"/>
    <w:rsid w:val="19A2FDD9"/>
    <w:rsid w:val="19ECF059"/>
    <w:rsid w:val="1B1E74A5"/>
    <w:rsid w:val="1B68E5D6"/>
    <w:rsid w:val="1D437829"/>
    <w:rsid w:val="1DCCB972"/>
    <w:rsid w:val="1DF0D700"/>
    <w:rsid w:val="1F09C885"/>
    <w:rsid w:val="1F5E08F8"/>
    <w:rsid w:val="1F5E7BBA"/>
    <w:rsid w:val="1F92D075"/>
    <w:rsid w:val="1FA6C19D"/>
    <w:rsid w:val="1FF0E841"/>
    <w:rsid w:val="202EF7F1"/>
    <w:rsid w:val="20AC5F3E"/>
    <w:rsid w:val="213B216F"/>
    <w:rsid w:val="219063AB"/>
    <w:rsid w:val="2268AEEC"/>
    <w:rsid w:val="229175ED"/>
    <w:rsid w:val="22BDDC31"/>
    <w:rsid w:val="22E012BC"/>
    <w:rsid w:val="22E1CB52"/>
    <w:rsid w:val="235FC8E8"/>
    <w:rsid w:val="23E22C0F"/>
    <w:rsid w:val="2400928A"/>
    <w:rsid w:val="240B1B53"/>
    <w:rsid w:val="24550786"/>
    <w:rsid w:val="249C1841"/>
    <w:rsid w:val="25C899B4"/>
    <w:rsid w:val="25D92B27"/>
    <w:rsid w:val="2613E926"/>
    <w:rsid w:val="26662A44"/>
    <w:rsid w:val="26BF2851"/>
    <w:rsid w:val="272632A2"/>
    <w:rsid w:val="275D90F5"/>
    <w:rsid w:val="27CFF7A4"/>
    <w:rsid w:val="2816749C"/>
    <w:rsid w:val="286AD15C"/>
    <w:rsid w:val="28A33FE3"/>
    <w:rsid w:val="28ABDF05"/>
    <w:rsid w:val="293B82FA"/>
    <w:rsid w:val="2A8F8E82"/>
    <w:rsid w:val="2B23C150"/>
    <w:rsid w:val="2B912B14"/>
    <w:rsid w:val="2BA84FD3"/>
    <w:rsid w:val="2C5BA7F2"/>
    <w:rsid w:val="2C5F73F9"/>
    <w:rsid w:val="2CC3804A"/>
    <w:rsid w:val="2CD7E7FB"/>
    <w:rsid w:val="2DB3989B"/>
    <w:rsid w:val="2E33E072"/>
    <w:rsid w:val="2E6BA695"/>
    <w:rsid w:val="2E86017E"/>
    <w:rsid w:val="2EE083A9"/>
    <w:rsid w:val="2F660B3E"/>
    <w:rsid w:val="2F7F3958"/>
    <w:rsid w:val="2FCB4C4A"/>
    <w:rsid w:val="2FE95F0F"/>
    <w:rsid w:val="30333AF7"/>
    <w:rsid w:val="31AA6351"/>
    <w:rsid w:val="3245DF21"/>
    <w:rsid w:val="328F754A"/>
    <w:rsid w:val="3370B3CE"/>
    <w:rsid w:val="33773A88"/>
    <w:rsid w:val="34323649"/>
    <w:rsid w:val="34328F70"/>
    <w:rsid w:val="34506ACA"/>
    <w:rsid w:val="34CCF7AD"/>
    <w:rsid w:val="369B8DFE"/>
    <w:rsid w:val="36BAB6C1"/>
    <w:rsid w:val="377B3F34"/>
    <w:rsid w:val="3813926B"/>
    <w:rsid w:val="38B91C9D"/>
    <w:rsid w:val="38BE41E4"/>
    <w:rsid w:val="39668597"/>
    <w:rsid w:val="396FE02A"/>
    <w:rsid w:val="39B5B36A"/>
    <w:rsid w:val="39E8C76B"/>
    <w:rsid w:val="3A67F9C6"/>
    <w:rsid w:val="3ADF3B73"/>
    <w:rsid w:val="3AFC2941"/>
    <w:rsid w:val="3B273A43"/>
    <w:rsid w:val="3B4CAC90"/>
    <w:rsid w:val="3C765507"/>
    <w:rsid w:val="3CCED3D4"/>
    <w:rsid w:val="3CFD490D"/>
    <w:rsid w:val="3D3ED06E"/>
    <w:rsid w:val="3D832D21"/>
    <w:rsid w:val="3E2E955F"/>
    <w:rsid w:val="3E4389B7"/>
    <w:rsid w:val="3E46BD46"/>
    <w:rsid w:val="3E6B2F96"/>
    <w:rsid w:val="3E8EBFB3"/>
    <w:rsid w:val="3EBE72DA"/>
    <w:rsid w:val="3ECB8B40"/>
    <w:rsid w:val="3EF10AC5"/>
    <w:rsid w:val="3F54B50E"/>
    <w:rsid w:val="3F7F4841"/>
    <w:rsid w:val="3FB4C34B"/>
    <w:rsid w:val="400A0E2D"/>
    <w:rsid w:val="40B02956"/>
    <w:rsid w:val="40C42A35"/>
    <w:rsid w:val="40F9A2E3"/>
    <w:rsid w:val="40FA08D9"/>
    <w:rsid w:val="4258FC6E"/>
    <w:rsid w:val="426B2A31"/>
    <w:rsid w:val="432812F0"/>
    <w:rsid w:val="433E6824"/>
    <w:rsid w:val="43499C46"/>
    <w:rsid w:val="43CA2C0A"/>
    <w:rsid w:val="43CB242B"/>
    <w:rsid w:val="43E1C54B"/>
    <w:rsid w:val="43F0D305"/>
    <w:rsid w:val="44661BF9"/>
    <w:rsid w:val="447A196C"/>
    <w:rsid w:val="4555A31D"/>
    <w:rsid w:val="45EFFE87"/>
    <w:rsid w:val="465D4527"/>
    <w:rsid w:val="46C2DB5D"/>
    <w:rsid w:val="470AAE7B"/>
    <w:rsid w:val="471C1D6C"/>
    <w:rsid w:val="477E9604"/>
    <w:rsid w:val="479A945F"/>
    <w:rsid w:val="47CA9912"/>
    <w:rsid w:val="47EB6F67"/>
    <w:rsid w:val="481091FB"/>
    <w:rsid w:val="4856B1D4"/>
    <w:rsid w:val="48C969E5"/>
    <w:rsid w:val="4949680B"/>
    <w:rsid w:val="4962F00E"/>
    <w:rsid w:val="49697951"/>
    <w:rsid w:val="4A1A0512"/>
    <w:rsid w:val="4AB95F4F"/>
    <w:rsid w:val="4AE7C00C"/>
    <w:rsid w:val="4AFF9834"/>
    <w:rsid w:val="4B4FDF39"/>
    <w:rsid w:val="4C285F90"/>
    <w:rsid w:val="4CE549F7"/>
    <w:rsid w:val="4E06F23F"/>
    <w:rsid w:val="4EB3E55F"/>
    <w:rsid w:val="4F10D19C"/>
    <w:rsid w:val="4F33A328"/>
    <w:rsid w:val="4F44070A"/>
    <w:rsid w:val="4F9BCF97"/>
    <w:rsid w:val="509B36AC"/>
    <w:rsid w:val="50A35BDB"/>
    <w:rsid w:val="50DF3D3C"/>
    <w:rsid w:val="5128FECD"/>
    <w:rsid w:val="51D006AD"/>
    <w:rsid w:val="51DD3ECB"/>
    <w:rsid w:val="52E4A053"/>
    <w:rsid w:val="53909B78"/>
    <w:rsid w:val="539A2F54"/>
    <w:rsid w:val="54147C65"/>
    <w:rsid w:val="542DAA10"/>
    <w:rsid w:val="543FC139"/>
    <w:rsid w:val="547F7FB0"/>
    <w:rsid w:val="54F022A0"/>
    <w:rsid w:val="54F6C123"/>
    <w:rsid w:val="55E90B90"/>
    <w:rsid w:val="568CB0B1"/>
    <w:rsid w:val="575579FC"/>
    <w:rsid w:val="575CE81A"/>
    <w:rsid w:val="576D036A"/>
    <w:rsid w:val="5781DC50"/>
    <w:rsid w:val="5875156F"/>
    <w:rsid w:val="58A88D80"/>
    <w:rsid w:val="593DB560"/>
    <w:rsid w:val="5959A86D"/>
    <w:rsid w:val="59EB642A"/>
    <w:rsid w:val="5A15E708"/>
    <w:rsid w:val="5B5049E4"/>
    <w:rsid w:val="5C810FF2"/>
    <w:rsid w:val="5CC82F3A"/>
    <w:rsid w:val="5DEC9654"/>
    <w:rsid w:val="5E759982"/>
    <w:rsid w:val="5E970735"/>
    <w:rsid w:val="5EF2EAA6"/>
    <w:rsid w:val="5F4DC9CB"/>
    <w:rsid w:val="5F9F2F57"/>
    <w:rsid w:val="5FDECA47"/>
    <w:rsid w:val="618F0615"/>
    <w:rsid w:val="61908695"/>
    <w:rsid w:val="628EAA64"/>
    <w:rsid w:val="629AE8CB"/>
    <w:rsid w:val="62ADC41F"/>
    <w:rsid w:val="62D51D07"/>
    <w:rsid w:val="62F5FBE7"/>
    <w:rsid w:val="6349164B"/>
    <w:rsid w:val="634E5B46"/>
    <w:rsid w:val="636531AA"/>
    <w:rsid w:val="63EECF4F"/>
    <w:rsid w:val="6428F090"/>
    <w:rsid w:val="64DE97A9"/>
    <w:rsid w:val="64F78623"/>
    <w:rsid w:val="65EAC115"/>
    <w:rsid w:val="6631F0DB"/>
    <w:rsid w:val="6675D8AE"/>
    <w:rsid w:val="66864CBC"/>
    <w:rsid w:val="66AABE38"/>
    <w:rsid w:val="67448B93"/>
    <w:rsid w:val="67676BB3"/>
    <w:rsid w:val="6770C095"/>
    <w:rsid w:val="6801939B"/>
    <w:rsid w:val="6806677B"/>
    <w:rsid w:val="680FCEB9"/>
    <w:rsid w:val="6869BA44"/>
    <w:rsid w:val="68A56DF8"/>
    <w:rsid w:val="695F2CA3"/>
    <w:rsid w:val="6A99EF48"/>
    <w:rsid w:val="6A9B7F45"/>
    <w:rsid w:val="6B60BBC7"/>
    <w:rsid w:val="6B7AAD5A"/>
    <w:rsid w:val="6C34B04B"/>
    <w:rsid w:val="6C5A840E"/>
    <w:rsid w:val="6CF128A1"/>
    <w:rsid w:val="6D0973E2"/>
    <w:rsid w:val="6D185F76"/>
    <w:rsid w:val="6D1955F0"/>
    <w:rsid w:val="6E5ABC82"/>
    <w:rsid w:val="6E935E80"/>
    <w:rsid w:val="6EB3123B"/>
    <w:rsid w:val="6F2858B7"/>
    <w:rsid w:val="7080998C"/>
    <w:rsid w:val="70CD7FE9"/>
    <w:rsid w:val="71652F33"/>
    <w:rsid w:val="71948599"/>
    <w:rsid w:val="72B7BC95"/>
    <w:rsid w:val="7306CE50"/>
    <w:rsid w:val="73590FB9"/>
    <w:rsid w:val="7376FF00"/>
    <w:rsid w:val="73DC811E"/>
    <w:rsid w:val="74447035"/>
    <w:rsid w:val="75564D1E"/>
    <w:rsid w:val="760FDD5A"/>
    <w:rsid w:val="768049E6"/>
    <w:rsid w:val="77027EBB"/>
    <w:rsid w:val="7804F825"/>
    <w:rsid w:val="7825B464"/>
    <w:rsid w:val="7836B778"/>
    <w:rsid w:val="789590C2"/>
    <w:rsid w:val="78D0DE3D"/>
    <w:rsid w:val="7960C7D5"/>
    <w:rsid w:val="79C1C50F"/>
    <w:rsid w:val="7A2114D5"/>
    <w:rsid w:val="7A37AED3"/>
    <w:rsid w:val="7A6D4A96"/>
    <w:rsid w:val="7B2872FB"/>
    <w:rsid w:val="7B28D580"/>
    <w:rsid w:val="7B3C6FD5"/>
    <w:rsid w:val="7B3F5800"/>
    <w:rsid w:val="7B6CD6C9"/>
    <w:rsid w:val="7B6E03C5"/>
    <w:rsid w:val="7C3170E3"/>
    <w:rsid w:val="7C8FA4AC"/>
    <w:rsid w:val="7D4DBAF6"/>
    <w:rsid w:val="7DF9C12F"/>
    <w:rsid w:val="7EDCC9FC"/>
    <w:rsid w:val="7EF5829D"/>
    <w:rsid w:val="7F67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B69A"/>
  <w15:chartTrackingRefBased/>
  <w15:docId w15:val="{9F547F98-C3BC-498E-B6BC-DB79097F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252D"/>
  </w:style>
  <w:style w:type="paragraph" w:styleId="berschrift1">
    <w:name w:val="heading 1"/>
    <w:basedOn w:val="Standard"/>
    <w:next w:val="Standard"/>
    <w:link w:val="berschrift1Zchn"/>
    <w:uiPriority w:val="9"/>
    <w:qFormat/>
    <w:rsid w:val="004E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1B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1B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1B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1B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1B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1B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1B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1B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1B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1B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1B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1B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1B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1B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1B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1B5E"/>
    <w:rPr>
      <w:rFonts w:eastAsiaTheme="majorEastAsia" w:cstheme="majorBidi"/>
      <w:color w:val="272727" w:themeColor="text1" w:themeTint="D8"/>
    </w:rPr>
  </w:style>
  <w:style w:type="paragraph" w:styleId="Titel">
    <w:name w:val="Title"/>
    <w:basedOn w:val="Standard"/>
    <w:next w:val="Standard"/>
    <w:link w:val="TitelZchn"/>
    <w:uiPriority w:val="10"/>
    <w:qFormat/>
    <w:rsid w:val="004E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1B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1B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1B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1B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1B5E"/>
    <w:rPr>
      <w:i/>
      <w:iCs/>
      <w:color w:val="404040" w:themeColor="text1" w:themeTint="BF"/>
    </w:rPr>
  </w:style>
  <w:style w:type="paragraph" w:styleId="Listenabsatz">
    <w:name w:val="List Paragraph"/>
    <w:basedOn w:val="Standard"/>
    <w:uiPriority w:val="34"/>
    <w:qFormat/>
    <w:rsid w:val="004E1B5E"/>
    <w:pPr>
      <w:ind w:left="720"/>
      <w:contextualSpacing/>
    </w:pPr>
  </w:style>
  <w:style w:type="character" w:styleId="IntensiveHervorhebung">
    <w:name w:val="Intense Emphasis"/>
    <w:basedOn w:val="Absatz-Standardschriftart"/>
    <w:uiPriority w:val="21"/>
    <w:qFormat/>
    <w:rsid w:val="004E1B5E"/>
    <w:rPr>
      <w:i/>
      <w:iCs/>
      <w:color w:val="0F4761" w:themeColor="accent1" w:themeShade="BF"/>
    </w:rPr>
  </w:style>
  <w:style w:type="paragraph" w:styleId="IntensivesZitat">
    <w:name w:val="Intense Quote"/>
    <w:basedOn w:val="Standard"/>
    <w:next w:val="Standard"/>
    <w:link w:val="IntensivesZitatZchn"/>
    <w:uiPriority w:val="30"/>
    <w:qFormat/>
    <w:rsid w:val="004E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1B5E"/>
    <w:rPr>
      <w:i/>
      <w:iCs/>
      <w:color w:val="0F4761" w:themeColor="accent1" w:themeShade="BF"/>
    </w:rPr>
  </w:style>
  <w:style w:type="character" w:styleId="IntensiverVerweis">
    <w:name w:val="Intense Reference"/>
    <w:basedOn w:val="Absatz-Standardschriftart"/>
    <w:uiPriority w:val="32"/>
    <w:qFormat/>
    <w:rsid w:val="004E1B5E"/>
    <w:rPr>
      <w:b/>
      <w:bCs/>
      <w:smallCaps/>
      <w:color w:val="0F4761" w:themeColor="accent1" w:themeShade="BF"/>
      <w:spacing w:val="5"/>
    </w:rPr>
  </w:style>
  <w:style w:type="paragraph" w:styleId="Kopfzeile">
    <w:name w:val="header"/>
    <w:basedOn w:val="Standard"/>
    <w:link w:val="KopfzeileZchn"/>
    <w:uiPriority w:val="99"/>
    <w:unhideWhenUsed/>
    <w:rsid w:val="004E1B5E"/>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E1B5E"/>
  </w:style>
  <w:style w:type="paragraph" w:styleId="Fuzeile">
    <w:name w:val="footer"/>
    <w:basedOn w:val="Standard"/>
    <w:link w:val="FuzeileZchn"/>
    <w:uiPriority w:val="99"/>
    <w:unhideWhenUsed/>
    <w:rsid w:val="004E1B5E"/>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E1B5E"/>
  </w:style>
  <w:style w:type="character" w:styleId="Hyperlink">
    <w:name w:val="Hyperlink"/>
    <w:basedOn w:val="Absatz-Standardschriftart"/>
    <w:uiPriority w:val="99"/>
    <w:unhideWhenUsed/>
    <w:rsid w:val="004E1B5E"/>
    <w:rPr>
      <w:color w:val="467886" w:themeColor="hyperlink"/>
      <w:u w:val="single"/>
    </w:rPr>
  </w:style>
  <w:style w:type="character" w:styleId="NichtaufgelsteErwhnung">
    <w:name w:val="Unresolved Mention"/>
    <w:basedOn w:val="Absatz-Standardschriftart"/>
    <w:uiPriority w:val="99"/>
    <w:semiHidden/>
    <w:unhideWhenUsed/>
    <w:rsid w:val="004E1B5E"/>
    <w:rPr>
      <w:color w:val="605E5C"/>
      <w:shd w:val="clear" w:color="auto" w:fill="E1DFDD"/>
    </w:rPr>
  </w:style>
  <w:style w:type="table" w:styleId="Tabellenraster">
    <w:name w:val="Table Grid"/>
    <w:basedOn w:val="NormaleTabelle"/>
    <w:uiPriority w:val="39"/>
    <w:rsid w:val="00355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530C3E"/>
    <w:pPr>
      <w:spacing w:after="0" w:line="240" w:lineRule="auto"/>
    </w:pPr>
  </w:style>
  <w:style w:type="character" w:styleId="Kommentarzeichen">
    <w:name w:val="annotation reference"/>
    <w:basedOn w:val="Absatz-Standardschriftart"/>
    <w:uiPriority w:val="99"/>
    <w:semiHidden/>
    <w:unhideWhenUsed/>
    <w:rsid w:val="00AC762D"/>
    <w:rPr>
      <w:sz w:val="16"/>
      <w:szCs w:val="16"/>
    </w:rPr>
  </w:style>
  <w:style w:type="paragraph" w:styleId="Kommentartext">
    <w:name w:val="annotation text"/>
    <w:basedOn w:val="Standard"/>
    <w:link w:val="KommentartextZchn"/>
    <w:uiPriority w:val="99"/>
    <w:semiHidden/>
    <w:unhideWhenUsed/>
    <w:rsid w:val="00AC76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762D"/>
    <w:rPr>
      <w:sz w:val="20"/>
      <w:szCs w:val="20"/>
    </w:rPr>
  </w:style>
  <w:style w:type="paragraph" w:styleId="Kommentarthema">
    <w:name w:val="annotation subject"/>
    <w:basedOn w:val="Kommentartext"/>
    <w:next w:val="Kommentartext"/>
    <w:link w:val="KommentarthemaZchn"/>
    <w:uiPriority w:val="99"/>
    <w:semiHidden/>
    <w:unhideWhenUsed/>
    <w:rsid w:val="00AC762D"/>
    <w:rPr>
      <w:b/>
      <w:bCs/>
    </w:rPr>
  </w:style>
  <w:style w:type="character" w:customStyle="1" w:styleId="KommentarthemaZchn">
    <w:name w:val="Kommentarthema Zchn"/>
    <w:basedOn w:val="KommentartextZchn"/>
    <w:link w:val="Kommentarthema"/>
    <w:uiPriority w:val="99"/>
    <w:semiHidden/>
    <w:rsid w:val="00AC762D"/>
    <w:rPr>
      <w:b/>
      <w:bCs/>
      <w:sz w:val="20"/>
      <w:szCs w:val="20"/>
    </w:rPr>
  </w:style>
  <w:style w:type="paragraph" w:styleId="StandardWeb">
    <w:name w:val="Normal (Web)"/>
    <w:basedOn w:val="Standard"/>
    <w:uiPriority w:val="99"/>
    <w:semiHidden/>
    <w:unhideWhenUsed/>
    <w:rsid w:val="000C72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ett">
    <w:name w:val="Strong"/>
    <w:basedOn w:val="Absatz-Standardschriftart"/>
    <w:uiPriority w:val="22"/>
    <w:qFormat/>
    <w:rsid w:val="00F35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728CE5C2ED2CC4AAC0CCC43D9633A80" ma:contentTypeVersion="11" ma:contentTypeDescription="Ein neues Dokument erstellen." ma:contentTypeScope="" ma:versionID="33c09f5d4e06a75ac947eca68192bd2d">
  <xsd:schema xmlns:xsd="http://www.w3.org/2001/XMLSchema" xmlns:xs="http://www.w3.org/2001/XMLSchema" xmlns:p="http://schemas.microsoft.com/office/2006/metadata/properties" xmlns:ns2="62057548-5550-48cf-8414-9e1316ee961f" xmlns:ns3="0f7040e6-bd2c-44d3-821a-04f978f2478c" targetNamespace="http://schemas.microsoft.com/office/2006/metadata/properties" ma:root="true" ma:fieldsID="bf6b66c8b4dde1a3bf4d8bba27b90901" ns2:_="" ns3:_="">
    <xsd:import namespace="62057548-5550-48cf-8414-9e1316ee961f"/>
    <xsd:import namespace="0f7040e6-bd2c-44d3-821a-04f978f2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7548-5550-48cf-8414-9e1316ee9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d01e515-d8fd-44e9-9fc5-27d82c532d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7040e6-bd2c-44d3-821a-04f978f247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a00480-d9bb-4f34-a1fe-c4cacbcc7d8a}" ma:internalName="TaxCatchAll" ma:showField="CatchAllData" ma:web="0f7040e6-bd2c-44d3-821a-04f978f2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7040e6-bd2c-44d3-821a-04f978f2478c" xsi:nil="true"/>
    <lcf76f155ced4ddcb4097134ff3c332f xmlns="62057548-5550-48cf-8414-9e1316ee96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77D33-93A0-48FE-A4E4-CAAC2B09D18C}">
  <ds:schemaRefs>
    <ds:schemaRef ds:uri="http://schemas.openxmlformats.org/officeDocument/2006/bibliography"/>
  </ds:schemaRefs>
</ds:datastoreItem>
</file>

<file path=customXml/itemProps2.xml><?xml version="1.0" encoding="utf-8"?>
<ds:datastoreItem xmlns:ds="http://schemas.openxmlformats.org/officeDocument/2006/customXml" ds:itemID="{6C9CBD68-2953-4B2D-AD50-EE65F2D4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7548-5550-48cf-8414-9e1316ee961f"/>
    <ds:schemaRef ds:uri="0f7040e6-bd2c-44d3-821a-04f978f2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B48D7-AB5F-414C-91BB-2AD9555A3368}">
  <ds:schemaRefs>
    <ds:schemaRef ds:uri="http://schemas.microsoft.com/sharepoint/v3/contenttype/forms"/>
  </ds:schemaRefs>
</ds:datastoreItem>
</file>

<file path=customXml/itemProps4.xml><?xml version="1.0" encoding="utf-8"?>
<ds:datastoreItem xmlns:ds="http://schemas.openxmlformats.org/officeDocument/2006/customXml" ds:itemID="{B91F624E-FF8F-4ACF-9866-ED9E9719B696}">
  <ds:schemaRefs>
    <ds:schemaRef ds:uri="http://schemas.microsoft.com/office/2006/metadata/properties"/>
    <ds:schemaRef ds:uri="http://schemas.microsoft.com/office/infopath/2007/PartnerControls"/>
    <ds:schemaRef ds:uri="0f7040e6-bd2c-44d3-821a-04f978f2478c"/>
    <ds:schemaRef ds:uri="62057548-5550-48cf-8414-9e1316ee96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3854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Links>
    <vt:vector size="6" baseType="variant">
      <vt:variant>
        <vt:i4>7405638</vt:i4>
      </vt:variant>
      <vt:variant>
        <vt:i4>0</vt:i4>
      </vt:variant>
      <vt:variant>
        <vt:i4>0</vt:i4>
      </vt:variant>
      <vt:variant>
        <vt:i4>5</vt:i4>
      </vt:variant>
      <vt:variant>
        <vt:lpwstr>mailto:Ref-G23@bmv.bund.de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Bott</dc:creator>
  <cp:keywords/>
  <dc:description/>
  <cp:lastModifiedBy>charGER Admin</cp:lastModifiedBy>
  <cp:revision>22</cp:revision>
  <cp:lastPrinted>2026-04-20T19:19:00Z</cp:lastPrinted>
  <dcterms:created xsi:type="dcterms:W3CDTF">2026-04-20T14:24:00Z</dcterms:created>
  <dcterms:modified xsi:type="dcterms:W3CDTF">2026-05-19T11:45:00Z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0x010100D728CE5C2ED2CC4AAC0CCC43D9633A80</vt:lpwstr>
  </property>
  <property fmtid="{D5CDD505-2E9C-101B-9397-08002B2CF9AE}" pid="3" name="MediaServiceImageTags">
    <vt:lpwstr/>
  </property>
  <property fmtid="{D5CDD505-2E9C-101B-9397-08002B2CF9AE}" pid="4" name="docLang">
    <vt:lpwstr>de</vt:lpwstr>
  </property>
</Properties>
</file>