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12AFB" w14:textId="371B7679" w:rsidR="005A0E03" w:rsidRDefault="005A0E03" w:rsidP="007926DB">
      <w:pPr>
        <w:jc w:val="center"/>
        <w:rPr>
          <w:rFonts w:ascii="Aptos" w:hAnsi="Aptos"/>
          <w:b/>
          <w:bCs/>
          <w:i/>
          <w:iCs/>
          <w:caps/>
          <w:color w:val="E9E575"/>
          <w:highlight w:val="black"/>
          <w:lang w:val="de-DE"/>
        </w:rPr>
      </w:pPr>
      <w:r>
        <w:rPr>
          <w:noProof/>
        </w:rPr>
        <w:drawing>
          <wp:inline distT="0" distB="0" distL="0" distR="0" wp14:anchorId="339CD766" wp14:editId="4A0CDD8C">
            <wp:extent cx="4543425" cy="4114800"/>
            <wp:effectExtent l="0" t="0" r="0" b="0"/>
            <wp:docPr id="3952384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238462"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4543425" cy="4114800"/>
                    </a:xfrm>
                    <a:prstGeom prst="rect">
                      <a:avLst/>
                    </a:prstGeom>
                  </pic:spPr>
                </pic:pic>
              </a:graphicData>
            </a:graphic>
          </wp:inline>
        </w:drawing>
      </w:r>
    </w:p>
    <w:p w14:paraId="3AC1F1DC" w14:textId="3C14C865" w:rsidR="007926DB" w:rsidRPr="003E19DC" w:rsidRDefault="00D72E4B" w:rsidP="003E19DC">
      <w:pPr>
        <w:rPr>
          <w:rFonts w:ascii="Aptos" w:hAnsi="Aptos"/>
          <w:i/>
          <w:iCs/>
          <w:caps/>
          <w:lang w:val="de-DE"/>
        </w:rPr>
      </w:pPr>
      <w:r w:rsidRPr="003E19DC">
        <w:rPr>
          <w:rFonts w:ascii="Aptos" w:hAnsi="Aptos"/>
          <w:i/>
          <w:iCs/>
          <w:caps/>
          <w:lang w:val="de-DE"/>
        </w:rPr>
        <w:t xml:space="preserve">Stellungnahme zum Referentenentwurf </w:t>
      </w:r>
      <w:r w:rsidR="007926DB" w:rsidRPr="003E19DC">
        <w:rPr>
          <w:rFonts w:ascii="Aptos" w:hAnsi="Aptos"/>
          <w:i/>
          <w:iCs/>
          <w:caps/>
          <w:lang w:val="de-DE"/>
        </w:rPr>
        <w:br/>
      </w:r>
      <w:r w:rsidRPr="003E19DC">
        <w:rPr>
          <w:rFonts w:ascii="Aptos" w:hAnsi="Aptos"/>
          <w:i/>
          <w:iCs/>
          <w:caps/>
          <w:lang w:val="de-DE"/>
        </w:rPr>
        <w:t>des Bundesministeriums für Wirtschaft und Energie</w:t>
      </w:r>
      <w:r w:rsidR="00824140">
        <w:rPr>
          <w:rFonts w:ascii="Aptos" w:hAnsi="Aptos"/>
          <w:i/>
          <w:iCs/>
          <w:caps/>
          <w:lang w:val="de-DE"/>
        </w:rPr>
        <w:t xml:space="preserve"> </w:t>
      </w:r>
      <w:r w:rsidR="00824140">
        <w:rPr>
          <w:rFonts w:ascii="Aptos" w:hAnsi="Aptos"/>
          <w:i/>
          <w:iCs/>
          <w:caps/>
          <w:lang w:val="de-DE"/>
        </w:rPr>
        <w:br/>
        <w:t xml:space="preserve">VOM </w:t>
      </w:r>
      <w:r w:rsidR="009D56D9">
        <w:rPr>
          <w:rFonts w:ascii="Aptos" w:hAnsi="Aptos"/>
          <w:i/>
          <w:iCs/>
          <w:caps/>
          <w:lang w:val="de-DE"/>
        </w:rPr>
        <w:t>16. Juli 2026</w:t>
      </w:r>
    </w:p>
    <w:p w14:paraId="30FAA2F4" w14:textId="3D6856D2" w:rsidR="00D72E4B" w:rsidRPr="003E19DC" w:rsidRDefault="00D72E4B" w:rsidP="007926DB">
      <w:pPr>
        <w:jc w:val="both"/>
        <w:rPr>
          <w:rFonts w:ascii="Aptos" w:hAnsi="Aptos"/>
          <w:b/>
          <w:bCs/>
          <w:i/>
          <w:iCs/>
          <w:caps/>
          <w:color w:val="E9E575"/>
          <w:lang w:val="de-DE"/>
        </w:rPr>
      </w:pPr>
    </w:p>
    <w:p w14:paraId="2817C9F5" w14:textId="5785E275" w:rsidR="00D72E4B" w:rsidRPr="003E19DC" w:rsidRDefault="00D72E4B" w:rsidP="00D72E4B">
      <w:pPr>
        <w:shd w:val="clear" w:color="auto" w:fill="E8E8E8" w:themeFill="background2"/>
        <w:jc w:val="both"/>
        <w:rPr>
          <w:rFonts w:ascii="Aptos" w:hAnsi="Aptos"/>
          <w:b/>
          <w:bCs/>
          <w:caps/>
          <w:sz w:val="28"/>
          <w:szCs w:val="28"/>
          <w:lang w:val="de-DE"/>
        </w:rPr>
      </w:pPr>
      <w:r w:rsidRPr="003E19DC">
        <w:rPr>
          <w:rFonts w:ascii="Aptos" w:hAnsi="Aptos"/>
          <w:b/>
          <w:bCs/>
          <w:caps/>
          <w:sz w:val="28"/>
          <w:szCs w:val="28"/>
          <w:lang w:val="de-DE"/>
        </w:rPr>
        <w:t>„Entwurf eines Gesetzes zur Änderung des Energie</w:t>
      </w:r>
      <w:r w:rsidR="003E19DC">
        <w:rPr>
          <w:rFonts w:ascii="Aptos" w:hAnsi="Aptos"/>
          <w:b/>
          <w:bCs/>
          <w:caps/>
          <w:sz w:val="28"/>
          <w:szCs w:val="28"/>
          <w:lang w:val="de-DE"/>
        </w:rPr>
        <w:t>-</w:t>
      </w:r>
      <w:r w:rsidRPr="003E19DC">
        <w:rPr>
          <w:rFonts w:ascii="Aptos" w:hAnsi="Aptos"/>
          <w:b/>
          <w:bCs/>
          <w:caps/>
          <w:sz w:val="28"/>
          <w:szCs w:val="28"/>
          <w:lang w:val="de-DE"/>
        </w:rPr>
        <w:t>wirtschaftsrechts zur Synchronisierung des Anlagenzubaus mit dem Netzausbau sowie zur Verbesserung des Netzanschluss</w:t>
      </w:r>
      <w:r w:rsidR="003E19DC">
        <w:rPr>
          <w:rFonts w:ascii="Aptos" w:hAnsi="Aptos"/>
          <w:b/>
          <w:bCs/>
          <w:caps/>
          <w:sz w:val="28"/>
          <w:szCs w:val="28"/>
          <w:lang w:val="de-DE"/>
        </w:rPr>
        <w:t>-</w:t>
      </w:r>
      <w:r w:rsidRPr="003E19DC">
        <w:rPr>
          <w:rFonts w:ascii="Aptos" w:hAnsi="Aptos"/>
          <w:b/>
          <w:bCs/>
          <w:caps/>
          <w:sz w:val="28"/>
          <w:szCs w:val="28"/>
          <w:lang w:val="de-DE"/>
        </w:rPr>
        <w:t>verfahrens“</w:t>
      </w:r>
    </w:p>
    <w:p w14:paraId="06ADF0C3" w14:textId="77777777" w:rsidR="00D72E4B" w:rsidRPr="003E19DC" w:rsidRDefault="00D72E4B" w:rsidP="00D72E4B">
      <w:pPr>
        <w:rPr>
          <w:rFonts w:ascii="Aptos" w:hAnsi="Aptos"/>
          <w:b/>
          <w:bCs/>
          <w:i/>
          <w:iCs/>
          <w:lang w:val="de-DE"/>
        </w:rPr>
      </w:pPr>
    </w:p>
    <w:p w14:paraId="7326C215" w14:textId="2E9EC7A0" w:rsidR="00EF5A54" w:rsidRPr="003E19DC" w:rsidRDefault="00D72E4B" w:rsidP="00385B21">
      <w:pPr>
        <w:rPr>
          <w:rFonts w:ascii="Aptos" w:hAnsi="Aptos"/>
          <w:i/>
          <w:iCs/>
          <w:lang w:val="de-DE"/>
        </w:rPr>
      </w:pPr>
      <w:r w:rsidRPr="003E19DC">
        <w:rPr>
          <w:rFonts w:ascii="Aptos" w:hAnsi="Aptos"/>
          <w:b/>
          <w:bCs/>
          <w:i/>
          <w:iCs/>
          <w:lang w:val="de-DE"/>
        </w:rPr>
        <w:t>Im Rahmen der Länder- und Verbändeanhörung zum „Netzanschlusspaket</w:t>
      </w:r>
    </w:p>
    <w:p w14:paraId="21CBE41D" w14:textId="68FCE103" w:rsidR="0035556B" w:rsidRPr="003E19DC" w:rsidRDefault="0035556B" w:rsidP="00385B21">
      <w:pPr>
        <w:rPr>
          <w:rFonts w:ascii="Aptos" w:hAnsi="Aptos"/>
          <w:lang w:val="de-DE"/>
        </w:rPr>
      </w:pPr>
      <w:r w:rsidRPr="003E19DC">
        <w:rPr>
          <w:rFonts w:ascii="Aptos" w:hAnsi="Aptos"/>
          <w:lang w:val="de-DE"/>
        </w:rPr>
        <w:t xml:space="preserve">Berlin, </w:t>
      </w:r>
      <w:r w:rsidR="00403B54" w:rsidRPr="003E19DC">
        <w:rPr>
          <w:rFonts w:ascii="Aptos" w:hAnsi="Aptos"/>
          <w:lang w:val="de-DE"/>
        </w:rPr>
        <w:t>2</w:t>
      </w:r>
      <w:r w:rsidR="00824140">
        <w:rPr>
          <w:rFonts w:ascii="Aptos" w:hAnsi="Aptos"/>
          <w:lang w:val="de-DE"/>
        </w:rPr>
        <w:t>2</w:t>
      </w:r>
      <w:r w:rsidR="00403B54" w:rsidRPr="003E19DC">
        <w:rPr>
          <w:rFonts w:ascii="Aptos" w:hAnsi="Aptos"/>
          <w:lang w:val="de-DE"/>
        </w:rPr>
        <w:t>. Juli 2026</w:t>
      </w:r>
    </w:p>
    <w:p w14:paraId="7728767A" w14:textId="03114ABB" w:rsidR="001D4FBF" w:rsidRDefault="001D4FBF" w:rsidP="00CE55CB">
      <w:pPr>
        <w:jc w:val="both"/>
        <w:rPr>
          <w:rFonts w:ascii="Aptos" w:hAnsi="Aptos"/>
          <w:sz w:val="36"/>
          <w:szCs w:val="36"/>
          <w:lang w:val="de-DE"/>
        </w:rPr>
      </w:pPr>
    </w:p>
    <w:p w14:paraId="303B52B9" w14:textId="79B6D580" w:rsidR="0000590F" w:rsidRPr="00CE55CB" w:rsidRDefault="001E1522" w:rsidP="00247B12">
      <w:pPr>
        <w:shd w:val="clear" w:color="auto" w:fill="E9E575"/>
        <w:jc w:val="both"/>
        <w:rPr>
          <w:rFonts w:ascii="Aptos" w:hAnsi="Aptos"/>
          <w:b/>
          <w:bCs/>
          <w:sz w:val="28"/>
          <w:szCs w:val="28"/>
          <w:lang w:val="de-DE"/>
        </w:rPr>
      </w:pPr>
      <w:r w:rsidRPr="00CE55CB">
        <w:rPr>
          <w:rFonts w:ascii="Aptos" w:hAnsi="Aptos"/>
          <w:b/>
          <w:bCs/>
          <w:sz w:val="28"/>
          <w:szCs w:val="28"/>
          <w:lang w:val="de-DE"/>
        </w:rPr>
        <w:lastRenderedPageBreak/>
        <w:t>Zusammenfassung</w:t>
      </w:r>
      <w:r w:rsidR="00520E3B">
        <w:rPr>
          <w:rFonts w:ascii="Aptos" w:hAnsi="Aptos"/>
          <w:b/>
          <w:bCs/>
          <w:sz w:val="28"/>
          <w:szCs w:val="28"/>
          <w:lang w:val="de-DE"/>
        </w:rPr>
        <w:t xml:space="preserve"> &amp; Einleitung</w:t>
      </w:r>
    </w:p>
    <w:p w14:paraId="270FBC02" w14:textId="77777777" w:rsidR="00520E3B" w:rsidRPr="00856D3F" w:rsidRDefault="00520E3B" w:rsidP="00520E3B">
      <w:pPr>
        <w:jc w:val="both"/>
        <w:rPr>
          <w:rFonts w:ascii="Aptos" w:hAnsi="Aptos"/>
          <w:b/>
          <w:bCs/>
          <w:sz w:val="22"/>
          <w:szCs w:val="22"/>
          <w:lang w:val="de-DE"/>
        </w:rPr>
      </w:pPr>
      <w:r w:rsidRPr="00856D3F">
        <w:rPr>
          <w:rFonts w:ascii="Aptos" w:hAnsi="Aptos"/>
          <w:sz w:val="22"/>
          <w:szCs w:val="22"/>
          <w:lang w:val="de-DE"/>
        </w:rPr>
        <w:t xml:space="preserve">Der Referentenentwurf des Bundesministeriums für Wirtschaft und Energie adressiert eine zentrale Herausforderung der Energiewende: Netzanschlusskapazitäten werden zunehmend knapp, während Erzeugungsanlagen, Speicher, Industrie, Rechenzentren, Wärmepumpen und Ladeinfrastrukturen gleichzeitig Anschlussmöglichkeiten nachfragen. </w:t>
      </w:r>
      <w:r w:rsidRPr="00856D3F">
        <w:rPr>
          <w:rFonts w:ascii="Aptos" w:hAnsi="Aptos"/>
          <w:b/>
          <w:bCs/>
          <w:sz w:val="22"/>
          <w:szCs w:val="22"/>
          <w:lang w:val="de-DE"/>
        </w:rPr>
        <w:t>Der Entwurf verfolgt zu Recht das Ziel, Verfahren zu digitalisieren, die Transparenz über verfügbare Netzanschlusskapazitäten zu erhöhen und Netzbetreiber mit Instrumenten zur Priorisierung, Reservierung und Freigabe knapper Kapazitäten auszustatten.</w:t>
      </w:r>
    </w:p>
    <w:p w14:paraId="02AE1D43" w14:textId="45976A8E" w:rsidR="00CE55CB" w:rsidRPr="00856D3F" w:rsidRDefault="00CE55CB" w:rsidP="00520E3B">
      <w:pPr>
        <w:jc w:val="both"/>
        <w:rPr>
          <w:rFonts w:ascii="Aptos" w:hAnsi="Aptos"/>
          <w:sz w:val="22"/>
          <w:szCs w:val="22"/>
          <w:lang w:val="de-DE"/>
        </w:rPr>
      </w:pPr>
      <w:r w:rsidRPr="00856D3F">
        <w:rPr>
          <w:rFonts w:ascii="Aptos" w:hAnsi="Aptos"/>
          <w:sz w:val="22"/>
          <w:szCs w:val="22"/>
          <w:lang w:val="de-DE"/>
        </w:rPr>
        <w:t xml:space="preserve">Der </w:t>
      </w:r>
      <w:proofErr w:type="spellStart"/>
      <w:r w:rsidRPr="00856D3F">
        <w:rPr>
          <w:rFonts w:ascii="Aptos" w:hAnsi="Aptos"/>
          <w:sz w:val="22"/>
          <w:szCs w:val="22"/>
          <w:lang w:val="de-DE"/>
        </w:rPr>
        <w:t>charGER</w:t>
      </w:r>
      <w:proofErr w:type="spellEnd"/>
      <w:r w:rsidRPr="00856D3F">
        <w:rPr>
          <w:rFonts w:ascii="Aptos" w:hAnsi="Aptos"/>
          <w:sz w:val="22"/>
          <w:szCs w:val="22"/>
          <w:lang w:val="de-DE"/>
        </w:rPr>
        <w:t xml:space="preserve"> e.V. begrüßt das Ziel des Referentenentwurfs, Netzanschlussverfahren zu modernisieren, vorhandene Kapazitäten transparenter zu machen, das Windhundprinzip zu überwinden und digitale Netzanschlussprozesse einzuführen. Aus </w:t>
      </w:r>
      <w:r w:rsidRPr="00856D3F">
        <w:rPr>
          <w:rFonts w:ascii="Aptos" w:hAnsi="Aptos"/>
          <w:b/>
          <w:bCs/>
          <w:sz w:val="22"/>
          <w:szCs w:val="22"/>
          <w:lang w:val="de-DE"/>
        </w:rPr>
        <w:t>Sicht der Ladeinfrastrukturbranche</w:t>
      </w:r>
      <w:r w:rsidRPr="00856D3F">
        <w:rPr>
          <w:rFonts w:ascii="Aptos" w:hAnsi="Aptos"/>
          <w:sz w:val="22"/>
          <w:szCs w:val="22"/>
          <w:lang w:val="de-DE"/>
        </w:rPr>
        <w:t xml:space="preserve"> greift der Entwurf jedoch</w:t>
      </w:r>
      <w:r w:rsidR="003446BC">
        <w:rPr>
          <w:rFonts w:ascii="Aptos" w:hAnsi="Aptos"/>
          <w:sz w:val="22"/>
          <w:szCs w:val="22"/>
          <w:lang w:val="de-DE"/>
        </w:rPr>
        <w:t xml:space="preserve"> in Teilen</w:t>
      </w:r>
      <w:r w:rsidRPr="00856D3F">
        <w:rPr>
          <w:rFonts w:ascii="Aptos" w:hAnsi="Aptos"/>
          <w:sz w:val="22"/>
          <w:szCs w:val="22"/>
          <w:lang w:val="de-DE"/>
        </w:rPr>
        <w:t xml:space="preserve"> zu kurz, weil zentrale Instrumente vor allem oberhalb der Leistungsklassen und Netzebenen ansetzen, in denen der Massenhochlauf von Normalladepunkten</w:t>
      </w:r>
      <w:r w:rsidR="00991A54">
        <w:rPr>
          <w:rFonts w:ascii="Aptos" w:hAnsi="Aptos"/>
          <w:sz w:val="22"/>
          <w:szCs w:val="22"/>
          <w:lang w:val="de-DE"/>
        </w:rPr>
        <w:t xml:space="preserve"> (AC)</w:t>
      </w:r>
      <w:r w:rsidRPr="00856D3F">
        <w:rPr>
          <w:rFonts w:ascii="Aptos" w:hAnsi="Aptos"/>
          <w:sz w:val="22"/>
          <w:szCs w:val="22"/>
          <w:lang w:val="de-DE"/>
        </w:rPr>
        <w:t xml:space="preserve"> und </w:t>
      </w:r>
      <w:r w:rsidR="005C6377">
        <w:rPr>
          <w:rFonts w:ascii="Aptos" w:hAnsi="Aptos"/>
          <w:sz w:val="22"/>
          <w:szCs w:val="22"/>
          <w:lang w:val="de-DE"/>
        </w:rPr>
        <w:t>leistungsärmeren</w:t>
      </w:r>
      <w:r w:rsidRPr="00856D3F">
        <w:rPr>
          <w:rFonts w:ascii="Aptos" w:hAnsi="Aptos"/>
          <w:sz w:val="22"/>
          <w:szCs w:val="22"/>
          <w:lang w:val="de-DE"/>
        </w:rPr>
        <w:t xml:space="preserve"> Schnellladepunkten</w:t>
      </w:r>
      <w:r w:rsidR="007D191E">
        <w:rPr>
          <w:rFonts w:ascii="Aptos" w:hAnsi="Aptos"/>
          <w:sz w:val="22"/>
          <w:szCs w:val="22"/>
          <w:lang w:val="de-DE"/>
        </w:rPr>
        <w:t xml:space="preserve"> (DC)</w:t>
      </w:r>
      <w:r w:rsidRPr="00856D3F">
        <w:rPr>
          <w:rFonts w:ascii="Aptos" w:hAnsi="Aptos"/>
          <w:sz w:val="22"/>
          <w:szCs w:val="22"/>
          <w:lang w:val="de-DE"/>
        </w:rPr>
        <w:t xml:space="preserve"> tatsächlich stattfindet.</w:t>
      </w:r>
    </w:p>
    <w:p w14:paraId="538EA0BD" w14:textId="6E2E7647" w:rsidR="00247B12" w:rsidRPr="00856D3F" w:rsidRDefault="00247B12" w:rsidP="00247B12">
      <w:pPr>
        <w:jc w:val="both"/>
        <w:rPr>
          <w:rFonts w:ascii="Aptos" w:hAnsi="Aptos"/>
          <w:sz w:val="22"/>
          <w:szCs w:val="22"/>
          <w:lang w:val="de-DE"/>
        </w:rPr>
      </w:pPr>
      <w:r w:rsidRPr="00856D3F">
        <w:rPr>
          <w:rFonts w:ascii="Aptos" w:hAnsi="Aptos"/>
          <w:sz w:val="22"/>
          <w:szCs w:val="22"/>
          <w:lang w:val="de-DE"/>
        </w:rPr>
        <w:t>Der Hochlauf der Elektromobilität findet in der Fläche statt – insbesondere in Niederspannungsnetzen und an den Schnittstellen zur Mittelspannung. Hier entstehen die konkreten Projekte, die Kommunen, Unternehmen, Wohnungswirtschaft und Mobilitätsanbieter benötigen, um den Alltag der Elektromobilität möglich zu machen.</w:t>
      </w:r>
    </w:p>
    <w:p w14:paraId="56B7E4D7" w14:textId="6CA54A8F" w:rsidR="00840621" w:rsidRPr="00856D3F" w:rsidRDefault="00CE55CB" w:rsidP="00CE55CB">
      <w:pPr>
        <w:jc w:val="both"/>
        <w:rPr>
          <w:rFonts w:ascii="Aptos" w:hAnsi="Aptos"/>
          <w:sz w:val="22"/>
          <w:szCs w:val="22"/>
          <w:lang w:val="de-DE"/>
        </w:rPr>
      </w:pPr>
      <w:r w:rsidRPr="00856D3F">
        <w:rPr>
          <w:rFonts w:ascii="Aptos" w:hAnsi="Aptos"/>
          <w:sz w:val="22"/>
          <w:szCs w:val="22"/>
          <w:lang w:val="de-DE"/>
        </w:rPr>
        <w:t>Für Errichter, Projektierer und Betreiber von Ladeinfrastruktur sind schnelle, standardisierte und verlässliche Netzanschlussverfahren in der Niederspannung und an der Schnittstelle zur Mittelspannung entscheidend. Der Alltag der Elektromobilität wird nicht allein durch große Ladeparks geprägt, sondern durch Ladepunkte in Quartieren, im halböffentlichen Raum, bei Arbeitgebern, im Handel, an kommunalen Standorten und an Mobilitätsknotenpunkten.</w:t>
      </w:r>
    </w:p>
    <w:p w14:paraId="63028787" w14:textId="376A22A5" w:rsidR="00611D35" w:rsidRDefault="00611D35" w:rsidP="009E5626">
      <w:pPr>
        <w:pStyle w:val="ListParagraph"/>
        <w:numPr>
          <w:ilvl w:val="0"/>
          <w:numId w:val="31"/>
        </w:numPr>
        <w:jc w:val="both"/>
        <w:rPr>
          <w:rFonts w:ascii="Aptos" w:hAnsi="Aptos"/>
          <w:sz w:val="22"/>
          <w:szCs w:val="22"/>
          <w:lang w:val="de-DE"/>
        </w:rPr>
      </w:pPr>
      <w:r w:rsidRPr="00856D3F">
        <w:rPr>
          <w:rFonts w:ascii="Aptos" w:hAnsi="Aptos"/>
          <w:sz w:val="22"/>
          <w:szCs w:val="22"/>
          <w:lang w:val="de-DE"/>
        </w:rPr>
        <w:t xml:space="preserve">Das Netzanschlusspaket muss </w:t>
      </w:r>
      <w:r w:rsidR="005B7A0C" w:rsidRPr="00856D3F">
        <w:rPr>
          <w:rFonts w:ascii="Aptos" w:hAnsi="Aptos"/>
          <w:sz w:val="22"/>
          <w:szCs w:val="22"/>
          <w:lang w:val="de-DE"/>
        </w:rPr>
        <w:t xml:space="preserve">die </w:t>
      </w:r>
      <w:r w:rsidR="005B7A0C" w:rsidRPr="00856D3F">
        <w:rPr>
          <w:rFonts w:ascii="Aptos" w:hAnsi="Aptos"/>
          <w:b/>
          <w:bCs/>
          <w:sz w:val="22"/>
          <w:szCs w:val="22"/>
          <w:lang w:val="de-DE"/>
        </w:rPr>
        <w:t>Belange aller Verteilnetze – auch der</w:t>
      </w:r>
      <w:r w:rsidRPr="00856D3F">
        <w:rPr>
          <w:rFonts w:ascii="Aptos" w:hAnsi="Aptos"/>
          <w:b/>
          <w:bCs/>
          <w:sz w:val="22"/>
          <w:szCs w:val="22"/>
          <w:lang w:val="de-DE"/>
        </w:rPr>
        <w:t xml:space="preserve"> Niederspannung</w:t>
      </w:r>
      <w:r w:rsidR="009E5626" w:rsidRPr="00856D3F">
        <w:rPr>
          <w:rFonts w:ascii="Aptos" w:hAnsi="Aptos"/>
          <w:b/>
          <w:bCs/>
          <w:sz w:val="22"/>
          <w:szCs w:val="22"/>
          <w:lang w:val="de-DE"/>
        </w:rPr>
        <w:t xml:space="preserve"> </w:t>
      </w:r>
      <w:r w:rsidR="000B03A2" w:rsidRPr="00856D3F">
        <w:rPr>
          <w:rFonts w:ascii="Aptos" w:hAnsi="Aptos"/>
          <w:b/>
          <w:bCs/>
          <w:sz w:val="22"/>
          <w:szCs w:val="22"/>
          <w:lang w:val="de-DE"/>
        </w:rPr>
        <w:t>- berücksichtigen</w:t>
      </w:r>
      <w:r w:rsidRPr="00856D3F">
        <w:rPr>
          <w:rFonts w:ascii="Aptos" w:hAnsi="Aptos"/>
          <w:sz w:val="22"/>
          <w:szCs w:val="22"/>
          <w:lang w:val="de-DE"/>
        </w:rPr>
        <w:t xml:space="preserve">: transparente Kapazitätsauskünfte ab 11 kW, verbindliche digitale Verfahren, </w:t>
      </w:r>
      <w:r w:rsidR="00AD60AE">
        <w:rPr>
          <w:rFonts w:ascii="Aptos" w:hAnsi="Aptos"/>
          <w:sz w:val="22"/>
          <w:szCs w:val="22"/>
          <w:lang w:val="de-DE"/>
        </w:rPr>
        <w:t xml:space="preserve">Priorisierung von </w:t>
      </w:r>
      <w:r w:rsidRPr="00856D3F">
        <w:rPr>
          <w:rFonts w:ascii="Aptos" w:hAnsi="Aptos"/>
          <w:sz w:val="22"/>
          <w:szCs w:val="22"/>
          <w:lang w:val="de-DE"/>
        </w:rPr>
        <w:t>Ladeinfrastruktur, projektfortschrittsgebundene Reservierungen und eine Genehmigungsfiktion für standardisierte Anschlussbegehren bis 5</w:t>
      </w:r>
      <w:r w:rsidR="00943666">
        <w:rPr>
          <w:rFonts w:ascii="Aptos" w:hAnsi="Aptos"/>
          <w:sz w:val="22"/>
          <w:szCs w:val="22"/>
          <w:lang w:val="de-DE"/>
        </w:rPr>
        <w:t>5</w:t>
      </w:r>
      <w:r w:rsidRPr="00856D3F">
        <w:rPr>
          <w:rFonts w:ascii="Aptos" w:hAnsi="Aptos"/>
          <w:sz w:val="22"/>
          <w:szCs w:val="22"/>
          <w:lang w:val="de-DE"/>
        </w:rPr>
        <w:t xml:space="preserve"> kW sollten </w:t>
      </w:r>
      <w:r w:rsidR="00BD2F7F" w:rsidRPr="00BD2F7F">
        <w:rPr>
          <w:rFonts w:ascii="Aptos" w:hAnsi="Aptos"/>
          <w:sz w:val="22"/>
          <w:szCs w:val="22"/>
          <w:lang w:val="de-DE"/>
        </w:rPr>
        <w:t>für Verteilnetzbetreiber verpflichtende Praxis werden</w:t>
      </w:r>
      <w:r w:rsidRPr="00856D3F">
        <w:rPr>
          <w:rFonts w:ascii="Aptos" w:hAnsi="Aptos"/>
          <w:sz w:val="22"/>
          <w:szCs w:val="22"/>
          <w:lang w:val="de-DE"/>
        </w:rPr>
        <w:t>.</w:t>
      </w:r>
    </w:p>
    <w:p w14:paraId="7EFE74F8" w14:textId="77777777" w:rsidR="00397CC6" w:rsidRPr="00856D3F" w:rsidRDefault="00397CC6" w:rsidP="00397CC6">
      <w:pPr>
        <w:pStyle w:val="ListParagraph"/>
        <w:jc w:val="both"/>
        <w:rPr>
          <w:rFonts w:ascii="Aptos" w:hAnsi="Aptos"/>
          <w:sz w:val="22"/>
          <w:szCs w:val="22"/>
          <w:lang w:val="de-DE"/>
        </w:rPr>
      </w:pPr>
    </w:p>
    <w:p w14:paraId="6A70D2A7" w14:textId="6EC9C0DC" w:rsidR="00397CC6" w:rsidRDefault="008607DC" w:rsidP="00397CC6">
      <w:pPr>
        <w:pStyle w:val="ListParagraph"/>
        <w:numPr>
          <w:ilvl w:val="0"/>
          <w:numId w:val="31"/>
        </w:numPr>
        <w:jc w:val="both"/>
        <w:rPr>
          <w:rFonts w:ascii="Aptos" w:hAnsi="Aptos"/>
          <w:sz w:val="22"/>
          <w:szCs w:val="22"/>
          <w:lang w:val="de-DE"/>
        </w:rPr>
      </w:pPr>
      <w:r w:rsidRPr="00856D3F">
        <w:rPr>
          <w:rFonts w:ascii="Aptos" w:hAnsi="Aptos"/>
          <w:sz w:val="22"/>
          <w:szCs w:val="22"/>
          <w:lang w:val="de-DE"/>
        </w:rPr>
        <w:t xml:space="preserve">Netzbetreiber sollen </w:t>
      </w:r>
      <w:r w:rsidRPr="00856D3F">
        <w:rPr>
          <w:rFonts w:ascii="Aptos" w:hAnsi="Aptos"/>
          <w:b/>
          <w:bCs/>
          <w:sz w:val="22"/>
          <w:szCs w:val="22"/>
          <w:lang w:val="de-DE"/>
        </w:rPr>
        <w:t>Kapazitätsbedarfe frühzeitig antizipieren</w:t>
      </w:r>
      <w:r w:rsidRPr="00856D3F">
        <w:rPr>
          <w:rFonts w:ascii="Aptos" w:hAnsi="Aptos"/>
          <w:sz w:val="22"/>
          <w:szCs w:val="22"/>
          <w:lang w:val="de-DE"/>
        </w:rPr>
        <w:t xml:space="preserve"> und </w:t>
      </w:r>
      <w:r w:rsidR="00FB5173">
        <w:rPr>
          <w:rFonts w:ascii="Aptos" w:hAnsi="Aptos"/>
          <w:sz w:val="22"/>
          <w:szCs w:val="22"/>
          <w:lang w:val="de-DE"/>
        </w:rPr>
        <w:t>Netzi</w:t>
      </w:r>
      <w:r w:rsidRPr="00856D3F">
        <w:rPr>
          <w:rFonts w:ascii="Aptos" w:hAnsi="Aptos"/>
          <w:sz w:val="22"/>
          <w:szCs w:val="22"/>
          <w:lang w:val="de-DE"/>
        </w:rPr>
        <w:t xml:space="preserve">nfrastruktur proaktiv errichten können. Dafür braucht es regulatorische Absicherung, schnellere Genehmigungen und bessere Datengrundlagen. Szenarioanalysen- und </w:t>
      </w:r>
      <w:proofErr w:type="spellStart"/>
      <w:r w:rsidRPr="00856D3F">
        <w:rPr>
          <w:rFonts w:ascii="Aptos" w:hAnsi="Aptos"/>
          <w:sz w:val="22"/>
          <w:szCs w:val="22"/>
          <w:lang w:val="de-DE"/>
        </w:rPr>
        <w:t>planungen</w:t>
      </w:r>
      <w:proofErr w:type="spellEnd"/>
      <w:r w:rsidRPr="00856D3F">
        <w:rPr>
          <w:rFonts w:ascii="Aptos" w:hAnsi="Aptos"/>
          <w:sz w:val="22"/>
          <w:szCs w:val="22"/>
          <w:lang w:val="de-DE"/>
        </w:rPr>
        <w:t xml:space="preserve"> z.B. bei der Dimensionierung von Ladeinfrastrukturbedarfen (z.B. NOW GmbH</w:t>
      </w:r>
      <w:r w:rsidR="001417D4" w:rsidRPr="00856D3F">
        <w:rPr>
          <w:rFonts w:ascii="Aptos" w:hAnsi="Aptos"/>
          <w:sz w:val="22"/>
          <w:szCs w:val="22"/>
          <w:lang w:val="de-DE"/>
        </w:rPr>
        <w:t>, Nationale Leitstelle:</w:t>
      </w:r>
      <w:r w:rsidR="00A27732" w:rsidRPr="00856D3F">
        <w:rPr>
          <w:rFonts w:ascii="Aptos" w:hAnsi="Aptos"/>
          <w:sz w:val="22"/>
          <w:szCs w:val="22"/>
          <w:lang w:val="de-DE"/>
        </w:rPr>
        <w:t xml:space="preserve"> „Ladebedarf bis 2030 neu </w:t>
      </w:r>
      <w:r w:rsidR="00A27732" w:rsidRPr="00856D3F">
        <w:rPr>
          <w:rFonts w:ascii="Aptos" w:hAnsi="Aptos"/>
          <w:sz w:val="22"/>
          <w:szCs w:val="22"/>
          <w:lang w:val="de-DE"/>
        </w:rPr>
        <w:lastRenderedPageBreak/>
        <w:t>ermittelt“; Link:</w:t>
      </w:r>
      <w:r w:rsidR="001417D4" w:rsidRPr="00856D3F">
        <w:rPr>
          <w:rFonts w:ascii="Aptos" w:hAnsi="Aptos"/>
          <w:sz w:val="22"/>
          <w:szCs w:val="22"/>
          <w:lang w:val="de-DE"/>
        </w:rPr>
        <w:t xml:space="preserve"> </w:t>
      </w:r>
      <w:hyperlink r:id="rId13" w:history="1">
        <w:r w:rsidR="009E5626" w:rsidRPr="00856D3F">
          <w:rPr>
            <w:rStyle w:val="Hyperlink"/>
            <w:rFonts w:ascii="Aptos" w:hAnsi="Aptos"/>
            <w:sz w:val="22"/>
            <w:szCs w:val="22"/>
            <w:lang w:val="de-DE"/>
          </w:rPr>
          <w:t>https://nationale-leitstelle.de/aktuelles-service/newshub/ladebedarf-bis-2030-neu-ermittelt/</w:t>
        </w:r>
      </w:hyperlink>
      <w:r w:rsidR="00A27732" w:rsidRPr="00856D3F">
        <w:rPr>
          <w:rFonts w:ascii="Aptos" w:hAnsi="Aptos"/>
          <w:sz w:val="22"/>
          <w:szCs w:val="22"/>
          <w:lang w:val="de-DE"/>
        </w:rPr>
        <w:t>)</w:t>
      </w:r>
    </w:p>
    <w:p w14:paraId="7541A436" w14:textId="77777777" w:rsidR="00397CC6" w:rsidRPr="00397CC6" w:rsidRDefault="00397CC6" w:rsidP="00397CC6">
      <w:pPr>
        <w:pStyle w:val="ListParagraph"/>
        <w:rPr>
          <w:rFonts w:ascii="Aptos" w:hAnsi="Aptos"/>
          <w:sz w:val="22"/>
          <w:szCs w:val="22"/>
          <w:lang w:val="de-DE"/>
        </w:rPr>
      </w:pPr>
    </w:p>
    <w:p w14:paraId="0E2FF881" w14:textId="6A08122F" w:rsidR="009E5626" w:rsidRDefault="00FB0D5D" w:rsidP="0004427E">
      <w:pPr>
        <w:pStyle w:val="ListParagraph"/>
        <w:numPr>
          <w:ilvl w:val="0"/>
          <w:numId w:val="31"/>
        </w:numPr>
        <w:jc w:val="both"/>
        <w:rPr>
          <w:rFonts w:ascii="Aptos" w:hAnsi="Aptos"/>
          <w:sz w:val="22"/>
          <w:szCs w:val="22"/>
          <w:lang w:val="de-DE"/>
        </w:rPr>
      </w:pPr>
      <w:proofErr w:type="spellStart"/>
      <w:r w:rsidRPr="0004427E">
        <w:rPr>
          <w:rFonts w:ascii="Aptos" w:hAnsi="Aptos"/>
          <w:sz w:val="22"/>
          <w:szCs w:val="22"/>
          <w:lang w:val="de-DE"/>
        </w:rPr>
        <w:t>charGER</w:t>
      </w:r>
      <w:proofErr w:type="spellEnd"/>
      <w:r w:rsidRPr="0004427E">
        <w:rPr>
          <w:rFonts w:ascii="Aptos" w:hAnsi="Aptos"/>
          <w:sz w:val="22"/>
          <w:szCs w:val="22"/>
          <w:lang w:val="de-DE"/>
        </w:rPr>
        <w:t xml:space="preserve"> e.V. </w:t>
      </w:r>
      <w:r w:rsidR="006B7B71" w:rsidRPr="0004427E">
        <w:rPr>
          <w:rFonts w:ascii="Aptos" w:hAnsi="Aptos"/>
          <w:sz w:val="22"/>
          <w:szCs w:val="22"/>
          <w:lang w:val="de-DE"/>
        </w:rPr>
        <w:t xml:space="preserve">begrüßt ausdrücklich die Intention zur </w:t>
      </w:r>
      <w:r w:rsidR="006B7B71" w:rsidRPr="0004427E">
        <w:rPr>
          <w:rFonts w:ascii="Aptos" w:hAnsi="Aptos"/>
          <w:b/>
          <w:bCs/>
          <w:sz w:val="22"/>
          <w:szCs w:val="22"/>
          <w:lang w:val="de-DE"/>
        </w:rPr>
        <w:t xml:space="preserve">Beschleunigung, Standardisierung und Digitalisierung von Netzanschlussverfahren. </w:t>
      </w:r>
      <w:r w:rsidR="00CF4C65" w:rsidRPr="0004427E">
        <w:rPr>
          <w:rFonts w:ascii="Aptos" w:hAnsi="Aptos"/>
          <w:sz w:val="22"/>
          <w:szCs w:val="22"/>
          <w:lang w:val="de-DE"/>
        </w:rPr>
        <w:t xml:space="preserve">Neben den Anschlussregelungen bedarf es aber </w:t>
      </w:r>
      <w:r w:rsidR="00EA7C80" w:rsidRPr="0004427E">
        <w:rPr>
          <w:rFonts w:ascii="Aptos" w:hAnsi="Aptos"/>
          <w:sz w:val="22"/>
          <w:szCs w:val="22"/>
          <w:lang w:val="de-DE"/>
        </w:rPr>
        <w:t xml:space="preserve">konkrete und verbindlicher Maßnahmen </w:t>
      </w:r>
      <w:r w:rsidR="00DA6352" w:rsidRPr="0004427E">
        <w:rPr>
          <w:rFonts w:ascii="Aptos" w:hAnsi="Aptos"/>
          <w:sz w:val="22"/>
          <w:szCs w:val="22"/>
          <w:lang w:val="de-DE"/>
        </w:rPr>
        <w:t xml:space="preserve">zum Bürokratieabbau </w:t>
      </w:r>
      <w:r w:rsidR="004F71DA" w:rsidRPr="0004427E">
        <w:rPr>
          <w:rFonts w:ascii="Aptos" w:hAnsi="Aptos"/>
          <w:sz w:val="22"/>
          <w:szCs w:val="22"/>
          <w:lang w:val="de-DE"/>
        </w:rPr>
        <w:t xml:space="preserve">wie die konsequente </w:t>
      </w:r>
      <w:r w:rsidR="001B3FEE" w:rsidRPr="0004427E">
        <w:rPr>
          <w:rFonts w:ascii="Aptos" w:hAnsi="Aptos"/>
          <w:sz w:val="22"/>
          <w:szCs w:val="22"/>
          <w:lang w:val="de-DE"/>
        </w:rPr>
        <w:t>Ausweitung der Genehmigungsfiktion</w:t>
      </w:r>
      <w:r w:rsidR="00BF5AF6" w:rsidRPr="0004427E">
        <w:rPr>
          <w:rFonts w:ascii="Aptos" w:hAnsi="Aptos"/>
          <w:sz w:val="22"/>
          <w:szCs w:val="22"/>
          <w:lang w:val="de-DE"/>
        </w:rPr>
        <w:t xml:space="preserve">. Netzanschlussbegehren und -beauftragungen sollten 8 Wochen nach Einreichung </w:t>
      </w:r>
      <w:r w:rsidR="0004427E" w:rsidRPr="0004427E">
        <w:rPr>
          <w:rFonts w:ascii="Aptos" w:hAnsi="Aptos"/>
          <w:sz w:val="22"/>
          <w:szCs w:val="22"/>
          <w:lang w:val="de-DE"/>
        </w:rPr>
        <w:t>automatisch als genehmigt</w:t>
      </w:r>
      <w:r w:rsidR="0004427E" w:rsidRPr="0004427E">
        <w:rPr>
          <w:rFonts w:ascii="Aptos" w:hAnsi="Aptos"/>
          <w:sz w:val="22"/>
          <w:szCs w:val="22"/>
          <w:lang w:val="de-DE"/>
        </w:rPr>
        <w:t xml:space="preserve"> gelten</w:t>
      </w:r>
      <w:r w:rsidR="0004427E" w:rsidRPr="0004427E">
        <w:rPr>
          <w:rFonts w:ascii="Aptos" w:hAnsi="Aptos"/>
          <w:sz w:val="22"/>
          <w:szCs w:val="22"/>
          <w:lang w:val="de-DE"/>
        </w:rPr>
        <w:t>,</w:t>
      </w:r>
      <w:r w:rsidR="0004427E">
        <w:rPr>
          <w:rFonts w:ascii="Aptos" w:hAnsi="Aptos"/>
          <w:sz w:val="22"/>
          <w:szCs w:val="22"/>
          <w:lang w:val="de-DE"/>
        </w:rPr>
        <w:t xml:space="preserve"> </w:t>
      </w:r>
      <w:r w:rsidR="0004427E" w:rsidRPr="0004427E">
        <w:rPr>
          <w:rFonts w:ascii="Aptos" w:hAnsi="Aptos"/>
          <w:sz w:val="22"/>
          <w:szCs w:val="22"/>
          <w:lang w:val="de-DE"/>
        </w:rPr>
        <w:t>sofern d</w:t>
      </w:r>
      <w:r w:rsidR="0004427E">
        <w:rPr>
          <w:rFonts w:ascii="Aptos" w:hAnsi="Aptos"/>
          <w:sz w:val="22"/>
          <w:szCs w:val="22"/>
          <w:lang w:val="de-DE"/>
        </w:rPr>
        <w:t xml:space="preserve">er Antragsempfänger </w:t>
      </w:r>
      <w:r w:rsidR="0004427E" w:rsidRPr="0004427E">
        <w:rPr>
          <w:rFonts w:ascii="Aptos" w:hAnsi="Aptos"/>
          <w:sz w:val="22"/>
          <w:szCs w:val="22"/>
          <w:lang w:val="de-DE"/>
        </w:rPr>
        <w:t>keinen besonderen</w:t>
      </w:r>
      <w:r w:rsidR="0004427E">
        <w:rPr>
          <w:rFonts w:ascii="Aptos" w:hAnsi="Aptos"/>
          <w:sz w:val="22"/>
          <w:szCs w:val="22"/>
          <w:lang w:val="de-DE"/>
        </w:rPr>
        <w:t>, sachlich begründeten</w:t>
      </w:r>
      <w:r w:rsidR="0004427E" w:rsidRPr="0004427E">
        <w:rPr>
          <w:rFonts w:ascii="Aptos" w:hAnsi="Aptos"/>
          <w:sz w:val="22"/>
          <w:szCs w:val="22"/>
          <w:lang w:val="de-DE"/>
        </w:rPr>
        <w:t xml:space="preserve"> Prüfbedarf anmeldet</w:t>
      </w:r>
      <w:r w:rsidR="002C5D20" w:rsidRPr="0004427E">
        <w:rPr>
          <w:rFonts w:ascii="Aptos" w:hAnsi="Aptos"/>
          <w:sz w:val="22"/>
          <w:szCs w:val="22"/>
          <w:lang w:val="de-DE"/>
        </w:rPr>
        <w:t xml:space="preserve">. </w:t>
      </w:r>
    </w:p>
    <w:p w14:paraId="3760B99A" w14:textId="77777777" w:rsidR="00397CC6" w:rsidRPr="00397CC6" w:rsidRDefault="00397CC6" w:rsidP="00397CC6">
      <w:pPr>
        <w:pStyle w:val="ListParagraph"/>
        <w:rPr>
          <w:rFonts w:ascii="Aptos" w:hAnsi="Aptos"/>
          <w:sz w:val="22"/>
          <w:szCs w:val="22"/>
          <w:lang w:val="de-DE"/>
        </w:rPr>
      </w:pPr>
    </w:p>
    <w:p w14:paraId="094B5D07" w14:textId="5E567972" w:rsidR="00662D55" w:rsidRPr="00397CC6" w:rsidRDefault="00694FFC" w:rsidP="00662D55">
      <w:pPr>
        <w:pStyle w:val="ListParagraph"/>
        <w:numPr>
          <w:ilvl w:val="0"/>
          <w:numId w:val="31"/>
        </w:numPr>
        <w:jc w:val="both"/>
        <w:rPr>
          <w:rFonts w:ascii="Aptos" w:hAnsi="Aptos"/>
          <w:b/>
          <w:bCs/>
          <w:sz w:val="22"/>
          <w:szCs w:val="22"/>
          <w:lang w:val="de-DE"/>
        </w:rPr>
      </w:pPr>
      <w:r w:rsidRPr="00856D3F">
        <w:rPr>
          <w:rFonts w:ascii="Aptos" w:hAnsi="Aptos"/>
          <w:b/>
          <w:bCs/>
          <w:sz w:val="22"/>
          <w:szCs w:val="22"/>
          <w:lang w:val="de-DE"/>
        </w:rPr>
        <w:t>Netztransparenz – aber sicher!</w:t>
      </w:r>
      <w:r w:rsidR="009163CD" w:rsidRPr="00856D3F">
        <w:rPr>
          <w:rFonts w:ascii="Aptos" w:hAnsi="Aptos"/>
          <w:b/>
          <w:bCs/>
          <w:sz w:val="22"/>
          <w:szCs w:val="22"/>
          <w:lang w:val="de-DE"/>
        </w:rPr>
        <w:t xml:space="preserve"> </w:t>
      </w:r>
      <w:r w:rsidR="009163CD" w:rsidRPr="00856D3F">
        <w:rPr>
          <w:rFonts w:ascii="Aptos" w:hAnsi="Aptos"/>
          <w:sz w:val="22"/>
          <w:szCs w:val="22"/>
          <w:lang w:val="de-DE"/>
        </w:rPr>
        <w:t xml:space="preserve">Zentrale Auskunftsregister über den Anschluss von verfügbarer Netzleistung ist kritisch für beschleunigte, bürokratiearme Antragsverfahren. </w:t>
      </w:r>
      <w:r w:rsidR="005B7ED9">
        <w:rPr>
          <w:rFonts w:ascii="Aptos" w:hAnsi="Aptos"/>
          <w:sz w:val="22"/>
          <w:szCs w:val="22"/>
          <w:lang w:val="de-DE"/>
        </w:rPr>
        <w:t>Beispiele hierfür finden sich bereits heute in der Praxis: SNAP – Schnelle Netzanschlussprüfung (</w:t>
      </w:r>
      <w:hyperlink r:id="rId14" w:history="1">
        <w:r w:rsidR="005B7ED9" w:rsidRPr="00397CC6">
          <w:rPr>
            <w:rStyle w:val="Hyperlink"/>
            <w:rFonts w:ascii="Aptos" w:hAnsi="Aptos"/>
            <w:sz w:val="22"/>
            <w:szCs w:val="22"/>
            <w:lang w:val="de-DE"/>
          </w:rPr>
          <w:t>Link</w:t>
        </w:r>
      </w:hyperlink>
      <w:r w:rsidR="005B7ED9">
        <w:rPr>
          <w:rFonts w:ascii="Aptos" w:hAnsi="Aptos"/>
          <w:sz w:val="22"/>
          <w:szCs w:val="22"/>
          <w:lang w:val="de-DE"/>
        </w:rPr>
        <w:t>)</w:t>
      </w:r>
      <w:r w:rsidR="00397CC6">
        <w:rPr>
          <w:rFonts w:ascii="Aptos" w:hAnsi="Aptos"/>
          <w:sz w:val="22"/>
          <w:szCs w:val="22"/>
          <w:lang w:val="de-DE"/>
        </w:rPr>
        <w:t>.</w:t>
      </w:r>
      <w:r w:rsidR="005B7ED9">
        <w:rPr>
          <w:rFonts w:ascii="Aptos" w:hAnsi="Aptos"/>
          <w:sz w:val="22"/>
          <w:szCs w:val="22"/>
          <w:lang w:val="de-DE"/>
        </w:rPr>
        <w:t xml:space="preserve"> </w:t>
      </w:r>
      <w:r w:rsidR="00DA3640" w:rsidRPr="00856D3F">
        <w:rPr>
          <w:rFonts w:ascii="Aptos" w:hAnsi="Aptos"/>
          <w:sz w:val="22"/>
          <w:szCs w:val="22"/>
          <w:lang w:val="de-DE"/>
        </w:rPr>
        <w:t>Sie können dazu beitragen die Zahl an Anschlussbegehren insgesamt auszubalancieren. Aus Gründen der Cybersicherheit sollten diese Informationen in sicheren, legitimierten Räumen online zur Verfügung gestellt werden</w:t>
      </w:r>
    </w:p>
    <w:p w14:paraId="4C473B96" w14:textId="77777777" w:rsidR="00397CC6" w:rsidRPr="00397CC6" w:rsidRDefault="00397CC6" w:rsidP="00397CC6">
      <w:pPr>
        <w:pStyle w:val="ListParagraph"/>
        <w:rPr>
          <w:rFonts w:ascii="Aptos" w:hAnsi="Aptos"/>
          <w:b/>
          <w:bCs/>
          <w:sz w:val="22"/>
          <w:szCs w:val="22"/>
          <w:lang w:val="de-DE"/>
        </w:rPr>
      </w:pPr>
    </w:p>
    <w:p w14:paraId="7E109588" w14:textId="1917475A" w:rsidR="00662D55" w:rsidRDefault="00662D55" w:rsidP="00662D55">
      <w:pPr>
        <w:pStyle w:val="ListParagraph"/>
        <w:numPr>
          <w:ilvl w:val="0"/>
          <w:numId w:val="31"/>
        </w:numPr>
        <w:jc w:val="both"/>
        <w:rPr>
          <w:rFonts w:ascii="Aptos" w:hAnsi="Aptos"/>
          <w:b/>
          <w:bCs/>
          <w:sz w:val="22"/>
          <w:szCs w:val="22"/>
          <w:lang w:val="de-DE"/>
        </w:rPr>
      </w:pPr>
      <w:r w:rsidRPr="00856D3F">
        <w:rPr>
          <w:rFonts w:ascii="Aptos" w:hAnsi="Aptos"/>
          <w:b/>
          <w:bCs/>
          <w:sz w:val="22"/>
          <w:szCs w:val="22"/>
          <w:lang w:val="de-DE"/>
        </w:rPr>
        <w:t xml:space="preserve">Weiterführende, konkrete Forderungen des </w:t>
      </w:r>
      <w:proofErr w:type="spellStart"/>
      <w:r w:rsidRPr="00856D3F">
        <w:rPr>
          <w:rFonts w:ascii="Aptos" w:hAnsi="Aptos"/>
          <w:b/>
          <w:bCs/>
          <w:sz w:val="22"/>
          <w:szCs w:val="22"/>
          <w:lang w:val="de-DE"/>
        </w:rPr>
        <w:t>charGER</w:t>
      </w:r>
      <w:proofErr w:type="spellEnd"/>
      <w:r w:rsidRPr="00856D3F">
        <w:rPr>
          <w:rFonts w:ascii="Aptos" w:hAnsi="Aptos"/>
          <w:b/>
          <w:bCs/>
          <w:sz w:val="22"/>
          <w:szCs w:val="22"/>
          <w:lang w:val="de-DE"/>
        </w:rPr>
        <w:t>:</w:t>
      </w:r>
    </w:p>
    <w:p w14:paraId="36EC24AB" w14:textId="77777777" w:rsidR="00397CC6" w:rsidRPr="00856D3F" w:rsidRDefault="00397CC6" w:rsidP="00397CC6">
      <w:pPr>
        <w:pStyle w:val="ListParagraph"/>
        <w:jc w:val="both"/>
        <w:rPr>
          <w:rFonts w:ascii="Aptos" w:hAnsi="Aptos"/>
          <w:b/>
          <w:bCs/>
          <w:sz w:val="22"/>
          <w:szCs w:val="22"/>
          <w:lang w:val="de-DE"/>
        </w:rPr>
      </w:pPr>
    </w:p>
    <w:tbl>
      <w:tblPr>
        <w:tblW w:w="8948" w:type="dxa"/>
        <w:tblInd w:w="511" w:type="dxa"/>
        <w:tblBorders>
          <w:top w:val="single" w:sz="4" w:space="0" w:color="D7DEE8"/>
          <w:left w:val="single" w:sz="4" w:space="0" w:color="D7DEE8"/>
          <w:bottom w:val="single" w:sz="4" w:space="0" w:color="D7DEE8"/>
          <w:right w:val="single" w:sz="4" w:space="0" w:color="D7DEE8"/>
          <w:insideH w:val="single" w:sz="4" w:space="0" w:color="D7DEE8"/>
          <w:insideV w:val="single" w:sz="4" w:space="0" w:color="D7DEE8"/>
        </w:tblBorders>
        <w:tblLayout w:type="fixed"/>
        <w:tblLook w:val="04A0" w:firstRow="1" w:lastRow="0" w:firstColumn="1" w:lastColumn="0" w:noHBand="0" w:noVBand="1"/>
      </w:tblPr>
      <w:tblGrid>
        <w:gridCol w:w="654"/>
        <w:gridCol w:w="2743"/>
        <w:gridCol w:w="5551"/>
      </w:tblGrid>
      <w:tr w:rsidR="00662D55" w:rsidRPr="00662D55" w14:paraId="1D16A554" w14:textId="77777777" w:rsidTr="00662D55">
        <w:trPr>
          <w:trHeight w:val="240"/>
        </w:trPr>
        <w:tc>
          <w:tcPr>
            <w:tcW w:w="654" w:type="dxa"/>
            <w:shd w:val="clear" w:color="auto" w:fill="E9E575"/>
            <w:tcMar>
              <w:top w:w="100" w:type="dxa"/>
              <w:left w:w="100" w:type="dxa"/>
              <w:bottom w:w="100" w:type="dxa"/>
              <w:right w:w="100" w:type="dxa"/>
            </w:tcMar>
          </w:tcPr>
          <w:p w14:paraId="7AD5F00A" w14:textId="77777777" w:rsidR="00662D55" w:rsidRPr="00662D55" w:rsidRDefault="00662D55" w:rsidP="00662D55">
            <w:pPr>
              <w:spacing w:after="0" w:line="259" w:lineRule="auto"/>
              <w:rPr>
                <w:rFonts w:ascii="Aptos" w:eastAsia="Aptos" w:hAnsi="Aptos" w:cs="Times New Roman"/>
                <w:color w:val="000000" w:themeColor="text1"/>
                <w:kern w:val="0"/>
                <w:sz w:val="21"/>
                <w:szCs w:val="22"/>
                <w14:ligatures w14:val="none"/>
              </w:rPr>
            </w:pPr>
            <w:r w:rsidRPr="00662D55">
              <w:rPr>
                <w:rFonts w:ascii="Aptos" w:eastAsia="Aptos" w:hAnsi="Aptos" w:cs="Times New Roman"/>
                <w:b/>
                <w:color w:val="000000" w:themeColor="text1"/>
                <w:kern w:val="0"/>
                <w:sz w:val="18"/>
                <w:szCs w:val="22"/>
                <w14:ligatures w14:val="none"/>
              </w:rPr>
              <w:t>Nr.</w:t>
            </w:r>
          </w:p>
        </w:tc>
        <w:tc>
          <w:tcPr>
            <w:tcW w:w="2743" w:type="dxa"/>
            <w:shd w:val="clear" w:color="auto" w:fill="E9E575"/>
            <w:tcMar>
              <w:top w:w="100" w:type="dxa"/>
              <w:left w:w="100" w:type="dxa"/>
              <w:bottom w:w="100" w:type="dxa"/>
              <w:right w:w="100" w:type="dxa"/>
            </w:tcMar>
          </w:tcPr>
          <w:p w14:paraId="7C66B6F3" w14:textId="77777777" w:rsidR="00662D55" w:rsidRPr="00662D55" w:rsidRDefault="00662D55" w:rsidP="00662D55">
            <w:pPr>
              <w:spacing w:after="0" w:line="259" w:lineRule="auto"/>
              <w:rPr>
                <w:rFonts w:ascii="Aptos" w:eastAsia="Aptos" w:hAnsi="Aptos" w:cs="Times New Roman"/>
                <w:color w:val="000000" w:themeColor="text1"/>
                <w:kern w:val="0"/>
                <w:sz w:val="21"/>
                <w:szCs w:val="22"/>
                <w14:ligatures w14:val="none"/>
              </w:rPr>
            </w:pPr>
            <w:proofErr w:type="spellStart"/>
            <w:r w:rsidRPr="00662D55">
              <w:rPr>
                <w:rFonts w:ascii="Aptos" w:eastAsia="Aptos" w:hAnsi="Aptos" w:cs="Times New Roman"/>
                <w:b/>
                <w:color w:val="000000" w:themeColor="text1"/>
                <w:kern w:val="0"/>
                <w:sz w:val="18"/>
                <w:szCs w:val="22"/>
                <w14:ligatures w14:val="none"/>
              </w:rPr>
              <w:t>Forderung</w:t>
            </w:r>
            <w:proofErr w:type="spellEnd"/>
          </w:p>
        </w:tc>
        <w:tc>
          <w:tcPr>
            <w:tcW w:w="5551" w:type="dxa"/>
            <w:shd w:val="clear" w:color="auto" w:fill="E9E575"/>
            <w:tcMar>
              <w:top w:w="100" w:type="dxa"/>
              <w:left w:w="100" w:type="dxa"/>
              <w:bottom w:w="100" w:type="dxa"/>
              <w:right w:w="100" w:type="dxa"/>
            </w:tcMar>
          </w:tcPr>
          <w:p w14:paraId="0B858A48" w14:textId="77777777" w:rsidR="00662D55" w:rsidRPr="00662D55" w:rsidRDefault="00662D55" w:rsidP="00662D55">
            <w:pPr>
              <w:spacing w:after="0" w:line="259" w:lineRule="auto"/>
              <w:rPr>
                <w:rFonts w:ascii="Aptos" w:eastAsia="Aptos" w:hAnsi="Aptos" w:cs="Times New Roman"/>
                <w:color w:val="000000" w:themeColor="text1"/>
                <w:kern w:val="0"/>
                <w:sz w:val="21"/>
                <w:szCs w:val="22"/>
                <w14:ligatures w14:val="none"/>
              </w:rPr>
            </w:pPr>
            <w:proofErr w:type="spellStart"/>
            <w:r w:rsidRPr="00662D55">
              <w:rPr>
                <w:rFonts w:ascii="Aptos" w:eastAsia="Aptos" w:hAnsi="Aptos" w:cs="Times New Roman"/>
                <w:b/>
                <w:color w:val="000000" w:themeColor="text1"/>
                <w:kern w:val="0"/>
                <w:sz w:val="18"/>
                <w:szCs w:val="22"/>
                <w14:ligatures w14:val="none"/>
              </w:rPr>
              <w:t>Regulatorischer</w:t>
            </w:r>
            <w:proofErr w:type="spellEnd"/>
            <w:r w:rsidRPr="00662D55">
              <w:rPr>
                <w:rFonts w:ascii="Aptos" w:eastAsia="Aptos" w:hAnsi="Aptos" w:cs="Times New Roman"/>
                <w:b/>
                <w:color w:val="000000" w:themeColor="text1"/>
                <w:kern w:val="0"/>
                <w:sz w:val="18"/>
                <w:szCs w:val="22"/>
                <w14:ligatures w14:val="none"/>
              </w:rPr>
              <w:t xml:space="preserve"> Mehrwert</w:t>
            </w:r>
          </w:p>
        </w:tc>
      </w:tr>
      <w:tr w:rsidR="00662D55" w:rsidRPr="00EA527C" w14:paraId="6706BFFF" w14:textId="77777777" w:rsidTr="00662D55">
        <w:trPr>
          <w:trHeight w:val="451"/>
        </w:trPr>
        <w:tc>
          <w:tcPr>
            <w:tcW w:w="654" w:type="dxa"/>
            <w:tcMar>
              <w:top w:w="100" w:type="dxa"/>
              <w:left w:w="100" w:type="dxa"/>
              <w:bottom w:w="100" w:type="dxa"/>
              <w:right w:w="100" w:type="dxa"/>
            </w:tcMar>
            <w:vAlign w:val="center"/>
          </w:tcPr>
          <w:p w14:paraId="08D151B3" w14:textId="77777777" w:rsidR="00662D55" w:rsidRPr="00247B12" w:rsidRDefault="00662D55" w:rsidP="00662D55">
            <w:pPr>
              <w:spacing w:after="0" w:line="259" w:lineRule="auto"/>
              <w:jc w:val="center"/>
              <w:rPr>
                <w:rFonts w:ascii="Aptos" w:eastAsia="Aptos" w:hAnsi="Aptos" w:cs="Times New Roman"/>
                <w:kern w:val="0"/>
                <w:sz w:val="20"/>
                <w:szCs w:val="28"/>
                <w14:ligatures w14:val="none"/>
              </w:rPr>
            </w:pPr>
            <w:r w:rsidRPr="00247B12">
              <w:rPr>
                <w:rFonts w:ascii="Aptos" w:eastAsia="Aptos" w:hAnsi="Aptos" w:cs="Times New Roman"/>
                <w:kern w:val="0"/>
                <w:sz w:val="20"/>
                <w:szCs w:val="28"/>
                <w14:ligatures w14:val="none"/>
              </w:rPr>
              <w:t>1</w:t>
            </w:r>
          </w:p>
        </w:tc>
        <w:tc>
          <w:tcPr>
            <w:tcW w:w="2743" w:type="dxa"/>
            <w:tcMar>
              <w:top w:w="100" w:type="dxa"/>
              <w:left w:w="100" w:type="dxa"/>
              <w:bottom w:w="100" w:type="dxa"/>
              <w:right w:w="100" w:type="dxa"/>
            </w:tcMar>
            <w:vAlign w:val="center"/>
          </w:tcPr>
          <w:p w14:paraId="6137ECC2" w14:textId="77777777" w:rsidR="00662D55" w:rsidRPr="00247B12" w:rsidRDefault="00662D55" w:rsidP="00662D55">
            <w:pPr>
              <w:spacing w:after="0" w:line="259" w:lineRule="auto"/>
              <w:rPr>
                <w:rFonts w:ascii="Aptos" w:eastAsia="Aptos" w:hAnsi="Aptos" w:cs="Times New Roman"/>
                <w:b/>
                <w:bCs/>
                <w:kern w:val="0"/>
                <w:sz w:val="20"/>
                <w:szCs w:val="28"/>
                <w14:ligatures w14:val="none"/>
              </w:rPr>
            </w:pPr>
            <w:proofErr w:type="spellStart"/>
            <w:r w:rsidRPr="00247B12">
              <w:rPr>
                <w:rFonts w:ascii="Aptos" w:eastAsia="Aptos" w:hAnsi="Aptos" w:cs="Times New Roman"/>
                <w:b/>
                <w:bCs/>
                <w:kern w:val="0"/>
                <w:sz w:val="20"/>
                <w:szCs w:val="28"/>
                <w14:ligatures w14:val="none"/>
              </w:rPr>
              <w:t>Niederspannung</w:t>
            </w:r>
            <w:proofErr w:type="spellEnd"/>
            <w:r w:rsidRPr="00247B12">
              <w:rPr>
                <w:rFonts w:ascii="Aptos" w:eastAsia="Aptos" w:hAnsi="Aptos" w:cs="Times New Roman"/>
                <w:b/>
                <w:bCs/>
                <w:kern w:val="0"/>
                <w:sz w:val="20"/>
                <w:szCs w:val="28"/>
                <w14:ligatures w14:val="none"/>
              </w:rPr>
              <w:t xml:space="preserve"> </w:t>
            </w:r>
            <w:proofErr w:type="spellStart"/>
            <w:r w:rsidRPr="00247B12">
              <w:rPr>
                <w:rFonts w:ascii="Aptos" w:eastAsia="Aptos" w:hAnsi="Aptos" w:cs="Times New Roman"/>
                <w:b/>
                <w:bCs/>
                <w:kern w:val="0"/>
                <w:sz w:val="20"/>
                <w:szCs w:val="28"/>
                <w14:ligatures w14:val="none"/>
              </w:rPr>
              <w:t>einbeziehen</w:t>
            </w:r>
            <w:proofErr w:type="spellEnd"/>
          </w:p>
        </w:tc>
        <w:tc>
          <w:tcPr>
            <w:tcW w:w="5551" w:type="dxa"/>
            <w:tcMar>
              <w:top w:w="100" w:type="dxa"/>
              <w:left w:w="100" w:type="dxa"/>
              <w:bottom w:w="100" w:type="dxa"/>
              <w:right w:w="100" w:type="dxa"/>
            </w:tcMar>
            <w:vAlign w:val="center"/>
          </w:tcPr>
          <w:p w14:paraId="3982B92D" w14:textId="7B808ACB" w:rsidR="00662D55" w:rsidRPr="00247B12" w:rsidRDefault="00CC543A" w:rsidP="00662D55">
            <w:pPr>
              <w:spacing w:after="0" w:line="259" w:lineRule="auto"/>
              <w:rPr>
                <w:rFonts w:ascii="Aptos" w:eastAsia="Aptos" w:hAnsi="Aptos" w:cs="Times New Roman"/>
                <w:kern w:val="0"/>
                <w:sz w:val="20"/>
                <w:szCs w:val="28"/>
                <w:lang w:val="de-DE"/>
                <w14:ligatures w14:val="none"/>
              </w:rPr>
            </w:pPr>
            <w:r w:rsidRPr="00CC543A">
              <w:rPr>
                <w:rFonts w:ascii="Aptos" w:eastAsia="Aptos" w:hAnsi="Aptos" w:cs="Times New Roman"/>
                <w:kern w:val="0"/>
                <w:sz w:val="20"/>
                <w:szCs w:val="28"/>
                <w:lang w:val="de-DE"/>
                <w14:ligatures w14:val="none"/>
              </w:rPr>
              <w:t xml:space="preserve">Auf EU-Ebene ist die Transparenz über verfügbare Netzanschlusskapazitäten bereits als zentraler Bestandteil effizienter Netzanschlussverfahren angelegt. Art. 31 Abs. 3 Richtlinie (EU) 2019/944 verpflichtet Verteilernetzbetreiber, Netznutzern Informationen bereitzustellen, die diese für effizienten Netzzugang benötigen, einschließlich transparenter Informationen über verfügbare Kapazitäten für neue Anschlüsse mit hoher räumlicher Granularität. Art. 31 Abs. 3a verlangt zudem die Möglichkeit eines vollständig digitalen Netzanschlussantrags. Für Ladeinfrastruktur konkretisiert Art. 33 Abs. 1 Richtlinie (EU) 2019/944, dass Mitgliedstaaten den Anschluss öffentlich zugänglicher und privater Ladepunkte an die Verteilernetze erleichtern und eine diskriminierungsfreie Zusammenarbeit der Verteilernetzbetreiber mit Ladepunktbetreibern sicherstellen müssen. § 17c EnWG-E sollte diese Vorgaben daher nicht auf höhere Spannungsebenen oder Anschlussleistungen ab </w:t>
            </w:r>
            <w:r>
              <w:rPr>
                <w:rFonts w:ascii="Aptos" w:eastAsia="Aptos" w:hAnsi="Aptos" w:cs="Times New Roman"/>
                <w:kern w:val="0"/>
                <w:sz w:val="20"/>
                <w:szCs w:val="28"/>
                <w:lang w:val="de-DE"/>
                <w14:ligatures w14:val="none"/>
              </w:rPr>
              <w:br/>
            </w:r>
            <w:r w:rsidRPr="00CC543A">
              <w:rPr>
                <w:rFonts w:ascii="Aptos" w:eastAsia="Aptos" w:hAnsi="Aptos" w:cs="Times New Roman"/>
                <w:kern w:val="0"/>
                <w:sz w:val="20"/>
                <w:szCs w:val="28"/>
                <w:lang w:val="de-DE"/>
                <w14:ligatures w14:val="none"/>
              </w:rPr>
              <w:lastRenderedPageBreak/>
              <w:t>135 kW verengen, sondern Ladeinfrastruktur ab 11 kW einschließlich Niederspannung ausdrücklich erfassen.</w:t>
            </w:r>
          </w:p>
        </w:tc>
      </w:tr>
      <w:tr w:rsidR="00662D55" w:rsidRPr="00EA527C" w14:paraId="28DC11F2" w14:textId="77777777" w:rsidTr="00662D55">
        <w:trPr>
          <w:trHeight w:val="441"/>
        </w:trPr>
        <w:tc>
          <w:tcPr>
            <w:tcW w:w="654" w:type="dxa"/>
            <w:tcMar>
              <w:top w:w="100" w:type="dxa"/>
              <w:left w:w="100" w:type="dxa"/>
              <w:bottom w:w="100" w:type="dxa"/>
              <w:right w:w="100" w:type="dxa"/>
            </w:tcMar>
            <w:vAlign w:val="center"/>
          </w:tcPr>
          <w:p w14:paraId="090092E0" w14:textId="77777777" w:rsidR="00662D55" w:rsidRPr="00247B12" w:rsidRDefault="00662D55" w:rsidP="00662D55">
            <w:pPr>
              <w:spacing w:after="0" w:line="259" w:lineRule="auto"/>
              <w:jc w:val="center"/>
              <w:rPr>
                <w:rFonts w:ascii="Aptos" w:eastAsia="Aptos" w:hAnsi="Aptos" w:cs="Times New Roman"/>
                <w:kern w:val="0"/>
                <w:sz w:val="20"/>
                <w:szCs w:val="28"/>
                <w14:ligatures w14:val="none"/>
              </w:rPr>
            </w:pPr>
            <w:r w:rsidRPr="00247B12">
              <w:rPr>
                <w:rFonts w:ascii="Aptos" w:eastAsia="Aptos" w:hAnsi="Aptos" w:cs="Times New Roman"/>
                <w:kern w:val="0"/>
                <w:sz w:val="20"/>
                <w:szCs w:val="28"/>
                <w14:ligatures w14:val="none"/>
              </w:rPr>
              <w:lastRenderedPageBreak/>
              <w:t>2</w:t>
            </w:r>
          </w:p>
        </w:tc>
        <w:tc>
          <w:tcPr>
            <w:tcW w:w="2743" w:type="dxa"/>
            <w:tcMar>
              <w:top w:w="100" w:type="dxa"/>
              <w:left w:w="100" w:type="dxa"/>
              <w:bottom w:w="100" w:type="dxa"/>
              <w:right w:w="100" w:type="dxa"/>
            </w:tcMar>
            <w:vAlign w:val="center"/>
          </w:tcPr>
          <w:p w14:paraId="760F4ACD" w14:textId="77777777" w:rsidR="00662D55" w:rsidRPr="00247B12" w:rsidRDefault="00662D55" w:rsidP="00662D55">
            <w:pPr>
              <w:spacing w:after="0" w:line="259" w:lineRule="auto"/>
              <w:rPr>
                <w:rFonts w:ascii="Aptos" w:eastAsia="Aptos" w:hAnsi="Aptos" w:cs="Times New Roman"/>
                <w:b/>
                <w:bCs/>
                <w:kern w:val="0"/>
                <w:sz w:val="20"/>
                <w:szCs w:val="28"/>
                <w14:ligatures w14:val="none"/>
              </w:rPr>
            </w:pPr>
            <w:proofErr w:type="spellStart"/>
            <w:r w:rsidRPr="00247B12">
              <w:rPr>
                <w:rFonts w:ascii="Aptos" w:eastAsia="Aptos" w:hAnsi="Aptos" w:cs="Times New Roman"/>
                <w:b/>
                <w:bCs/>
                <w:kern w:val="0"/>
                <w:sz w:val="20"/>
                <w:szCs w:val="28"/>
                <w14:ligatures w14:val="none"/>
              </w:rPr>
              <w:t>Priorisierung</w:t>
            </w:r>
            <w:proofErr w:type="spellEnd"/>
            <w:r w:rsidRPr="00247B12">
              <w:rPr>
                <w:rFonts w:ascii="Aptos" w:eastAsia="Aptos" w:hAnsi="Aptos" w:cs="Times New Roman"/>
                <w:b/>
                <w:bCs/>
                <w:kern w:val="0"/>
                <w:sz w:val="20"/>
                <w:szCs w:val="28"/>
                <w14:ligatures w14:val="none"/>
              </w:rPr>
              <w:t xml:space="preserve"> </w:t>
            </w:r>
            <w:proofErr w:type="spellStart"/>
            <w:r w:rsidRPr="00247B12">
              <w:rPr>
                <w:rFonts w:ascii="Aptos" w:eastAsia="Aptos" w:hAnsi="Aptos" w:cs="Times New Roman"/>
                <w:b/>
                <w:bCs/>
                <w:kern w:val="0"/>
                <w:sz w:val="20"/>
                <w:szCs w:val="28"/>
                <w14:ligatures w14:val="none"/>
              </w:rPr>
              <w:t>rechtssicher</w:t>
            </w:r>
            <w:proofErr w:type="spellEnd"/>
            <w:r w:rsidRPr="00247B12">
              <w:rPr>
                <w:rFonts w:ascii="Aptos" w:eastAsia="Aptos" w:hAnsi="Aptos" w:cs="Times New Roman"/>
                <w:b/>
                <w:bCs/>
                <w:kern w:val="0"/>
                <w:sz w:val="20"/>
                <w:szCs w:val="28"/>
                <w14:ligatures w14:val="none"/>
              </w:rPr>
              <w:t xml:space="preserve"> gestalten</w:t>
            </w:r>
          </w:p>
        </w:tc>
        <w:tc>
          <w:tcPr>
            <w:tcW w:w="5551" w:type="dxa"/>
            <w:tcMar>
              <w:top w:w="100" w:type="dxa"/>
              <w:left w:w="100" w:type="dxa"/>
              <w:bottom w:w="100" w:type="dxa"/>
              <w:right w:w="100" w:type="dxa"/>
            </w:tcMar>
            <w:vAlign w:val="center"/>
          </w:tcPr>
          <w:p w14:paraId="43B599DA" w14:textId="23423B9F" w:rsidR="00662D55" w:rsidRPr="00247B12" w:rsidRDefault="00662D55" w:rsidP="00662D55">
            <w:pPr>
              <w:spacing w:after="0" w:line="259" w:lineRule="auto"/>
              <w:rPr>
                <w:rFonts w:ascii="Aptos" w:eastAsia="Aptos" w:hAnsi="Aptos" w:cs="Times New Roman"/>
                <w:kern w:val="0"/>
                <w:sz w:val="20"/>
                <w:szCs w:val="28"/>
                <w:lang w:val="de-DE"/>
                <w14:ligatures w14:val="none"/>
              </w:rPr>
            </w:pPr>
            <w:r w:rsidRPr="00247B12">
              <w:rPr>
                <w:rFonts w:ascii="Aptos" w:eastAsia="Aptos" w:hAnsi="Aptos" w:cs="Times New Roman"/>
                <w:kern w:val="0"/>
                <w:sz w:val="20"/>
                <w:szCs w:val="28"/>
                <w:lang w:val="de-DE"/>
                <w14:ligatures w14:val="none"/>
              </w:rPr>
              <w:t xml:space="preserve">Ladeinfrastruktur muss als Verbrauchsinfrastruktur anerkannt und anhand transparenter Kriterien bewertet </w:t>
            </w:r>
            <w:r w:rsidR="00EF4B3F">
              <w:rPr>
                <w:rFonts w:ascii="Aptos" w:eastAsia="Aptos" w:hAnsi="Aptos" w:cs="Times New Roman"/>
                <w:kern w:val="0"/>
                <w:sz w:val="20"/>
                <w:szCs w:val="28"/>
                <w:lang w:val="de-DE"/>
                <w14:ligatures w14:val="none"/>
              </w:rPr>
              <w:t xml:space="preserve">und priorisiert </w:t>
            </w:r>
            <w:r w:rsidRPr="00247B12">
              <w:rPr>
                <w:rFonts w:ascii="Aptos" w:eastAsia="Aptos" w:hAnsi="Aptos" w:cs="Times New Roman"/>
                <w:kern w:val="0"/>
                <w:sz w:val="20"/>
                <w:szCs w:val="28"/>
                <w:lang w:val="de-DE"/>
                <w14:ligatures w14:val="none"/>
              </w:rPr>
              <w:t>werden.</w:t>
            </w:r>
          </w:p>
        </w:tc>
      </w:tr>
      <w:tr w:rsidR="00662D55" w:rsidRPr="00EA527C" w14:paraId="5C445331" w14:textId="77777777" w:rsidTr="00662D55">
        <w:trPr>
          <w:trHeight w:val="451"/>
        </w:trPr>
        <w:tc>
          <w:tcPr>
            <w:tcW w:w="654" w:type="dxa"/>
            <w:tcMar>
              <w:top w:w="100" w:type="dxa"/>
              <w:left w:w="100" w:type="dxa"/>
              <w:bottom w:w="100" w:type="dxa"/>
              <w:right w:w="100" w:type="dxa"/>
            </w:tcMar>
            <w:vAlign w:val="center"/>
          </w:tcPr>
          <w:p w14:paraId="1DA92AE9" w14:textId="77777777" w:rsidR="00662D55" w:rsidRPr="00247B12" w:rsidRDefault="00662D55" w:rsidP="00662D55">
            <w:pPr>
              <w:spacing w:after="0" w:line="259" w:lineRule="auto"/>
              <w:jc w:val="center"/>
              <w:rPr>
                <w:rFonts w:ascii="Aptos" w:eastAsia="Aptos" w:hAnsi="Aptos" w:cs="Times New Roman"/>
                <w:kern w:val="0"/>
                <w:sz w:val="20"/>
                <w:szCs w:val="28"/>
                <w14:ligatures w14:val="none"/>
              </w:rPr>
            </w:pPr>
            <w:r w:rsidRPr="00247B12">
              <w:rPr>
                <w:rFonts w:ascii="Aptos" w:eastAsia="Aptos" w:hAnsi="Aptos" w:cs="Times New Roman"/>
                <w:kern w:val="0"/>
                <w:sz w:val="20"/>
                <w:szCs w:val="28"/>
                <w14:ligatures w14:val="none"/>
              </w:rPr>
              <w:t>3</w:t>
            </w:r>
          </w:p>
        </w:tc>
        <w:tc>
          <w:tcPr>
            <w:tcW w:w="2743" w:type="dxa"/>
            <w:tcMar>
              <w:top w:w="100" w:type="dxa"/>
              <w:left w:w="100" w:type="dxa"/>
              <w:bottom w:w="100" w:type="dxa"/>
              <w:right w:w="100" w:type="dxa"/>
            </w:tcMar>
            <w:vAlign w:val="center"/>
          </w:tcPr>
          <w:p w14:paraId="7DDFF6BF" w14:textId="77777777" w:rsidR="00662D55" w:rsidRPr="00247B12" w:rsidRDefault="00662D55" w:rsidP="00662D55">
            <w:pPr>
              <w:spacing w:after="0" w:line="259" w:lineRule="auto"/>
              <w:rPr>
                <w:rFonts w:ascii="Aptos" w:eastAsia="Aptos" w:hAnsi="Aptos" w:cs="Times New Roman"/>
                <w:b/>
                <w:bCs/>
                <w:kern w:val="0"/>
                <w:sz w:val="20"/>
                <w:szCs w:val="28"/>
                <w14:ligatures w14:val="none"/>
              </w:rPr>
            </w:pPr>
            <w:proofErr w:type="spellStart"/>
            <w:r w:rsidRPr="00247B12">
              <w:rPr>
                <w:rFonts w:ascii="Aptos" w:eastAsia="Aptos" w:hAnsi="Aptos" w:cs="Times New Roman"/>
                <w:b/>
                <w:bCs/>
                <w:kern w:val="0"/>
                <w:sz w:val="20"/>
                <w:szCs w:val="28"/>
                <w14:ligatures w14:val="none"/>
              </w:rPr>
              <w:t>Leistungshochläufe</w:t>
            </w:r>
            <w:proofErr w:type="spellEnd"/>
            <w:r w:rsidRPr="00247B12">
              <w:rPr>
                <w:rFonts w:ascii="Aptos" w:eastAsia="Aptos" w:hAnsi="Aptos" w:cs="Times New Roman"/>
                <w:b/>
                <w:bCs/>
                <w:kern w:val="0"/>
                <w:sz w:val="20"/>
                <w:szCs w:val="28"/>
                <w14:ligatures w14:val="none"/>
              </w:rPr>
              <w:t xml:space="preserve"> </w:t>
            </w:r>
            <w:proofErr w:type="spellStart"/>
            <w:r w:rsidRPr="00247B12">
              <w:rPr>
                <w:rFonts w:ascii="Aptos" w:eastAsia="Aptos" w:hAnsi="Aptos" w:cs="Times New Roman"/>
                <w:b/>
                <w:bCs/>
                <w:kern w:val="0"/>
                <w:sz w:val="20"/>
                <w:szCs w:val="28"/>
                <w14:ligatures w14:val="none"/>
              </w:rPr>
              <w:t>antizipieren</w:t>
            </w:r>
            <w:proofErr w:type="spellEnd"/>
          </w:p>
        </w:tc>
        <w:tc>
          <w:tcPr>
            <w:tcW w:w="5551" w:type="dxa"/>
            <w:tcMar>
              <w:top w:w="100" w:type="dxa"/>
              <w:left w:w="100" w:type="dxa"/>
              <w:bottom w:w="100" w:type="dxa"/>
              <w:right w:w="100" w:type="dxa"/>
            </w:tcMar>
            <w:vAlign w:val="center"/>
          </w:tcPr>
          <w:p w14:paraId="1409EFE1" w14:textId="77777777" w:rsidR="00662D55" w:rsidRPr="00247B12" w:rsidRDefault="00662D55" w:rsidP="00662D55">
            <w:pPr>
              <w:spacing w:after="0" w:line="259" w:lineRule="auto"/>
              <w:rPr>
                <w:rFonts w:ascii="Aptos" w:eastAsia="Aptos" w:hAnsi="Aptos" w:cs="Times New Roman"/>
                <w:kern w:val="0"/>
                <w:sz w:val="20"/>
                <w:szCs w:val="28"/>
                <w:lang w:val="de-DE"/>
                <w14:ligatures w14:val="none"/>
              </w:rPr>
            </w:pPr>
            <w:r w:rsidRPr="00247B12">
              <w:rPr>
                <w:rFonts w:ascii="Aptos" w:eastAsia="Aptos" w:hAnsi="Aptos" w:cs="Times New Roman"/>
                <w:kern w:val="0"/>
                <w:sz w:val="20"/>
                <w:szCs w:val="28"/>
                <w:lang w:val="de-DE"/>
                <w14:ligatures w14:val="none"/>
              </w:rPr>
              <w:t>Regionalszenarien und vorgelagerte Netzplanung müssen erwartbare Ladebedarfe in nachgelagerten Netzebenen systematisch berücksichtigen.</w:t>
            </w:r>
          </w:p>
        </w:tc>
      </w:tr>
      <w:tr w:rsidR="00662D55" w:rsidRPr="00EA527C" w14:paraId="335EC9EC" w14:textId="77777777" w:rsidTr="00662D55">
        <w:trPr>
          <w:trHeight w:val="451"/>
        </w:trPr>
        <w:tc>
          <w:tcPr>
            <w:tcW w:w="654" w:type="dxa"/>
            <w:tcMar>
              <w:top w:w="100" w:type="dxa"/>
              <w:left w:w="100" w:type="dxa"/>
              <w:bottom w:w="100" w:type="dxa"/>
              <w:right w:w="100" w:type="dxa"/>
            </w:tcMar>
            <w:vAlign w:val="center"/>
          </w:tcPr>
          <w:p w14:paraId="44387171" w14:textId="77777777" w:rsidR="00662D55" w:rsidRPr="00247B12" w:rsidRDefault="00662D55" w:rsidP="00662D55">
            <w:pPr>
              <w:spacing w:after="0" w:line="259" w:lineRule="auto"/>
              <w:jc w:val="center"/>
              <w:rPr>
                <w:rFonts w:ascii="Aptos" w:eastAsia="Aptos" w:hAnsi="Aptos" w:cs="Times New Roman"/>
                <w:kern w:val="0"/>
                <w:sz w:val="20"/>
                <w:szCs w:val="28"/>
                <w14:ligatures w14:val="none"/>
              </w:rPr>
            </w:pPr>
            <w:r w:rsidRPr="00247B12">
              <w:rPr>
                <w:rFonts w:ascii="Aptos" w:eastAsia="Aptos" w:hAnsi="Aptos" w:cs="Times New Roman"/>
                <w:kern w:val="0"/>
                <w:sz w:val="20"/>
                <w:szCs w:val="28"/>
                <w14:ligatures w14:val="none"/>
              </w:rPr>
              <w:t>4</w:t>
            </w:r>
          </w:p>
        </w:tc>
        <w:tc>
          <w:tcPr>
            <w:tcW w:w="2743" w:type="dxa"/>
            <w:tcMar>
              <w:top w:w="100" w:type="dxa"/>
              <w:left w:w="100" w:type="dxa"/>
              <w:bottom w:w="100" w:type="dxa"/>
              <w:right w:w="100" w:type="dxa"/>
            </w:tcMar>
            <w:vAlign w:val="center"/>
          </w:tcPr>
          <w:p w14:paraId="4464D271" w14:textId="77777777" w:rsidR="00662D55" w:rsidRPr="00247B12" w:rsidRDefault="00662D55" w:rsidP="00662D55">
            <w:pPr>
              <w:spacing w:after="0" w:line="259" w:lineRule="auto"/>
              <w:rPr>
                <w:rFonts w:ascii="Aptos" w:eastAsia="Aptos" w:hAnsi="Aptos" w:cs="Times New Roman"/>
                <w:b/>
                <w:bCs/>
                <w:kern w:val="0"/>
                <w:sz w:val="20"/>
                <w:szCs w:val="28"/>
                <w14:ligatures w14:val="none"/>
              </w:rPr>
            </w:pPr>
            <w:proofErr w:type="spellStart"/>
            <w:r w:rsidRPr="00247B12">
              <w:rPr>
                <w:rFonts w:ascii="Aptos" w:eastAsia="Aptos" w:hAnsi="Aptos" w:cs="Times New Roman"/>
                <w:b/>
                <w:bCs/>
                <w:kern w:val="0"/>
                <w:sz w:val="20"/>
                <w:szCs w:val="28"/>
                <w14:ligatures w14:val="none"/>
              </w:rPr>
              <w:t>Digitale</w:t>
            </w:r>
            <w:proofErr w:type="spellEnd"/>
            <w:r w:rsidRPr="00247B12">
              <w:rPr>
                <w:rFonts w:ascii="Aptos" w:eastAsia="Aptos" w:hAnsi="Aptos" w:cs="Times New Roman"/>
                <w:b/>
                <w:bCs/>
                <w:kern w:val="0"/>
                <w:sz w:val="20"/>
                <w:szCs w:val="28"/>
                <w14:ligatures w14:val="none"/>
              </w:rPr>
              <w:t xml:space="preserve"> </w:t>
            </w:r>
            <w:proofErr w:type="spellStart"/>
            <w:r w:rsidRPr="00247B12">
              <w:rPr>
                <w:rFonts w:ascii="Aptos" w:eastAsia="Aptos" w:hAnsi="Aptos" w:cs="Times New Roman"/>
                <w:b/>
                <w:bCs/>
                <w:kern w:val="0"/>
                <w:sz w:val="20"/>
                <w:szCs w:val="28"/>
                <w14:ligatures w14:val="none"/>
              </w:rPr>
              <w:t>Auskunftsregister</w:t>
            </w:r>
            <w:proofErr w:type="spellEnd"/>
            <w:r w:rsidRPr="00247B12">
              <w:rPr>
                <w:rFonts w:ascii="Aptos" w:eastAsia="Aptos" w:hAnsi="Aptos" w:cs="Times New Roman"/>
                <w:b/>
                <w:bCs/>
                <w:kern w:val="0"/>
                <w:sz w:val="20"/>
                <w:szCs w:val="28"/>
                <w14:ligatures w14:val="none"/>
              </w:rPr>
              <w:t xml:space="preserve"> </w:t>
            </w:r>
            <w:proofErr w:type="spellStart"/>
            <w:r w:rsidRPr="00247B12">
              <w:rPr>
                <w:rFonts w:ascii="Aptos" w:eastAsia="Aptos" w:hAnsi="Aptos" w:cs="Times New Roman"/>
                <w:b/>
                <w:bCs/>
                <w:kern w:val="0"/>
                <w:sz w:val="20"/>
                <w:szCs w:val="28"/>
                <w14:ligatures w14:val="none"/>
              </w:rPr>
              <w:t>schaffen</w:t>
            </w:r>
            <w:proofErr w:type="spellEnd"/>
          </w:p>
        </w:tc>
        <w:tc>
          <w:tcPr>
            <w:tcW w:w="5551" w:type="dxa"/>
            <w:tcMar>
              <w:top w:w="100" w:type="dxa"/>
              <w:left w:w="100" w:type="dxa"/>
              <w:bottom w:w="100" w:type="dxa"/>
              <w:right w:w="100" w:type="dxa"/>
            </w:tcMar>
            <w:vAlign w:val="center"/>
          </w:tcPr>
          <w:p w14:paraId="6AEA2372" w14:textId="77777777" w:rsidR="00662D55" w:rsidRPr="00247B12" w:rsidRDefault="00662D55" w:rsidP="00662D55">
            <w:pPr>
              <w:spacing w:after="0" w:line="259" w:lineRule="auto"/>
              <w:rPr>
                <w:rFonts w:ascii="Aptos" w:eastAsia="Aptos" w:hAnsi="Aptos" w:cs="Times New Roman"/>
                <w:kern w:val="0"/>
                <w:sz w:val="20"/>
                <w:szCs w:val="28"/>
                <w:lang w:val="de-DE"/>
                <w14:ligatures w14:val="none"/>
              </w:rPr>
            </w:pPr>
            <w:r w:rsidRPr="00247B12">
              <w:rPr>
                <w:rFonts w:ascii="Aptos" w:eastAsia="Aptos" w:hAnsi="Aptos" w:cs="Times New Roman"/>
                <w:kern w:val="0"/>
                <w:sz w:val="20"/>
                <w:szCs w:val="28"/>
                <w:lang w:val="de-DE"/>
                <w14:ligatures w14:val="none"/>
              </w:rPr>
              <w:t>Verifizierte Marktakteure benötigen rollenbasierte Kapazitätsauskünfte, auch in der Niederspannung, ohne KRITIS-Risiken.</w:t>
            </w:r>
          </w:p>
        </w:tc>
      </w:tr>
      <w:tr w:rsidR="00662D55" w:rsidRPr="00EA527C" w14:paraId="7C7AF49B" w14:textId="77777777" w:rsidTr="00662D55">
        <w:trPr>
          <w:trHeight w:val="451"/>
        </w:trPr>
        <w:tc>
          <w:tcPr>
            <w:tcW w:w="654" w:type="dxa"/>
            <w:tcMar>
              <w:top w:w="100" w:type="dxa"/>
              <w:left w:w="100" w:type="dxa"/>
              <w:bottom w:w="100" w:type="dxa"/>
              <w:right w:w="100" w:type="dxa"/>
            </w:tcMar>
            <w:vAlign w:val="center"/>
          </w:tcPr>
          <w:p w14:paraId="56751FCD" w14:textId="77777777" w:rsidR="00662D55" w:rsidRPr="00247B12" w:rsidRDefault="00662D55" w:rsidP="00662D55">
            <w:pPr>
              <w:spacing w:after="0" w:line="259" w:lineRule="auto"/>
              <w:jc w:val="center"/>
              <w:rPr>
                <w:rFonts w:ascii="Aptos" w:eastAsia="Aptos" w:hAnsi="Aptos" w:cs="Times New Roman"/>
                <w:kern w:val="0"/>
                <w:sz w:val="20"/>
                <w:szCs w:val="28"/>
                <w14:ligatures w14:val="none"/>
              </w:rPr>
            </w:pPr>
            <w:r w:rsidRPr="00247B12">
              <w:rPr>
                <w:rFonts w:ascii="Aptos" w:eastAsia="Aptos" w:hAnsi="Aptos" w:cs="Times New Roman"/>
                <w:kern w:val="0"/>
                <w:sz w:val="20"/>
                <w:szCs w:val="28"/>
                <w14:ligatures w14:val="none"/>
              </w:rPr>
              <w:t>5</w:t>
            </w:r>
          </w:p>
        </w:tc>
        <w:tc>
          <w:tcPr>
            <w:tcW w:w="2743" w:type="dxa"/>
            <w:tcMar>
              <w:top w:w="100" w:type="dxa"/>
              <w:left w:w="100" w:type="dxa"/>
              <w:bottom w:w="100" w:type="dxa"/>
              <w:right w:w="100" w:type="dxa"/>
            </w:tcMar>
            <w:vAlign w:val="center"/>
          </w:tcPr>
          <w:p w14:paraId="6651D6BC" w14:textId="77777777" w:rsidR="00662D55" w:rsidRPr="00247B12" w:rsidRDefault="00662D55" w:rsidP="00662D55">
            <w:pPr>
              <w:spacing w:after="0" w:line="259" w:lineRule="auto"/>
              <w:rPr>
                <w:rFonts w:ascii="Aptos" w:eastAsia="Aptos" w:hAnsi="Aptos" w:cs="Times New Roman"/>
                <w:b/>
                <w:bCs/>
                <w:kern w:val="0"/>
                <w:sz w:val="20"/>
                <w:szCs w:val="28"/>
                <w14:ligatures w14:val="none"/>
              </w:rPr>
            </w:pPr>
            <w:proofErr w:type="spellStart"/>
            <w:r w:rsidRPr="00247B12">
              <w:rPr>
                <w:rFonts w:ascii="Aptos" w:eastAsia="Aptos" w:hAnsi="Aptos" w:cs="Times New Roman"/>
                <w:b/>
                <w:bCs/>
                <w:kern w:val="0"/>
                <w:sz w:val="20"/>
                <w:szCs w:val="28"/>
                <w14:ligatures w14:val="none"/>
              </w:rPr>
              <w:t>Verfahren</w:t>
            </w:r>
            <w:proofErr w:type="spellEnd"/>
            <w:r w:rsidRPr="00247B12">
              <w:rPr>
                <w:rFonts w:ascii="Aptos" w:eastAsia="Aptos" w:hAnsi="Aptos" w:cs="Times New Roman"/>
                <w:b/>
                <w:bCs/>
                <w:kern w:val="0"/>
                <w:sz w:val="20"/>
                <w:szCs w:val="28"/>
                <w14:ligatures w14:val="none"/>
              </w:rPr>
              <w:t xml:space="preserve"> </w:t>
            </w:r>
            <w:proofErr w:type="spellStart"/>
            <w:r w:rsidRPr="00247B12">
              <w:rPr>
                <w:rFonts w:ascii="Aptos" w:eastAsia="Aptos" w:hAnsi="Aptos" w:cs="Times New Roman"/>
                <w:b/>
                <w:bCs/>
                <w:kern w:val="0"/>
                <w:sz w:val="20"/>
                <w:szCs w:val="28"/>
                <w14:ligatures w14:val="none"/>
              </w:rPr>
              <w:t>zentral</w:t>
            </w:r>
            <w:proofErr w:type="spellEnd"/>
            <w:r w:rsidRPr="00247B12">
              <w:rPr>
                <w:rFonts w:ascii="Aptos" w:eastAsia="Aptos" w:hAnsi="Aptos" w:cs="Times New Roman"/>
                <w:b/>
                <w:bCs/>
                <w:kern w:val="0"/>
                <w:sz w:val="20"/>
                <w:szCs w:val="28"/>
                <w14:ligatures w14:val="none"/>
              </w:rPr>
              <w:t xml:space="preserve"> </w:t>
            </w:r>
            <w:proofErr w:type="spellStart"/>
            <w:r w:rsidRPr="00247B12">
              <w:rPr>
                <w:rFonts w:ascii="Aptos" w:eastAsia="Aptos" w:hAnsi="Aptos" w:cs="Times New Roman"/>
                <w:b/>
                <w:bCs/>
                <w:kern w:val="0"/>
                <w:sz w:val="20"/>
                <w:szCs w:val="28"/>
                <w14:ligatures w14:val="none"/>
              </w:rPr>
              <w:t>digitalisieren</w:t>
            </w:r>
            <w:proofErr w:type="spellEnd"/>
          </w:p>
        </w:tc>
        <w:tc>
          <w:tcPr>
            <w:tcW w:w="5551" w:type="dxa"/>
            <w:tcMar>
              <w:top w:w="100" w:type="dxa"/>
              <w:left w:w="100" w:type="dxa"/>
              <w:bottom w:w="100" w:type="dxa"/>
              <w:right w:w="100" w:type="dxa"/>
            </w:tcMar>
            <w:vAlign w:val="center"/>
          </w:tcPr>
          <w:p w14:paraId="6CA7CD46" w14:textId="77777777" w:rsidR="00662D55" w:rsidRPr="00247B12" w:rsidRDefault="00662D55" w:rsidP="00662D55">
            <w:pPr>
              <w:spacing w:after="0" w:line="259" w:lineRule="auto"/>
              <w:rPr>
                <w:rFonts w:ascii="Aptos" w:eastAsia="Aptos" w:hAnsi="Aptos" w:cs="Times New Roman"/>
                <w:kern w:val="0"/>
                <w:sz w:val="20"/>
                <w:szCs w:val="28"/>
                <w:lang w:val="de-DE"/>
                <w14:ligatures w14:val="none"/>
              </w:rPr>
            </w:pPr>
            <w:r w:rsidRPr="00247B12">
              <w:rPr>
                <w:rFonts w:ascii="Aptos" w:eastAsia="Aptos" w:hAnsi="Aptos" w:cs="Times New Roman"/>
                <w:kern w:val="0"/>
                <w:sz w:val="20"/>
                <w:szCs w:val="28"/>
                <w:lang w:val="de-DE"/>
                <w14:ligatures w14:val="none"/>
              </w:rPr>
              <w:t>VNB-Portale müssen interoperabel sein; CPOs benötigen einheitliche Datensätze, Statusmeldungen und API-fähige Massenprozesse.</w:t>
            </w:r>
          </w:p>
        </w:tc>
      </w:tr>
      <w:tr w:rsidR="00662D55" w:rsidRPr="00EA527C" w14:paraId="4A8289E2" w14:textId="77777777" w:rsidTr="00662D55">
        <w:trPr>
          <w:trHeight w:val="451"/>
        </w:trPr>
        <w:tc>
          <w:tcPr>
            <w:tcW w:w="654" w:type="dxa"/>
            <w:tcMar>
              <w:top w:w="100" w:type="dxa"/>
              <w:left w:w="100" w:type="dxa"/>
              <w:bottom w:w="100" w:type="dxa"/>
              <w:right w:w="100" w:type="dxa"/>
            </w:tcMar>
            <w:vAlign w:val="center"/>
          </w:tcPr>
          <w:p w14:paraId="1406DA05" w14:textId="77777777" w:rsidR="00662D55" w:rsidRPr="00247B12" w:rsidRDefault="00662D55" w:rsidP="00662D55">
            <w:pPr>
              <w:spacing w:after="0" w:line="259" w:lineRule="auto"/>
              <w:jc w:val="center"/>
              <w:rPr>
                <w:rFonts w:ascii="Aptos" w:eastAsia="Aptos" w:hAnsi="Aptos" w:cs="Times New Roman"/>
                <w:kern w:val="0"/>
                <w:sz w:val="20"/>
                <w:szCs w:val="28"/>
                <w14:ligatures w14:val="none"/>
              </w:rPr>
            </w:pPr>
            <w:r w:rsidRPr="00247B12">
              <w:rPr>
                <w:rFonts w:ascii="Aptos" w:eastAsia="Aptos" w:hAnsi="Aptos" w:cs="Times New Roman"/>
                <w:kern w:val="0"/>
                <w:sz w:val="20"/>
                <w:szCs w:val="28"/>
                <w14:ligatures w14:val="none"/>
              </w:rPr>
              <w:t>6</w:t>
            </w:r>
          </w:p>
        </w:tc>
        <w:tc>
          <w:tcPr>
            <w:tcW w:w="2743" w:type="dxa"/>
            <w:tcMar>
              <w:top w:w="100" w:type="dxa"/>
              <w:left w:w="100" w:type="dxa"/>
              <w:bottom w:w="100" w:type="dxa"/>
              <w:right w:w="100" w:type="dxa"/>
            </w:tcMar>
            <w:vAlign w:val="center"/>
          </w:tcPr>
          <w:p w14:paraId="65E6A118" w14:textId="77777777" w:rsidR="00662D55" w:rsidRPr="00247B12" w:rsidRDefault="00662D55" w:rsidP="00662D55">
            <w:pPr>
              <w:spacing w:after="0" w:line="259" w:lineRule="auto"/>
              <w:rPr>
                <w:rFonts w:ascii="Aptos" w:eastAsia="Aptos" w:hAnsi="Aptos" w:cs="Times New Roman"/>
                <w:b/>
                <w:bCs/>
                <w:kern w:val="0"/>
                <w:sz w:val="20"/>
                <w:szCs w:val="28"/>
                <w14:ligatures w14:val="none"/>
              </w:rPr>
            </w:pPr>
            <w:proofErr w:type="spellStart"/>
            <w:r w:rsidRPr="00247B12">
              <w:rPr>
                <w:rFonts w:ascii="Aptos" w:eastAsia="Aptos" w:hAnsi="Aptos" w:cs="Times New Roman"/>
                <w:b/>
                <w:bCs/>
                <w:kern w:val="0"/>
                <w:sz w:val="20"/>
                <w:szCs w:val="28"/>
                <w14:ligatures w14:val="none"/>
              </w:rPr>
              <w:t>Fristen</w:t>
            </w:r>
            <w:proofErr w:type="spellEnd"/>
            <w:r w:rsidRPr="00247B12">
              <w:rPr>
                <w:rFonts w:ascii="Aptos" w:eastAsia="Aptos" w:hAnsi="Aptos" w:cs="Times New Roman"/>
                <w:b/>
                <w:bCs/>
                <w:kern w:val="0"/>
                <w:sz w:val="20"/>
                <w:szCs w:val="28"/>
                <w14:ligatures w14:val="none"/>
              </w:rPr>
              <w:t xml:space="preserve"> und </w:t>
            </w:r>
            <w:proofErr w:type="spellStart"/>
            <w:r w:rsidRPr="00247B12">
              <w:rPr>
                <w:rFonts w:ascii="Aptos" w:eastAsia="Aptos" w:hAnsi="Aptos" w:cs="Times New Roman"/>
                <w:b/>
                <w:bCs/>
                <w:kern w:val="0"/>
                <w:sz w:val="20"/>
                <w:szCs w:val="28"/>
                <w14:ligatures w14:val="none"/>
              </w:rPr>
              <w:t>Genehmigungsfiktion</w:t>
            </w:r>
            <w:proofErr w:type="spellEnd"/>
          </w:p>
        </w:tc>
        <w:tc>
          <w:tcPr>
            <w:tcW w:w="5551" w:type="dxa"/>
            <w:tcMar>
              <w:top w:w="100" w:type="dxa"/>
              <w:left w:w="100" w:type="dxa"/>
              <w:bottom w:w="100" w:type="dxa"/>
              <w:right w:w="100" w:type="dxa"/>
            </w:tcMar>
            <w:vAlign w:val="center"/>
          </w:tcPr>
          <w:p w14:paraId="5BBF0729" w14:textId="77777777" w:rsidR="00662D55" w:rsidRPr="00247B12" w:rsidRDefault="00662D55" w:rsidP="00662D55">
            <w:pPr>
              <w:spacing w:after="0" w:line="259" w:lineRule="auto"/>
              <w:rPr>
                <w:rFonts w:ascii="Aptos" w:eastAsia="Aptos" w:hAnsi="Aptos" w:cs="Times New Roman"/>
                <w:kern w:val="0"/>
                <w:sz w:val="20"/>
                <w:szCs w:val="28"/>
                <w:lang w:val="de-DE"/>
                <w14:ligatures w14:val="none"/>
              </w:rPr>
            </w:pPr>
            <w:r w:rsidRPr="00247B12">
              <w:rPr>
                <w:rFonts w:ascii="Aptos" w:eastAsia="Aptos" w:hAnsi="Aptos" w:cs="Times New Roman"/>
                <w:kern w:val="0"/>
                <w:sz w:val="20"/>
                <w:szCs w:val="28"/>
                <w:lang w:val="de-DE"/>
                <w14:ligatures w14:val="none"/>
              </w:rPr>
              <w:t>Standardisierte Anschlüsse bis 55 kW sollten nach acht Wochen ohne technisch begründeten Widerspruch als genehmigt gelten.</w:t>
            </w:r>
          </w:p>
        </w:tc>
      </w:tr>
    </w:tbl>
    <w:p w14:paraId="1CFB29FD" w14:textId="7021BA4C" w:rsidR="00856D3F" w:rsidRPr="00856D3F" w:rsidRDefault="00856D3F" w:rsidP="00856D3F">
      <w:pPr>
        <w:rPr>
          <w:rFonts w:ascii="Aptos" w:hAnsi="Aptos"/>
          <w:b/>
          <w:bCs/>
          <w:smallCaps/>
          <w:sz w:val="22"/>
          <w:szCs w:val="22"/>
          <w:lang w:val="de-DE"/>
        </w:rPr>
      </w:pPr>
      <w:r>
        <w:rPr>
          <w:rFonts w:ascii="Aptos" w:hAnsi="Aptos"/>
          <w:lang w:val="de-DE"/>
        </w:rPr>
        <w:br/>
      </w:r>
      <w:r>
        <w:rPr>
          <w:rFonts w:ascii="Aptos" w:hAnsi="Aptos"/>
          <w:lang w:val="de-DE"/>
        </w:rPr>
        <w:br/>
      </w:r>
      <w:r w:rsidRPr="00856D3F">
        <w:rPr>
          <w:rFonts w:ascii="Aptos" w:hAnsi="Aptos"/>
          <w:b/>
          <w:bCs/>
          <w:sz w:val="28"/>
          <w:szCs w:val="28"/>
          <w:shd w:val="clear" w:color="auto" w:fill="E9E575"/>
          <w:lang w:val="de-DE"/>
        </w:rPr>
        <w:t>2. Ladeinfrastruktur als Anwendungsfall des Netzanschlusspakets</w:t>
      </w:r>
      <w:r w:rsidRPr="00856D3F">
        <w:rPr>
          <w:rFonts w:ascii="Aptos" w:hAnsi="Aptos"/>
          <w:b/>
          <w:bCs/>
          <w:sz w:val="28"/>
          <w:szCs w:val="28"/>
          <w:lang w:val="de-DE"/>
        </w:rPr>
        <w:t xml:space="preserve"> </w:t>
      </w:r>
    </w:p>
    <w:p w14:paraId="2953BC3E" w14:textId="3EF674B6" w:rsidR="00B022A5" w:rsidRPr="00E51AF6" w:rsidRDefault="00B022A5" w:rsidP="00A66164">
      <w:pPr>
        <w:jc w:val="both"/>
        <w:rPr>
          <w:rFonts w:ascii="Aptos" w:hAnsi="Aptos"/>
          <w:sz w:val="22"/>
          <w:szCs w:val="22"/>
          <w:lang w:val="de-DE"/>
        </w:rPr>
      </w:pPr>
      <w:r w:rsidRPr="00E51AF6">
        <w:rPr>
          <w:rFonts w:ascii="Aptos" w:hAnsi="Aptos"/>
          <w:sz w:val="22"/>
          <w:szCs w:val="22"/>
          <w:lang w:val="de-DE"/>
        </w:rPr>
        <w:t>Für einen</w:t>
      </w:r>
      <w:r w:rsidR="00A66164" w:rsidRPr="00E51AF6">
        <w:rPr>
          <w:rFonts w:ascii="Aptos" w:hAnsi="Aptos"/>
          <w:sz w:val="22"/>
          <w:szCs w:val="22"/>
          <w:lang w:val="de-DE"/>
        </w:rPr>
        <w:t xml:space="preserve"> bedarfsgerechten Ausbau der Ladeinfrastruktur besonders relevant: AC-</w:t>
      </w:r>
      <w:r w:rsidRPr="00E51AF6">
        <w:rPr>
          <w:rFonts w:ascii="Aptos" w:hAnsi="Aptos"/>
          <w:sz w:val="22"/>
          <w:szCs w:val="22"/>
          <w:lang w:val="de-DE"/>
        </w:rPr>
        <w:t xml:space="preserve"> und DC-</w:t>
      </w:r>
      <w:r w:rsidR="00A66164" w:rsidRPr="00E51AF6">
        <w:rPr>
          <w:rFonts w:ascii="Aptos" w:hAnsi="Aptos"/>
          <w:sz w:val="22"/>
          <w:szCs w:val="22"/>
          <w:lang w:val="de-DE"/>
        </w:rPr>
        <w:t xml:space="preserve">Ladepunkte </w:t>
      </w:r>
      <w:r w:rsidRPr="00E51AF6">
        <w:rPr>
          <w:rFonts w:ascii="Aptos" w:hAnsi="Aptos"/>
          <w:sz w:val="22"/>
          <w:szCs w:val="22"/>
          <w:lang w:val="de-DE"/>
        </w:rPr>
        <w:t>in den Leistungsklassen 22</w:t>
      </w:r>
      <w:r w:rsidR="008D3D76">
        <w:rPr>
          <w:rFonts w:ascii="Aptos" w:hAnsi="Aptos"/>
          <w:sz w:val="22"/>
          <w:szCs w:val="22"/>
          <w:lang w:val="de-DE"/>
        </w:rPr>
        <w:t xml:space="preserve"> - 200</w:t>
      </w:r>
      <w:r w:rsidRPr="00E51AF6">
        <w:rPr>
          <w:rFonts w:ascii="Aptos" w:hAnsi="Aptos"/>
          <w:sz w:val="22"/>
          <w:szCs w:val="22"/>
          <w:lang w:val="de-DE"/>
        </w:rPr>
        <w:t xml:space="preserve">kW </w:t>
      </w:r>
      <w:r w:rsidR="00A66164" w:rsidRPr="00E51AF6">
        <w:rPr>
          <w:rFonts w:ascii="Aptos" w:hAnsi="Aptos"/>
          <w:sz w:val="22"/>
          <w:szCs w:val="22"/>
          <w:lang w:val="de-DE"/>
        </w:rPr>
        <w:t>werden</w:t>
      </w:r>
      <w:r w:rsidRPr="00E51AF6">
        <w:rPr>
          <w:rFonts w:ascii="Aptos" w:hAnsi="Aptos"/>
          <w:sz w:val="22"/>
          <w:szCs w:val="22"/>
          <w:lang w:val="de-DE"/>
        </w:rPr>
        <w:t xml:space="preserve"> perspektivisch</w:t>
      </w:r>
      <w:r w:rsidR="00A66164" w:rsidRPr="00E51AF6">
        <w:rPr>
          <w:rFonts w:ascii="Aptos" w:hAnsi="Aptos"/>
          <w:sz w:val="22"/>
          <w:szCs w:val="22"/>
          <w:lang w:val="de-DE"/>
        </w:rPr>
        <w:t xml:space="preserve"> massenhaft in Quartieren, Parkhäusern, bei Arbeitgebern, im Handel und im öffentlichen Straßenraum errichtet. Kleinere DC-Schnellladepunkte ermöglichen eine Ergänzung des Angebots an hochfrequentierten Standorten, ohne stets die Komplexität großer Ladeparks auszulösen.</w:t>
      </w:r>
      <w:r w:rsidRPr="00E51AF6">
        <w:rPr>
          <w:rFonts w:ascii="Aptos" w:hAnsi="Aptos"/>
          <w:sz w:val="22"/>
          <w:szCs w:val="22"/>
          <w:lang w:val="de-DE"/>
        </w:rPr>
        <w:t xml:space="preserve"> </w:t>
      </w:r>
    </w:p>
    <w:p w14:paraId="592F4434" w14:textId="695339FD" w:rsidR="0052509F" w:rsidRPr="00E51AF6" w:rsidRDefault="0052509F" w:rsidP="0052509F">
      <w:pPr>
        <w:jc w:val="both"/>
        <w:rPr>
          <w:rFonts w:ascii="Aptos" w:hAnsi="Aptos"/>
          <w:b/>
          <w:bCs/>
          <w:sz w:val="22"/>
          <w:szCs w:val="22"/>
          <w:lang w:val="de-DE"/>
        </w:rPr>
      </w:pPr>
      <w:r w:rsidRPr="00E51AF6">
        <w:rPr>
          <w:rFonts w:ascii="Aptos" w:hAnsi="Aptos"/>
          <w:sz w:val="22"/>
          <w:szCs w:val="22"/>
          <w:lang w:val="de-DE"/>
        </w:rPr>
        <w:t xml:space="preserve">Der Referentenentwurf enthält mit § 17c EnWG-E Ansätze für Transparenz über verfügbare Netzanschlusskapazitäten. </w:t>
      </w:r>
      <w:r w:rsidRPr="00E51AF6">
        <w:rPr>
          <w:rFonts w:ascii="Aptos" w:hAnsi="Aptos"/>
          <w:b/>
          <w:bCs/>
          <w:sz w:val="22"/>
          <w:szCs w:val="22"/>
          <w:lang w:val="de-DE"/>
        </w:rPr>
        <w:t>Nach dem Entwurf beziehen sich die geografischen Kapazitätskarten jedoch im Wesentlichen auf höhere Umspannebenen; die unverbindliche Netzanschlussauskunft soll erst ab 135 kW und primär für die Mittelspannungsebene einschließlich angrenzender Umspannebenen eingeführt werden.</w:t>
      </w:r>
    </w:p>
    <w:p w14:paraId="627D5E3A" w14:textId="05585E6E" w:rsidR="00B022A5" w:rsidRPr="00E51AF6" w:rsidRDefault="0052509F" w:rsidP="0052509F">
      <w:pPr>
        <w:jc w:val="both"/>
        <w:rPr>
          <w:rFonts w:ascii="Aptos" w:hAnsi="Aptos"/>
          <w:sz w:val="22"/>
          <w:szCs w:val="22"/>
          <w:lang w:val="de-DE"/>
        </w:rPr>
      </w:pPr>
      <w:r w:rsidRPr="00E51AF6">
        <w:rPr>
          <w:rFonts w:ascii="Aptos" w:hAnsi="Aptos"/>
          <w:sz w:val="22"/>
          <w:szCs w:val="22"/>
          <w:lang w:val="de-DE"/>
        </w:rPr>
        <w:t>Aus Sicht von CPOs, Projektierern und Errichtern ist diese Schwelle zu hoch. Sie blendet wesentliche Teile des Marktes aus, insbesondere die häufig wiederkehrenden, standardisierbaren und roll-out-fähigen Projekte in der Niederspannung. Die Folge wären weiterhin manuelle Einzelanfragen, heterogene VNB-</w:t>
      </w:r>
      <w:r w:rsidRPr="00E51AF6">
        <w:rPr>
          <w:rFonts w:ascii="Aptos" w:hAnsi="Aptos"/>
          <w:sz w:val="22"/>
          <w:szCs w:val="22"/>
          <w:lang w:val="de-DE"/>
        </w:rPr>
        <w:lastRenderedPageBreak/>
        <w:t>Prozesse, unklare Kapazitätslagen und erhebliche Verzögerungen bei Projekten, die politisch gewollt und gesellschaftlich notwendig sind.</w:t>
      </w:r>
    </w:p>
    <w:p w14:paraId="75A65CAD" w14:textId="77777777" w:rsidR="0052509F" w:rsidRDefault="0052509F" w:rsidP="0052509F">
      <w:pPr>
        <w:jc w:val="both"/>
        <w:rPr>
          <w:rFonts w:ascii="Aptos" w:hAnsi="Aptos"/>
          <w:lang w:val="de-DE"/>
        </w:rPr>
      </w:pPr>
    </w:p>
    <w:p w14:paraId="11D49CF6" w14:textId="761732D7" w:rsidR="0052509F" w:rsidRPr="00003782" w:rsidRDefault="00C020A9" w:rsidP="00003782">
      <w:pPr>
        <w:shd w:val="clear" w:color="auto" w:fill="E9E575"/>
        <w:jc w:val="both"/>
        <w:rPr>
          <w:rFonts w:ascii="Aptos" w:hAnsi="Aptos"/>
          <w:b/>
          <w:bCs/>
          <w:sz w:val="32"/>
          <w:szCs w:val="32"/>
          <w:lang w:val="de-DE"/>
        </w:rPr>
      </w:pPr>
      <w:r w:rsidRPr="00003782">
        <w:rPr>
          <w:rFonts w:ascii="Aptos" w:hAnsi="Aptos"/>
          <w:b/>
          <w:bCs/>
          <w:sz w:val="32"/>
          <w:szCs w:val="32"/>
          <w:lang w:val="de-DE"/>
        </w:rPr>
        <w:t>3. Bewertung</w:t>
      </w:r>
      <w:r w:rsidR="00003782" w:rsidRPr="00003782">
        <w:rPr>
          <w:rFonts w:ascii="Aptos" w:hAnsi="Aptos"/>
          <w:b/>
          <w:bCs/>
          <w:sz w:val="32"/>
          <w:szCs w:val="32"/>
          <w:lang w:val="de-DE"/>
        </w:rPr>
        <w:t xml:space="preserve"> im Kontext der oben aufgeführten Maßnahmen und Forderungen</w:t>
      </w:r>
    </w:p>
    <w:p w14:paraId="5846933D" w14:textId="77777777" w:rsidR="00003782" w:rsidRDefault="00003782" w:rsidP="00A66164">
      <w:pPr>
        <w:jc w:val="both"/>
        <w:rPr>
          <w:rFonts w:ascii="Aptos" w:hAnsi="Aptos"/>
          <w:lang w:val="de-DE"/>
        </w:rPr>
      </w:pPr>
    </w:p>
    <w:p w14:paraId="03D73FCC" w14:textId="77777777" w:rsidR="00D90C48" w:rsidRPr="001C6D20" w:rsidRDefault="00B7292D" w:rsidP="00D90C48">
      <w:pPr>
        <w:jc w:val="both"/>
        <w:rPr>
          <w:rFonts w:ascii="Aptos" w:hAnsi="Aptos"/>
          <w:b/>
          <w:bCs/>
          <w:sz w:val="28"/>
          <w:szCs w:val="28"/>
          <w:lang w:val="de-DE"/>
        </w:rPr>
      </w:pPr>
      <w:r w:rsidRPr="001C6D20">
        <w:rPr>
          <w:rFonts w:ascii="Aptos" w:hAnsi="Aptos"/>
          <w:b/>
          <w:bCs/>
          <w:sz w:val="28"/>
          <w:szCs w:val="28"/>
          <w:lang w:val="de-DE"/>
        </w:rPr>
        <w:t xml:space="preserve">3.1. </w:t>
      </w:r>
      <w:r w:rsidR="00D90C48" w:rsidRPr="001C6D20">
        <w:rPr>
          <w:rFonts w:ascii="Aptos" w:hAnsi="Aptos"/>
          <w:b/>
          <w:bCs/>
          <w:sz w:val="28"/>
          <w:szCs w:val="28"/>
          <w:lang w:val="de-DE"/>
        </w:rPr>
        <w:t>Limitierung und Ausklammerung der Niederspannungsverteilnetze</w:t>
      </w:r>
    </w:p>
    <w:p w14:paraId="157399B1" w14:textId="77777777" w:rsidR="00D90C48" w:rsidRPr="00E51AF6" w:rsidRDefault="00D90C48" w:rsidP="00D90C48">
      <w:pPr>
        <w:jc w:val="both"/>
        <w:rPr>
          <w:rFonts w:ascii="Aptos" w:hAnsi="Aptos"/>
          <w:sz w:val="22"/>
          <w:szCs w:val="22"/>
          <w:lang w:val="de-DE"/>
        </w:rPr>
      </w:pPr>
      <w:r w:rsidRPr="00E51AF6">
        <w:rPr>
          <w:rFonts w:ascii="Aptos" w:hAnsi="Aptos"/>
          <w:sz w:val="22"/>
          <w:szCs w:val="22"/>
          <w:lang w:val="de-DE"/>
        </w:rPr>
        <w:t>Der Referentenentwurf adressiert die Niederspannungsebene nicht ausreichend. Für den Ladeinfrastrukturhochlauf ist dies ein systematisches Problem, weil der überwiegende Teil der alltagsrelevanten Ladepunkte in der Niederspannung oder unmittelbar an ihrer Schnittstelle zur Mittelspannung realisiert wird. Ein Gesetz, das Netzanschlussverfahren modernisieren will, darf diese Ebene nicht nur mittelbar oder nachrangig erfassen.</w:t>
      </w:r>
    </w:p>
    <w:p w14:paraId="0EDBE363" w14:textId="77777777" w:rsidR="00D90C48" w:rsidRPr="00E51AF6" w:rsidRDefault="00D90C48" w:rsidP="00D90C48">
      <w:pPr>
        <w:jc w:val="both"/>
        <w:rPr>
          <w:rFonts w:ascii="Aptos" w:hAnsi="Aptos"/>
          <w:sz w:val="22"/>
          <w:szCs w:val="22"/>
          <w:lang w:val="de-DE"/>
        </w:rPr>
      </w:pPr>
      <w:r w:rsidRPr="00E51AF6">
        <w:rPr>
          <w:rFonts w:ascii="Aptos" w:hAnsi="Aptos"/>
          <w:sz w:val="22"/>
          <w:szCs w:val="22"/>
          <w:lang w:val="de-DE"/>
        </w:rPr>
        <w:t>Die Annahme, kleinere Anschlussbegehren hätten kein vergleichbares Informationsbedürfnis, trägt für Ladeinfrastruktur nicht. Öffentliche und halböffentliche Ladepunkte sind in der Standortwahl regelmäßig nicht rein gebäudegebunden. CPOs wählen Standorte nach Nutzerbedarf, Flächenverfügbarkeit, Parkdauer, kommunaler Planung, Wirtschaftlichkeit und Netzanschlussmöglichkeit aus. Netztransparenz ist daher gerade bei 11- bis 22-kW-AC-Ladepunkten und kleineren DC-Standorten planungsentscheidend.</w:t>
      </w:r>
    </w:p>
    <w:p w14:paraId="4F1B66BD" w14:textId="69D96662" w:rsidR="00003782" w:rsidRPr="00E51AF6" w:rsidRDefault="00D90C48" w:rsidP="00D90C48">
      <w:pPr>
        <w:jc w:val="both"/>
        <w:rPr>
          <w:rFonts w:ascii="Aptos" w:hAnsi="Aptos"/>
          <w:sz w:val="22"/>
          <w:szCs w:val="22"/>
          <w:lang w:val="de-DE"/>
        </w:rPr>
      </w:pPr>
      <w:r w:rsidRPr="00E51AF6">
        <w:rPr>
          <w:rFonts w:ascii="Aptos" w:hAnsi="Aptos"/>
          <w:sz w:val="22"/>
          <w:szCs w:val="22"/>
          <w:lang w:val="de-DE"/>
        </w:rPr>
        <w:t xml:space="preserve">Der </w:t>
      </w:r>
      <w:proofErr w:type="spellStart"/>
      <w:r w:rsidRPr="00E51AF6">
        <w:rPr>
          <w:rFonts w:ascii="Aptos" w:hAnsi="Aptos"/>
          <w:sz w:val="22"/>
          <w:szCs w:val="22"/>
          <w:lang w:val="de-DE"/>
        </w:rPr>
        <w:t>charGER</w:t>
      </w:r>
      <w:proofErr w:type="spellEnd"/>
      <w:r w:rsidRPr="00E51AF6">
        <w:rPr>
          <w:rFonts w:ascii="Aptos" w:hAnsi="Aptos"/>
          <w:sz w:val="22"/>
          <w:szCs w:val="22"/>
          <w:lang w:val="de-DE"/>
        </w:rPr>
        <w:t xml:space="preserve"> e.V. fordert deshalb eine ausdrückliche Aufnahme der Niederspannung in die Transparenz- und Auskunftsmechanismen des § 17c EnWG-E sowie eine Absenkung der Schwelle für Ladeinfrastruktur auf 11 kW. Eine solche Regelung würde nicht zu einer Vollprüfung jedes Kleinstprojekts führen, sondern eine standardisierte, unverbindliche Ersteinschätzung ermöglichen und dadurch sowohl CPOs als auch Netzbetreiber entlasten</w:t>
      </w:r>
      <w:r w:rsidR="00F13396">
        <w:rPr>
          <w:rFonts w:ascii="Aptos" w:hAnsi="Aptos"/>
          <w:sz w:val="22"/>
          <w:szCs w:val="22"/>
          <w:lang w:val="de-DE"/>
        </w:rPr>
        <w:t xml:space="preserve">. </w:t>
      </w:r>
      <w:r w:rsidR="00F13396" w:rsidRPr="00F13396">
        <w:rPr>
          <w:rFonts w:ascii="Aptos" w:hAnsi="Aptos"/>
          <w:sz w:val="22"/>
          <w:szCs w:val="22"/>
          <w:lang w:val="de-DE"/>
        </w:rPr>
        <w:t>Alternativ zur Ausweitung der Transparenz- und Auskunftsmechanismen auf 11kW wäre eine Genehmigungsfiktion bzw. Genehmigungsfreiheit bis 5</w:t>
      </w:r>
      <w:r w:rsidR="00F13396">
        <w:rPr>
          <w:rFonts w:ascii="Aptos" w:hAnsi="Aptos"/>
          <w:sz w:val="22"/>
          <w:szCs w:val="22"/>
          <w:lang w:val="de-DE"/>
        </w:rPr>
        <w:t>5</w:t>
      </w:r>
      <w:r w:rsidR="00F13396" w:rsidRPr="00F13396">
        <w:rPr>
          <w:rFonts w:ascii="Aptos" w:hAnsi="Aptos"/>
          <w:sz w:val="22"/>
          <w:szCs w:val="22"/>
          <w:lang w:val="de-DE"/>
        </w:rPr>
        <w:t>kW wünschenswert. Gesetzt dem Fall, dass für Netzanschlussbegehren bis zu dieser Leistungsklasse überhaupt keine Genehmigungen im Sinne des Netzanschlussbegehrens mehr nötig wären, würde auch der Bedarf für Kapazitätsauskünfte wegfallen.</w:t>
      </w:r>
    </w:p>
    <w:p w14:paraId="7EBE65C5" w14:textId="77777777" w:rsidR="00E51AF6" w:rsidRDefault="00E51AF6" w:rsidP="00D90C48">
      <w:pPr>
        <w:jc w:val="both"/>
        <w:rPr>
          <w:lang w:val="de-DE"/>
        </w:rPr>
      </w:pPr>
    </w:p>
    <w:p w14:paraId="0A80E28D" w14:textId="77777777" w:rsidR="00646D75" w:rsidRDefault="00646D75" w:rsidP="00D90C48">
      <w:pPr>
        <w:jc w:val="both"/>
        <w:rPr>
          <w:lang w:val="de-DE"/>
        </w:rPr>
      </w:pPr>
    </w:p>
    <w:p w14:paraId="2A2D6ACD" w14:textId="09AE4CA1" w:rsidR="001C6D20" w:rsidRDefault="001C6D20" w:rsidP="00D90C48">
      <w:pPr>
        <w:jc w:val="both"/>
        <w:rPr>
          <w:b/>
          <w:bCs/>
          <w:lang w:val="de-DE"/>
        </w:rPr>
      </w:pPr>
      <w:r>
        <w:rPr>
          <w:lang w:val="de-DE"/>
        </w:rPr>
        <w:lastRenderedPageBreak/>
        <w:br/>
      </w:r>
      <w:r w:rsidRPr="001C6D20">
        <w:rPr>
          <w:b/>
          <w:bCs/>
          <w:lang w:val="de-DE"/>
        </w:rPr>
        <w:t>3.2. Priorisierungskriterien und Freihalten von Kapazität im Verteilernetzbereich</w:t>
      </w:r>
    </w:p>
    <w:p w14:paraId="7D6746F5" w14:textId="77777777" w:rsidR="00E51AF6" w:rsidRPr="00E51AF6" w:rsidRDefault="00E51AF6" w:rsidP="00E51AF6">
      <w:pPr>
        <w:jc w:val="both"/>
        <w:rPr>
          <w:rFonts w:ascii="Aptos" w:hAnsi="Aptos"/>
          <w:sz w:val="22"/>
          <w:szCs w:val="22"/>
          <w:lang w:val="de-DE"/>
        </w:rPr>
      </w:pPr>
      <w:r w:rsidRPr="00E51AF6">
        <w:rPr>
          <w:rFonts w:ascii="Aptos" w:hAnsi="Aptos"/>
          <w:sz w:val="22"/>
          <w:szCs w:val="22"/>
          <w:lang w:val="de-DE"/>
        </w:rPr>
        <w:t xml:space="preserve">Der </w:t>
      </w:r>
      <w:proofErr w:type="spellStart"/>
      <w:r w:rsidRPr="00E51AF6">
        <w:rPr>
          <w:rFonts w:ascii="Aptos" w:hAnsi="Aptos"/>
          <w:sz w:val="22"/>
          <w:szCs w:val="22"/>
          <w:lang w:val="de-DE"/>
        </w:rPr>
        <w:t>charGER</w:t>
      </w:r>
      <w:proofErr w:type="spellEnd"/>
      <w:r w:rsidRPr="00E51AF6">
        <w:rPr>
          <w:rFonts w:ascii="Aptos" w:hAnsi="Aptos"/>
          <w:sz w:val="22"/>
          <w:szCs w:val="22"/>
          <w:lang w:val="de-DE"/>
        </w:rPr>
        <w:t xml:space="preserve"> e.V. begrüßt, dass der Referentenentwurf die Priorisierung von Netzanschlussbegehren und das Freihalten von Kapazitäten ermöglichen will. Der Abschied vom reinen Windhundprinzip ist notwendig, weil andernfalls spekulative oder unreife Anschlussbegehren Kapazitäten blockieren können, während realisierungsnahe Projekte mit konkreter Fläche, Finanzierung und Umsetzungsplanung zurückstehen.</w:t>
      </w:r>
    </w:p>
    <w:p w14:paraId="7E1A1518" w14:textId="639114E4" w:rsidR="00E51AF6" w:rsidRPr="00E51AF6" w:rsidRDefault="00E51AF6" w:rsidP="00E51AF6">
      <w:pPr>
        <w:jc w:val="both"/>
        <w:rPr>
          <w:rFonts w:ascii="Aptos" w:hAnsi="Aptos"/>
          <w:sz w:val="22"/>
          <w:szCs w:val="22"/>
          <w:lang w:val="de-DE"/>
        </w:rPr>
      </w:pPr>
      <w:r w:rsidRPr="00F72972">
        <w:rPr>
          <w:rFonts w:ascii="Aptos" w:hAnsi="Aptos"/>
          <w:b/>
          <w:bCs/>
          <w:sz w:val="22"/>
          <w:szCs w:val="22"/>
          <w:lang w:val="de-DE"/>
        </w:rPr>
        <w:t>Priorisierung darf jedoch nicht intransparent werden.</w:t>
      </w:r>
      <w:r w:rsidRPr="00E51AF6">
        <w:rPr>
          <w:rFonts w:ascii="Aptos" w:hAnsi="Aptos"/>
          <w:sz w:val="22"/>
          <w:szCs w:val="22"/>
          <w:lang w:val="de-DE"/>
        </w:rPr>
        <w:t xml:space="preserve"> Sie muss auf</w:t>
      </w:r>
      <w:r w:rsidR="00FE51F4">
        <w:rPr>
          <w:rFonts w:ascii="Aptos" w:hAnsi="Aptos"/>
          <w:sz w:val="22"/>
          <w:szCs w:val="22"/>
          <w:lang w:val="de-DE"/>
        </w:rPr>
        <w:t xml:space="preserve"> </w:t>
      </w:r>
      <w:r w:rsidRPr="00E51AF6">
        <w:rPr>
          <w:rFonts w:ascii="Aptos" w:hAnsi="Aptos"/>
          <w:sz w:val="22"/>
          <w:szCs w:val="22"/>
          <w:lang w:val="de-DE"/>
        </w:rPr>
        <w:t xml:space="preserve">klaren, objektiven, diskriminierungsfreien und nachprüfbaren Kriterien beruhen. Für Ladeinfrastruktur sollten insbesondere folgende Kriterien gesetzlich oder durch Festlegung konkretisiert werden: Beitrag zu gesetzlichen Klima-, Verkehrs- und Ladeinfrastrukturzielen; Projektierungsreife; Standortverfügbarkeit; Umsetzungszeitplan; </w:t>
      </w:r>
      <w:proofErr w:type="spellStart"/>
      <w:r w:rsidRPr="00E51AF6">
        <w:rPr>
          <w:rFonts w:ascii="Aptos" w:hAnsi="Aptos"/>
          <w:sz w:val="22"/>
          <w:szCs w:val="22"/>
          <w:lang w:val="de-DE"/>
        </w:rPr>
        <w:t>Netzdienlichkeit</w:t>
      </w:r>
      <w:proofErr w:type="spellEnd"/>
      <w:r w:rsidRPr="00E51AF6">
        <w:rPr>
          <w:rFonts w:ascii="Aptos" w:hAnsi="Aptos"/>
          <w:sz w:val="22"/>
          <w:szCs w:val="22"/>
          <w:lang w:val="de-DE"/>
        </w:rPr>
        <w:t xml:space="preserve"> durch Lastmanagement oder flexible Anschlussvereinbarungen; Beitrag zur Schließung regionaler Versorgungslücken; diskriminierungsfreier Zugang für unabhängige Marktakteure.</w:t>
      </w:r>
    </w:p>
    <w:p w14:paraId="7B8E9351" w14:textId="41661565" w:rsidR="00191846" w:rsidRDefault="00E51AF6" w:rsidP="00E51AF6">
      <w:pPr>
        <w:jc w:val="both"/>
        <w:rPr>
          <w:rFonts w:ascii="Aptos" w:hAnsi="Aptos"/>
          <w:sz w:val="22"/>
          <w:szCs w:val="22"/>
          <w:lang w:val="de-DE"/>
        </w:rPr>
      </w:pPr>
      <w:r w:rsidRPr="00E51AF6">
        <w:rPr>
          <w:rFonts w:ascii="Aptos" w:hAnsi="Aptos"/>
          <w:sz w:val="22"/>
          <w:szCs w:val="22"/>
          <w:lang w:val="de-DE"/>
        </w:rPr>
        <w:t>Kapazität darf im Verteilernetz für erwartete Ladeinfrastrukturbedarfe freigehalten werden, wenn diese Bedarfe sachlich begründet und planungsseitig nachvollziehbar sind. Dies betrifft zum Beispiel kommunale Ladeinfrastrukturkonzepte, Mobilitätsknotenpunkte, größere Quartiersentwicklungen, Gewerbestandorte, öffentliche Parkflächen oder Standorte mit nachweisbarer Versorgungslücke. Das Freihalten von Kapazität muss jedoch befristet, transparent und an überprüfbare Projekt- oder Planungsfortschritte geknüpft sein.</w:t>
      </w:r>
      <w:r w:rsidR="00653B82" w:rsidRPr="00653B82">
        <w:rPr>
          <w:lang w:val="de-DE"/>
        </w:rPr>
        <w:t xml:space="preserve"> </w:t>
      </w:r>
      <w:r w:rsidR="00653B82" w:rsidRPr="00653B82">
        <w:rPr>
          <w:rFonts w:ascii="Aptos" w:hAnsi="Aptos"/>
          <w:sz w:val="22"/>
          <w:szCs w:val="22"/>
          <w:lang w:val="de-DE"/>
        </w:rPr>
        <w:t>Im Gegensatz zu anderen Branchen, wie etwa der Betrieb von Datencentern oder großen Batteriespeichern, haben Ladeinfrastrukturprojekte, zumal in niedrigen Leistungsklassen, meist von Beginn an einen hohen Reifegrad, da die Einzelinvestition und somit auch der Komplexitätsgrad, deutlich geringer ist als bei größeren Infrastrukturprojekten in anderen Bereichen. So ist im Sinne der Priorisierung von Netzanschlussbegehren davon auszugehen, dass beantragte Ladeinfrastrukturprojekte, insbesondere in der Niederspannungsebene, auch stets realisiert werden. Dies erlaubt Netzbetreibern bessere Planbarkeit.</w:t>
      </w:r>
    </w:p>
    <w:p w14:paraId="1F41E7A3" w14:textId="77777777" w:rsidR="00191846" w:rsidRDefault="00191846" w:rsidP="00E51AF6">
      <w:pPr>
        <w:jc w:val="both"/>
        <w:rPr>
          <w:rFonts w:ascii="Aptos" w:hAnsi="Aptos"/>
          <w:sz w:val="22"/>
          <w:szCs w:val="22"/>
          <w:lang w:val="de-DE"/>
        </w:rPr>
      </w:pPr>
    </w:p>
    <w:p w14:paraId="6B346BE5" w14:textId="199ED663" w:rsidR="00D901BD" w:rsidRDefault="00D901BD" w:rsidP="00D901BD">
      <w:pPr>
        <w:jc w:val="both"/>
        <w:rPr>
          <w:b/>
          <w:bCs/>
          <w:lang w:val="de-DE"/>
        </w:rPr>
      </w:pPr>
      <w:r w:rsidRPr="001C6D20">
        <w:rPr>
          <w:b/>
          <w:bCs/>
          <w:lang w:val="de-DE"/>
        </w:rPr>
        <w:t>3.</w:t>
      </w:r>
      <w:r>
        <w:rPr>
          <w:b/>
          <w:bCs/>
          <w:lang w:val="de-DE"/>
        </w:rPr>
        <w:t>3</w:t>
      </w:r>
      <w:r w:rsidRPr="001C6D20">
        <w:rPr>
          <w:b/>
          <w:bCs/>
          <w:lang w:val="de-DE"/>
        </w:rPr>
        <w:t xml:space="preserve">. </w:t>
      </w:r>
      <w:r w:rsidR="00091551" w:rsidRPr="00091551">
        <w:rPr>
          <w:b/>
          <w:bCs/>
          <w:lang w:val="de-DE"/>
        </w:rPr>
        <w:t>Leistungshochläufe in nachgelagerten Netzebenen bei der Planung vorgelagerter Netzebenen</w:t>
      </w:r>
    </w:p>
    <w:p w14:paraId="70E1F96D" w14:textId="77777777" w:rsidR="006B47DD" w:rsidRPr="006B47DD" w:rsidRDefault="006B47DD" w:rsidP="006B47DD">
      <w:pPr>
        <w:jc w:val="both"/>
        <w:rPr>
          <w:rFonts w:ascii="Aptos" w:hAnsi="Aptos"/>
          <w:sz w:val="22"/>
          <w:szCs w:val="22"/>
          <w:lang w:val="de-DE"/>
        </w:rPr>
      </w:pPr>
      <w:r w:rsidRPr="006B47DD">
        <w:rPr>
          <w:rFonts w:ascii="Aptos" w:hAnsi="Aptos"/>
          <w:sz w:val="22"/>
          <w:szCs w:val="22"/>
          <w:lang w:val="de-DE"/>
        </w:rPr>
        <w:t>Eine echte Synchronisierung von Anlagenzubau und Netzausbau kann nur funktionieren, wenn erwartbare Leistungshochläufe aus der Niederspannung in die Planung der vorgelagerten Netzebenen einfließen. Andernfalls entsteht ein struktureller Planungsfehler: Die Niederspannung wird erst dann als Engpass sichtbar, wenn konkrete Anschlussbegehren gestellt werden, obwohl der Bedarf politisch, kommunal und marktwirtschaftlich längst absehbar war.</w:t>
      </w:r>
    </w:p>
    <w:p w14:paraId="282AB5BF" w14:textId="77777777" w:rsidR="006B47DD" w:rsidRPr="006B47DD" w:rsidRDefault="006B47DD" w:rsidP="006B47DD">
      <w:pPr>
        <w:jc w:val="both"/>
        <w:rPr>
          <w:rFonts w:ascii="Aptos" w:hAnsi="Aptos"/>
          <w:sz w:val="22"/>
          <w:szCs w:val="22"/>
          <w:lang w:val="de-DE"/>
        </w:rPr>
      </w:pPr>
      <w:r w:rsidRPr="006B47DD">
        <w:rPr>
          <w:rFonts w:ascii="Aptos" w:hAnsi="Aptos"/>
          <w:sz w:val="22"/>
          <w:szCs w:val="22"/>
          <w:lang w:val="de-DE"/>
        </w:rPr>
        <w:lastRenderedPageBreak/>
        <w:t>Regionalszenarien, Netzausbaupläne und vorgelagerte Netzplanung müssen deshalb Ladeinfrastruktur systematisch berücksichtigen. Relevante Datenquellen sind insbesondere kommunale Ladeinfrastrukturkonzepte, Bauleitplanung, Quartiers- und Gewerbeentwicklungen, GEIG- und EPBD-induzierte Nachrüstbedarfe, Bestands- und Prognosedaten aus Ladeinfrastrukturregistern sowie Marktdaten von CPOs und Projektierern. Diese Daten sollten nicht nur für Großladeparks, sondern ausdrücklich auch für AC- und kleinere DC-Standorte genutzt werden.</w:t>
      </w:r>
    </w:p>
    <w:p w14:paraId="3362979D" w14:textId="77777777" w:rsidR="00370D1F" w:rsidRDefault="006B47DD" w:rsidP="006B47DD">
      <w:pPr>
        <w:jc w:val="both"/>
        <w:rPr>
          <w:rFonts w:ascii="Aptos" w:hAnsi="Aptos"/>
          <w:sz w:val="22"/>
          <w:szCs w:val="22"/>
          <w:lang w:val="de-DE"/>
        </w:rPr>
      </w:pPr>
      <w:r w:rsidRPr="006B47DD">
        <w:rPr>
          <w:rFonts w:ascii="Aptos" w:hAnsi="Aptos"/>
          <w:sz w:val="22"/>
          <w:szCs w:val="22"/>
          <w:lang w:val="de-DE"/>
        </w:rPr>
        <w:t>Der Planungsgrundsatz sollte lauten: Vorgelagerte Netzebenen sind so zu dimensionieren und zu ertüchtigen, dass der erwartbare Hochlauf in den nachgelagerten Netzebenen nicht zum wiederkehrenden Flaschenhals wird. Vorausschauender Verteilnetzausbau muss nicht nur Erzeugung und Speicher, sondern auch alltägliche Verbrauchsinfrastrukturen der Verkehrs- und Wärmewende einbeziehen.</w:t>
      </w:r>
    </w:p>
    <w:p w14:paraId="23F02E16" w14:textId="77777777" w:rsidR="00A768E0" w:rsidRDefault="00121F04" w:rsidP="00121F04">
      <w:pPr>
        <w:jc w:val="both"/>
        <w:rPr>
          <w:b/>
          <w:bCs/>
          <w:lang w:val="de-DE"/>
        </w:rPr>
      </w:pPr>
      <w:r>
        <w:rPr>
          <w:b/>
          <w:bCs/>
          <w:lang w:val="de-DE"/>
        </w:rPr>
        <w:br/>
      </w:r>
      <w:r w:rsidRPr="001C6D20">
        <w:rPr>
          <w:b/>
          <w:bCs/>
          <w:lang w:val="de-DE"/>
        </w:rPr>
        <w:t>3.</w:t>
      </w:r>
      <w:r>
        <w:rPr>
          <w:b/>
          <w:bCs/>
          <w:lang w:val="de-DE"/>
        </w:rPr>
        <w:t>3</w:t>
      </w:r>
      <w:r w:rsidRPr="001C6D20">
        <w:rPr>
          <w:b/>
          <w:bCs/>
          <w:lang w:val="de-DE"/>
        </w:rPr>
        <w:t xml:space="preserve">. </w:t>
      </w:r>
      <w:r w:rsidR="00B35DB5" w:rsidRPr="00B35DB5">
        <w:rPr>
          <w:b/>
          <w:bCs/>
          <w:lang w:val="de-DE"/>
        </w:rPr>
        <w:t xml:space="preserve">Beschleunigung durch zentrale Auskunftsregister und digitale Verfahren </w:t>
      </w:r>
    </w:p>
    <w:p w14:paraId="72A43ADB" w14:textId="77777777" w:rsidR="00DA6B8D" w:rsidRPr="00DA6B8D" w:rsidRDefault="00DA6B8D" w:rsidP="00DA6B8D">
      <w:pPr>
        <w:jc w:val="both"/>
        <w:rPr>
          <w:rFonts w:ascii="Aptos" w:hAnsi="Aptos"/>
          <w:sz w:val="22"/>
          <w:szCs w:val="22"/>
          <w:lang w:val="de-DE"/>
        </w:rPr>
      </w:pPr>
      <w:r w:rsidRPr="00DA6B8D">
        <w:rPr>
          <w:rFonts w:ascii="Aptos" w:hAnsi="Aptos"/>
          <w:sz w:val="22"/>
          <w:szCs w:val="22"/>
          <w:lang w:val="de-DE"/>
        </w:rPr>
        <w:t>Die mangelnde Transparenz über verfügbare Netzanschlusskapazitäten ist eines der größten praktischen Hemmnisse für den Ladeinfrastrukturausbau. Projektierer und CPOs sehen sich heute mit einer Vielzahl unterschiedlicher VNB-Portale, Formulare, Datenanforderungen, Bearbeitungslogiken und technischer Anschlussbedingungen konfrontiert. Ein rein VNB-individuelles Digitalportal löst dieses Problem nur teilweise; es kann analoge Fragmentierung lediglich in digitale Fragmentierung überführen.</w:t>
      </w:r>
    </w:p>
    <w:p w14:paraId="2172C98A" w14:textId="1397C06D" w:rsidR="00DA6B8D" w:rsidRPr="00DA6B8D" w:rsidRDefault="00DA6B8D" w:rsidP="00DA6B8D">
      <w:pPr>
        <w:jc w:val="both"/>
        <w:rPr>
          <w:rFonts w:ascii="Aptos" w:hAnsi="Aptos"/>
          <w:sz w:val="22"/>
          <w:szCs w:val="22"/>
          <w:lang w:val="de-DE"/>
        </w:rPr>
      </w:pPr>
      <w:r w:rsidRPr="00DA6B8D">
        <w:rPr>
          <w:rFonts w:ascii="Aptos" w:hAnsi="Aptos"/>
          <w:b/>
          <w:bCs/>
          <w:sz w:val="22"/>
          <w:szCs w:val="22"/>
          <w:lang w:val="de-DE"/>
        </w:rPr>
        <w:t xml:space="preserve">Der </w:t>
      </w:r>
      <w:proofErr w:type="spellStart"/>
      <w:r w:rsidRPr="00DA6B8D">
        <w:rPr>
          <w:rFonts w:ascii="Aptos" w:hAnsi="Aptos"/>
          <w:b/>
          <w:bCs/>
          <w:sz w:val="22"/>
          <w:szCs w:val="22"/>
          <w:lang w:val="de-DE"/>
        </w:rPr>
        <w:t>charGER</w:t>
      </w:r>
      <w:proofErr w:type="spellEnd"/>
      <w:r w:rsidRPr="00DA6B8D">
        <w:rPr>
          <w:rFonts w:ascii="Aptos" w:hAnsi="Aptos"/>
          <w:b/>
          <w:bCs/>
          <w:sz w:val="22"/>
          <w:szCs w:val="22"/>
          <w:lang w:val="de-DE"/>
        </w:rPr>
        <w:t xml:space="preserve"> e.V. fordert daher ein zentrales Auskunftsregister für Netzanschlusskapazitäten, das bundesweit einheitliche Datenmodelle, Rollen, Schnittstellen und Antwortlogiken verwendet.</w:t>
      </w:r>
      <w:r w:rsidRPr="00DA6B8D">
        <w:rPr>
          <w:rFonts w:ascii="Aptos" w:hAnsi="Aptos"/>
          <w:sz w:val="22"/>
          <w:szCs w:val="22"/>
          <w:lang w:val="de-DE"/>
        </w:rPr>
        <w:t xml:space="preserve"> Es muss auch für</w:t>
      </w:r>
      <w:r w:rsidR="00F13B8A">
        <w:rPr>
          <w:rFonts w:ascii="Aptos" w:hAnsi="Aptos"/>
          <w:sz w:val="22"/>
          <w:szCs w:val="22"/>
          <w:lang w:val="de-DE"/>
        </w:rPr>
        <w:t xml:space="preserve"> alle Netzspannungsebenen </w:t>
      </w:r>
      <w:r w:rsidRPr="00DA6B8D">
        <w:rPr>
          <w:rFonts w:ascii="Aptos" w:hAnsi="Aptos"/>
          <w:sz w:val="22"/>
          <w:szCs w:val="22"/>
          <w:lang w:val="de-DE"/>
        </w:rPr>
        <w:t>belastbare Informationen liefern, ohne sicherheitsrelevante Details kritischer Infrastruktur offenzulegen. Der Zugang kann rollenbasiert und auf verifizierte Marktakteure beschränkt werden.</w:t>
      </w:r>
    </w:p>
    <w:p w14:paraId="4BAA6EDA" w14:textId="77777777" w:rsidR="00DA6B8D" w:rsidRPr="00DA6B8D" w:rsidRDefault="00DA6B8D" w:rsidP="00DA6B8D">
      <w:pPr>
        <w:jc w:val="both"/>
        <w:rPr>
          <w:rFonts w:ascii="Aptos" w:hAnsi="Aptos"/>
          <w:sz w:val="22"/>
          <w:szCs w:val="22"/>
          <w:lang w:val="de-DE"/>
        </w:rPr>
      </w:pPr>
      <w:r w:rsidRPr="00DA6B8D">
        <w:rPr>
          <w:rFonts w:ascii="Aptos" w:hAnsi="Aptos"/>
          <w:sz w:val="22"/>
          <w:szCs w:val="22"/>
          <w:lang w:val="de-DE"/>
        </w:rPr>
        <w:t>Für professionelle Marktakteure sollten mindestens folgende Informationen abrufbar sein: verfügbare Anschlussleistung oder Leistungsbandbreite, nächstgelegener geeigneter Netzverknüpfungspunkt, alternative Netzverknüpfungspunkte, Hinweise auf kapazitätslimitierte Bereiche, grundsätzliche Möglichkeit eines flexiblen Netzanschlusses, erwartbare Bearbeitungskorridore und standardisierte technische Mindestanforderungen.</w:t>
      </w:r>
    </w:p>
    <w:p w14:paraId="1CAF1788" w14:textId="646B721E" w:rsidR="00370D1F" w:rsidRDefault="00DA6B8D" w:rsidP="00DA6B8D">
      <w:pPr>
        <w:jc w:val="both"/>
        <w:rPr>
          <w:rFonts w:ascii="Aptos" w:hAnsi="Aptos"/>
          <w:sz w:val="22"/>
          <w:szCs w:val="22"/>
          <w:lang w:val="de-DE"/>
        </w:rPr>
      </w:pPr>
      <w:r w:rsidRPr="00DA6B8D">
        <w:rPr>
          <w:rFonts w:ascii="Aptos" w:hAnsi="Aptos"/>
          <w:sz w:val="22"/>
          <w:szCs w:val="22"/>
          <w:lang w:val="de-DE"/>
        </w:rPr>
        <w:t>Darüber hinaus müssen Netzanschlussverfahren vollständig digital und möglichst zentralisiert abgewickelt werden. Erforderlich sind einheitliche digitale Antragsformulare, standardisierte Datensätze, maschinenlesbare Statusmeldungen, digitale Nachforderungen, einheitliche Projekt-IDs, API-fähige Schnittstellen für Massenprozesse und bundesweite Rollenmodelle für CPOs, Planer, Installateure, Messstellenbetreiber und Behörden.</w:t>
      </w:r>
    </w:p>
    <w:p w14:paraId="27E7A1DB" w14:textId="246A25DD" w:rsidR="00F13B8A" w:rsidRDefault="00F13B8A" w:rsidP="00DA6B8D">
      <w:pPr>
        <w:jc w:val="both"/>
        <w:rPr>
          <w:rFonts w:ascii="Aptos" w:hAnsi="Aptos"/>
          <w:sz w:val="22"/>
          <w:szCs w:val="22"/>
          <w:lang w:val="de-DE"/>
        </w:rPr>
      </w:pPr>
      <w:r>
        <w:rPr>
          <w:rFonts w:ascii="Aptos" w:hAnsi="Aptos"/>
          <w:sz w:val="22"/>
          <w:szCs w:val="22"/>
          <w:lang w:val="de-DE"/>
        </w:rPr>
        <w:lastRenderedPageBreak/>
        <w:t xml:space="preserve">Die Maßgaben an IT-Sicherheit sollten </w:t>
      </w:r>
      <w:r w:rsidR="002625B2">
        <w:rPr>
          <w:rFonts w:ascii="Aptos" w:hAnsi="Aptos"/>
          <w:sz w:val="22"/>
          <w:szCs w:val="22"/>
          <w:lang w:val="de-DE"/>
        </w:rPr>
        <w:t>ausreichend prio</w:t>
      </w:r>
      <w:r w:rsidR="00A475DB">
        <w:rPr>
          <w:rFonts w:ascii="Aptos" w:hAnsi="Aptos"/>
          <w:sz w:val="22"/>
          <w:szCs w:val="22"/>
          <w:lang w:val="de-DE"/>
        </w:rPr>
        <w:t xml:space="preserve">risiert und hoch angesetzt </w:t>
      </w:r>
      <w:r>
        <w:rPr>
          <w:rFonts w:ascii="Aptos" w:hAnsi="Aptos"/>
          <w:sz w:val="22"/>
          <w:szCs w:val="22"/>
          <w:lang w:val="de-DE"/>
        </w:rPr>
        <w:t xml:space="preserve">werden um Daten nur in sicheren, legitimierten Räumen verfügbar zu machen. </w:t>
      </w:r>
      <w:r w:rsidR="00362C72" w:rsidRPr="00362C72">
        <w:rPr>
          <w:rFonts w:ascii="Aptos" w:hAnsi="Aptos"/>
          <w:sz w:val="22"/>
          <w:szCs w:val="22"/>
          <w:lang w:val="de-DE"/>
        </w:rPr>
        <w:t xml:space="preserve">Kapazitätskarten und unverbindliche Netzanschlussauskünfte </w:t>
      </w:r>
      <w:r w:rsidR="00362C72">
        <w:rPr>
          <w:rFonts w:ascii="Aptos" w:hAnsi="Aptos"/>
          <w:sz w:val="22"/>
          <w:szCs w:val="22"/>
          <w:lang w:val="de-DE"/>
        </w:rPr>
        <w:t>m</w:t>
      </w:r>
      <w:r w:rsidR="00A475DB">
        <w:rPr>
          <w:rFonts w:ascii="Aptos" w:hAnsi="Aptos"/>
          <w:sz w:val="22"/>
          <w:szCs w:val="22"/>
          <w:lang w:val="de-DE"/>
        </w:rPr>
        <w:t>ü</w:t>
      </w:r>
      <w:r w:rsidR="00362C72">
        <w:rPr>
          <w:rFonts w:ascii="Aptos" w:hAnsi="Aptos"/>
          <w:sz w:val="22"/>
          <w:szCs w:val="22"/>
          <w:lang w:val="de-DE"/>
        </w:rPr>
        <w:t xml:space="preserve">ssen zwar </w:t>
      </w:r>
      <w:r w:rsidR="00362C72" w:rsidRPr="00362C72">
        <w:rPr>
          <w:rFonts w:ascii="Aptos" w:hAnsi="Aptos"/>
          <w:sz w:val="22"/>
          <w:szCs w:val="22"/>
          <w:lang w:val="de-DE"/>
        </w:rPr>
        <w:t xml:space="preserve">einerseits praktisch verwertbar sein, </w:t>
      </w:r>
      <w:r w:rsidR="008F6617">
        <w:rPr>
          <w:rFonts w:ascii="Aptos" w:hAnsi="Aptos"/>
          <w:sz w:val="22"/>
          <w:szCs w:val="22"/>
          <w:lang w:val="de-DE"/>
        </w:rPr>
        <w:t xml:space="preserve">müssen </w:t>
      </w:r>
      <w:r w:rsidR="00362C72" w:rsidRPr="00362C72">
        <w:rPr>
          <w:rFonts w:ascii="Aptos" w:hAnsi="Aptos"/>
          <w:sz w:val="22"/>
          <w:szCs w:val="22"/>
          <w:lang w:val="de-DE"/>
        </w:rPr>
        <w:t xml:space="preserve">andererseits </w:t>
      </w:r>
      <w:r w:rsidR="00362C72" w:rsidRPr="00362C72">
        <w:rPr>
          <w:rFonts w:ascii="Aptos" w:hAnsi="Aptos"/>
          <w:b/>
          <w:bCs/>
          <w:sz w:val="22"/>
          <w:szCs w:val="22"/>
          <w:lang w:val="de-DE"/>
        </w:rPr>
        <w:t>Sicherheitsinteressen kritischer Infrastruktur</w:t>
      </w:r>
      <w:r w:rsidR="00362C72" w:rsidRPr="00362C72">
        <w:rPr>
          <w:rFonts w:ascii="Aptos" w:hAnsi="Aptos"/>
          <w:sz w:val="22"/>
          <w:szCs w:val="22"/>
          <w:lang w:val="de-DE"/>
        </w:rPr>
        <w:t xml:space="preserve"> zu berücksichtigen haben. Der </w:t>
      </w:r>
      <w:proofErr w:type="spellStart"/>
      <w:r w:rsidR="00362C72" w:rsidRPr="00362C72">
        <w:rPr>
          <w:rFonts w:ascii="Aptos" w:hAnsi="Aptos"/>
          <w:sz w:val="22"/>
          <w:szCs w:val="22"/>
          <w:lang w:val="de-DE"/>
        </w:rPr>
        <w:t>charGER</w:t>
      </w:r>
      <w:proofErr w:type="spellEnd"/>
      <w:r w:rsidR="00362C72" w:rsidRPr="00362C72">
        <w:rPr>
          <w:rFonts w:ascii="Aptos" w:hAnsi="Aptos"/>
          <w:sz w:val="22"/>
          <w:szCs w:val="22"/>
          <w:lang w:val="de-DE"/>
        </w:rPr>
        <w:t xml:space="preserve"> e.V. plädiert deshalb für einen geschützten, rollenbasierten Zugang für verifizierte Marktakteure. So kann Informationsbedarf mit KRITIS-Schutz vereinbart werden.</w:t>
      </w:r>
    </w:p>
    <w:p w14:paraId="502013E5" w14:textId="095BB760" w:rsidR="00D30CF7" w:rsidRPr="00976B12" w:rsidRDefault="00976B12" w:rsidP="00976B12">
      <w:pPr>
        <w:pStyle w:val="Heading1"/>
        <w:shd w:val="clear" w:color="auto" w:fill="E9E575"/>
        <w:rPr>
          <w:rFonts w:asciiTheme="minorHAnsi" w:hAnsiTheme="minorHAnsi"/>
          <w:b/>
          <w:bCs/>
          <w:color w:val="000000" w:themeColor="text1"/>
          <w:sz w:val="32"/>
          <w:szCs w:val="32"/>
          <w:lang w:val="de-DE"/>
        </w:rPr>
      </w:pPr>
      <w:r w:rsidRPr="00976B12">
        <w:rPr>
          <w:rFonts w:asciiTheme="minorHAnsi" w:hAnsiTheme="minorHAnsi"/>
          <w:b/>
          <w:bCs/>
          <w:color w:val="000000" w:themeColor="text1"/>
          <w:sz w:val="32"/>
          <w:szCs w:val="32"/>
          <w:lang w:val="de-DE"/>
        </w:rPr>
        <w:t xml:space="preserve">4. </w:t>
      </w:r>
      <w:r w:rsidR="00D30CF7" w:rsidRPr="00976B12">
        <w:rPr>
          <w:rFonts w:asciiTheme="minorHAnsi" w:hAnsiTheme="minorHAnsi"/>
          <w:b/>
          <w:bCs/>
          <w:color w:val="000000" w:themeColor="text1"/>
          <w:sz w:val="32"/>
          <w:szCs w:val="32"/>
          <w:lang w:val="de-DE"/>
        </w:rPr>
        <w:t>Konkrete Änderungsvorschläge</w:t>
      </w:r>
    </w:p>
    <w:p w14:paraId="79A8201D" w14:textId="0EDA97D2" w:rsidR="00D30CF7" w:rsidRPr="00976B12" w:rsidRDefault="00976B12" w:rsidP="00D30CF7">
      <w:pPr>
        <w:pStyle w:val="Heading2"/>
        <w:rPr>
          <w:rFonts w:asciiTheme="minorHAnsi" w:hAnsiTheme="minorHAnsi"/>
          <w:b/>
          <w:bCs/>
          <w:color w:val="000000" w:themeColor="text1"/>
          <w:sz w:val="24"/>
          <w:szCs w:val="24"/>
          <w:lang w:val="de-DE"/>
        </w:rPr>
      </w:pPr>
      <w:r w:rsidRPr="00976B12">
        <w:rPr>
          <w:rFonts w:asciiTheme="minorHAnsi" w:hAnsiTheme="minorHAnsi"/>
          <w:b/>
          <w:bCs/>
          <w:color w:val="000000" w:themeColor="text1"/>
          <w:sz w:val="24"/>
          <w:szCs w:val="24"/>
          <w:lang w:val="de-DE"/>
        </w:rPr>
        <w:t>4</w:t>
      </w:r>
      <w:r w:rsidR="00D30CF7" w:rsidRPr="00976B12">
        <w:rPr>
          <w:rFonts w:asciiTheme="minorHAnsi" w:hAnsiTheme="minorHAnsi"/>
          <w:b/>
          <w:bCs/>
          <w:color w:val="000000" w:themeColor="text1"/>
          <w:sz w:val="24"/>
          <w:szCs w:val="24"/>
          <w:lang w:val="de-DE"/>
        </w:rPr>
        <w:t>.1 § 17c EnWG-E: Transparenz auch für Ladeinfrastruktur in der Niederspannung</w:t>
      </w:r>
    </w:p>
    <w:p w14:paraId="41E4F644" w14:textId="77777777" w:rsidR="00D30CF7" w:rsidRPr="00D30CF7" w:rsidRDefault="00D30CF7" w:rsidP="00D30CF7">
      <w:pPr>
        <w:rPr>
          <w:color w:val="000000" w:themeColor="text1"/>
          <w:sz w:val="22"/>
          <w:szCs w:val="22"/>
          <w:lang w:val="de-DE"/>
        </w:rPr>
      </w:pPr>
      <w:r w:rsidRPr="00D30CF7">
        <w:rPr>
          <w:color w:val="000000" w:themeColor="text1"/>
          <w:sz w:val="22"/>
          <w:szCs w:val="22"/>
          <w:lang w:val="de-DE"/>
        </w:rPr>
        <w:t>§ 17c EnWG-E sollte um eine explizite Einbeziehung der Niederspannungsebene, der Umspannebene Mittelspannung/Niederspannung und von Ladeinfrastruktur ab 11 kW ergänzt werden.</w:t>
      </w:r>
    </w:p>
    <w:tbl>
      <w:tblPr>
        <w:tblW w:w="0" w:type="auto"/>
        <w:jc w:val="center"/>
        <w:tblBorders>
          <w:top w:val="single" w:sz="4" w:space="0" w:color="D7DEE8"/>
          <w:left w:val="single" w:sz="4" w:space="0" w:color="D7DEE8"/>
          <w:bottom w:val="single" w:sz="4" w:space="0" w:color="D7DEE8"/>
          <w:right w:val="single" w:sz="4" w:space="0" w:color="D7DEE8"/>
          <w:insideH w:val="single" w:sz="4" w:space="0" w:color="D7DEE8"/>
          <w:insideV w:val="single" w:sz="4" w:space="0" w:color="D7DEE8"/>
        </w:tblBorders>
        <w:shd w:val="clear" w:color="auto" w:fill="E8E8E8" w:themeFill="background2"/>
        <w:tblLook w:val="04A0" w:firstRow="1" w:lastRow="0" w:firstColumn="1" w:lastColumn="0" w:noHBand="0" w:noVBand="1"/>
      </w:tblPr>
      <w:tblGrid>
        <w:gridCol w:w="9688"/>
      </w:tblGrid>
      <w:tr w:rsidR="00D30CF7" w:rsidRPr="00EA527C" w14:paraId="2D347B9F" w14:textId="77777777" w:rsidTr="00976B12">
        <w:trPr>
          <w:jc w:val="center"/>
        </w:trPr>
        <w:tc>
          <w:tcPr>
            <w:tcW w:w="9688" w:type="dxa"/>
            <w:shd w:val="clear" w:color="auto" w:fill="E8E8E8" w:themeFill="background2"/>
            <w:tcMar>
              <w:top w:w="100" w:type="dxa"/>
              <w:left w:w="100" w:type="dxa"/>
              <w:bottom w:w="100" w:type="dxa"/>
              <w:right w:w="100" w:type="dxa"/>
            </w:tcMar>
            <w:vAlign w:val="center"/>
          </w:tcPr>
          <w:p w14:paraId="07C860C1" w14:textId="77777777" w:rsidR="00D30CF7" w:rsidRPr="00D30CF7" w:rsidRDefault="00D30CF7" w:rsidP="00926A55">
            <w:pPr>
              <w:ind w:left="57"/>
              <w:rPr>
                <w:color w:val="000000" w:themeColor="text1"/>
                <w:sz w:val="22"/>
                <w:szCs w:val="22"/>
                <w:lang w:val="de-DE"/>
              </w:rPr>
            </w:pPr>
            <w:r w:rsidRPr="00D30CF7">
              <w:rPr>
                <w:b/>
                <w:color w:val="000000" w:themeColor="text1"/>
                <w:sz w:val="22"/>
                <w:szCs w:val="22"/>
                <w:lang w:val="de-DE"/>
              </w:rPr>
              <w:t xml:space="preserve">Formulierungsvorschlag: </w:t>
            </w:r>
            <w:r w:rsidRPr="00D30CF7">
              <w:rPr>
                <w:color w:val="000000" w:themeColor="text1"/>
                <w:sz w:val="22"/>
                <w:szCs w:val="22"/>
                <w:lang w:val="de-DE"/>
              </w:rPr>
              <w:t>„Die Verpflichtung zur Veröffentlichung und zur unverbindlichen Netzanschlussauskunft umfasst für Ladeinfrastruktur im Sinne der Ladesäulenverordnung auch Netzanschlüsse ab einer Anschlussleistung von 11 Kilowatt sowie die Niederspannungsebene und die Umspannebene von Mittelspannung zu Niederspannung.“</w:t>
            </w:r>
          </w:p>
        </w:tc>
      </w:tr>
    </w:tbl>
    <w:p w14:paraId="51773C61" w14:textId="77777777" w:rsidR="00D30CF7" w:rsidRPr="00D30CF7" w:rsidRDefault="00D30CF7" w:rsidP="00D30CF7">
      <w:pPr>
        <w:rPr>
          <w:color w:val="000000" w:themeColor="text1"/>
          <w:sz w:val="22"/>
          <w:szCs w:val="22"/>
          <w:lang w:val="de-DE"/>
        </w:rPr>
      </w:pPr>
    </w:p>
    <w:p w14:paraId="6654493A" w14:textId="2241B6DF" w:rsidR="00D30CF7" w:rsidRPr="00976B12" w:rsidRDefault="00566778" w:rsidP="00D30CF7">
      <w:pPr>
        <w:pStyle w:val="Heading2"/>
        <w:rPr>
          <w:rFonts w:asciiTheme="minorHAnsi" w:hAnsiTheme="minorHAnsi"/>
          <w:b/>
          <w:bCs/>
          <w:color w:val="000000" w:themeColor="text1"/>
          <w:sz w:val="24"/>
          <w:szCs w:val="24"/>
          <w:lang w:val="de-DE"/>
        </w:rPr>
      </w:pPr>
      <w:r>
        <w:rPr>
          <w:rFonts w:asciiTheme="minorHAnsi" w:hAnsiTheme="minorHAnsi"/>
          <w:b/>
          <w:bCs/>
          <w:color w:val="000000" w:themeColor="text1"/>
          <w:sz w:val="24"/>
          <w:szCs w:val="24"/>
          <w:lang w:val="de-DE"/>
        </w:rPr>
        <w:t>4</w:t>
      </w:r>
      <w:r w:rsidR="00D30CF7" w:rsidRPr="00976B12">
        <w:rPr>
          <w:rFonts w:asciiTheme="minorHAnsi" w:hAnsiTheme="minorHAnsi"/>
          <w:b/>
          <w:bCs/>
          <w:color w:val="000000" w:themeColor="text1"/>
          <w:sz w:val="24"/>
          <w:szCs w:val="24"/>
          <w:lang w:val="de-DE"/>
        </w:rPr>
        <w:t>.2 § 17b EnWG-E: Ladeinfrastruktur als priorisierungsfähige Verbrauchsinfrastruktur</w:t>
      </w:r>
    </w:p>
    <w:p w14:paraId="4A8A16CD" w14:textId="77777777" w:rsidR="00D30CF7" w:rsidRPr="00D30CF7" w:rsidRDefault="00D30CF7" w:rsidP="00D30CF7">
      <w:pPr>
        <w:rPr>
          <w:color w:val="000000" w:themeColor="text1"/>
          <w:sz w:val="22"/>
          <w:szCs w:val="22"/>
          <w:lang w:val="de-DE"/>
        </w:rPr>
      </w:pPr>
      <w:r w:rsidRPr="00D30CF7">
        <w:rPr>
          <w:color w:val="000000" w:themeColor="text1"/>
          <w:sz w:val="22"/>
          <w:szCs w:val="22"/>
          <w:lang w:val="de-DE"/>
        </w:rPr>
        <w:t>Ladeinfrastruktur sollte ausdrücklich als priorisierungsfähige Verbrauchsinfrastruktur anerkannt werden, sofern sie realisierungsreif ist und zur Erreichung gesetzlicher Ausbau-, Klima- oder Verkehrswendeziele beiträgt.</w:t>
      </w:r>
    </w:p>
    <w:tbl>
      <w:tblPr>
        <w:tblW w:w="0" w:type="auto"/>
        <w:jc w:val="center"/>
        <w:tblBorders>
          <w:top w:val="single" w:sz="4" w:space="0" w:color="D7DEE8"/>
          <w:left w:val="single" w:sz="4" w:space="0" w:color="D7DEE8"/>
          <w:bottom w:val="single" w:sz="4" w:space="0" w:color="D7DEE8"/>
          <w:right w:val="single" w:sz="4" w:space="0" w:color="D7DEE8"/>
          <w:insideH w:val="single" w:sz="4" w:space="0" w:color="D7DEE8"/>
          <w:insideV w:val="single" w:sz="4" w:space="0" w:color="D7DEE8"/>
        </w:tblBorders>
        <w:shd w:val="clear" w:color="auto" w:fill="E8E8E8" w:themeFill="background2"/>
        <w:tblLook w:val="04A0" w:firstRow="1" w:lastRow="0" w:firstColumn="1" w:lastColumn="0" w:noHBand="0" w:noVBand="1"/>
      </w:tblPr>
      <w:tblGrid>
        <w:gridCol w:w="9688"/>
      </w:tblGrid>
      <w:tr w:rsidR="00D30CF7" w:rsidRPr="00EA527C" w14:paraId="571F1DC1" w14:textId="77777777" w:rsidTr="00976B12">
        <w:trPr>
          <w:jc w:val="center"/>
        </w:trPr>
        <w:tc>
          <w:tcPr>
            <w:tcW w:w="9688" w:type="dxa"/>
            <w:shd w:val="clear" w:color="auto" w:fill="E8E8E8" w:themeFill="background2"/>
            <w:tcMar>
              <w:top w:w="100" w:type="dxa"/>
              <w:left w:w="100" w:type="dxa"/>
              <w:bottom w:w="100" w:type="dxa"/>
              <w:right w:w="100" w:type="dxa"/>
            </w:tcMar>
            <w:vAlign w:val="center"/>
          </w:tcPr>
          <w:p w14:paraId="2E99A36B" w14:textId="77777777" w:rsidR="00D30CF7" w:rsidRPr="00976B12" w:rsidRDefault="00D30CF7" w:rsidP="00926A55">
            <w:pPr>
              <w:ind w:left="57"/>
              <w:rPr>
                <w:b/>
                <w:color w:val="000000" w:themeColor="text1"/>
                <w:sz w:val="22"/>
                <w:szCs w:val="22"/>
                <w:lang w:val="de-DE"/>
              </w:rPr>
            </w:pPr>
            <w:r w:rsidRPr="00D30CF7">
              <w:rPr>
                <w:b/>
                <w:color w:val="000000" w:themeColor="text1"/>
                <w:sz w:val="22"/>
                <w:szCs w:val="22"/>
                <w:lang w:val="de-DE"/>
              </w:rPr>
              <w:t xml:space="preserve">Formulierungsvorschlag: </w:t>
            </w:r>
            <w:r w:rsidRPr="00976B12">
              <w:rPr>
                <w:b/>
                <w:color w:val="000000" w:themeColor="text1"/>
                <w:sz w:val="22"/>
                <w:szCs w:val="22"/>
                <w:lang w:val="de-DE"/>
              </w:rPr>
              <w:t>„</w:t>
            </w:r>
            <w:r w:rsidRPr="00976B12">
              <w:rPr>
                <w:bCs/>
                <w:color w:val="000000" w:themeColor="text1"/>
                <w:sz w:val="22"/>
                <w:szCs w:val="22"/>
                <w:lang w:val="de-DE"/>
              </w:rPr>
              <w:t>Bei der Priorisierung nach Absatz 1 und 2 sind insbesondere auch Netzanschlussbegehren für öffentlich zugängliche und halböffentlich zugängliche Ladeinfrastruktur zu berücksichtigen, soweit diese zur Erreichung gesetzlicher Zielvorgaben für den Ausbau der Elektromobilität beitragen und eine hinreichende Projektierungsreife aufweisen.“</w:t>
            </w:r>
          </w:p>
        </w:tc>
      </w:tr>
    </w:tbl>
    <w:p w14:paraId="5FC565CE" w14:textId="77777777" w:rsidR="00D30CF7" w:rsidRPr="00D30CF7" w:rsidRDefault="00D30CF7" w:rsidP="00D30CF7">
      <w:pPr>
        <w:rPr>
          <w:color w:val="000000" w:themeColor="text1"/>
          <w:sz w:val="22"/>
          <w:szCs w:val="22"/>
          <w:lang w:val="de-DE"/>
        </w:rPr>
      </w:pPr>
    </w:p>
    <w:p w14:paraId="32DF70DF" w14:textId="0683D680" w:rsidR="00D30CF7" w:rsidRPr="00976B12" w:rsidRDefault="00566778" w:rsidP="00D30CF7">
      <w:pPr>
        <w:pStyle w:val="Heading2"/>
        <w:rPr>
          <w:rFonts w:asciiTheme="minorHAnsi" w:hAnsiTheme="minorHAnsi"/>
          <w:b/>
          <w:bCs/>
          <w:color w:val="000000" w:themeColor="text1"/>
          <w:sz w:val="24"/>
          <w:szCs w:val="24"/>
          <w:lang w:val="de-DE"/>
        </w:rPr>
      </w:pPr>
      <w:r>
        <w:rPr>
          <w:rFonts w:asciiTheme="minorHAnsi" w:hAnsiTheme="minorHAnsi"/>
          <w:b/>
          <w:bCs/>
          <w:color w:val="000000" w:themeColor="text1"/>
          <w:sz w:val="24"/>
          <w:szCs w:val="24"/>
          <w:lang w:val="de-DE"/>
        </w:rPr>
        <w:t>4</w:t>
      </w:r>
      <w:r w:rsidR="00D30CF7" w:rsidRPr="00976B12">
        <w:rPr>
          <w:rFonts w:asciiTheme="minorHAnsi" w:hAnsiTheme="minorHAnsi"/>
          <w:b/>
          <w:bCs/>
          <w:color w:val="000000" w:themeColor="text1"/>
          <w:sz w:val="24"/>
          <w:szCs w:val="24"/>
          <w:lang w:val="de-DE"/>
        </w:rPr>
        <w:t>.3 § 17d EnWG-E: Genehmigungsfiktion für standardisierte Ladeinfrastruktur</w:t>
      </w:r>
    </w:p>
    <w:p w14:paraId="40F9D71B" w14:textId="77777777" w:rsidR="00D30CF7" w:rsidRPr="00D30CF7" w:rsidRDefault="00D30CF7" w:rsidP="00D30CF7">
      <w:pPr>
        <w:rPr>
          <w:color w:val="000000" w:themeColor="text1"/>
          <w:sz w:val="22"/>
          <w:szCs w:val="22"/>
          <w:lang w:val="de-DE"/>
        </w:rPr>
      </w:pPr>
      <w:r w:rsidRPr="00D30CF7">
        <w:rPr>
          <w:color w:val="000000" w:themeColor="text1"/>
          <w:sz w:val="22"/>
          <w:szCs w:val="22"/>
          <w:lang w:val="de-DE"/>
        </w:rPr>
        <w:t>Für standardisierte Netzanschlussbegehren von Ladeinfrastruktur in der Niederspannung bis 55 kW sollte eine Genehmigungsfiktion eingeführt werden.</w:t>
      </w:r>
    </w:p>
    <w:tbl>
      <w:tblPr>
        <w:tblW w:w="0" w:type="auto"/>
        <w:jc w:val="center"/>
        <w:tblBorders>
          <w:top w:val="single" w:sz="4" w:space="0" w:color="D7DEE8"/>
          <w:left w:val="single" w:sz="4" w:space="0" w:color="D7DEE8"/>
          <w:bottom w:val="single" w:sz="4" w:space="0" w:color="D7DEE8"/>
          <w:right w:val="single" w:sz="4" w:space="0" w:color="D7DEE8"/>
          <w:insideH w:val="single" w:sz="4" w:space="0" w:color="D7DEE8"/>
          <w:insideV w:val="single" w:sz="4" w:space="0" w:color="D7DEE8"/>
        </w:tblBorders>
        <w:tblLook w:val="04A0" w:firstRow="1" w:lastRow="0" w:firstColumn="1" w:lastColumn="0" w:noHBand="0" w:noVBand="1"/>
      </w:tblPr>
      <w:tblGrid>
        <w:gridCol w:w="9688"/>
      </w:tblGrid>
      <w:tr w:rsidR="00D30CF7" w:rsidRPr="00EA527C" w14:paraId="514E8772" w14:textId="77777777" w:rsidTr="00976B12">
        <w:trPr>
          <w:jc w:val="center"/>
        </w:trPr>
        <w:tc>
          <w:tcPr>
            <w:tcW w:w="9688" w:type="dxa"/>
            <w:shd w:val="clear" w:color="auto" w:fill="E8E8E8" w:themeFill="background2"/>
            <w:tcMar>
              <w:top w:w="100" w:type="dxa"/>
              <w:left w:w="100" w:type="dxa"/>
              <w:bottom w:w="100" w:type="dxa"/>
              <w:right w:w="100" w:type="dxa"/>
            </w:tcMar>
            <w:vAlign w:val="center"/>
          </w:tcPr>
          <w:p w14:paraId="4BBDF436" w14:textId="77777777" w:rsidR="00D30CF7" w:rsidRPr="00D30CF7" w:rsidRDefault="00D30CF7" w:rsidP="00926A55">
            <w:pPr>
              <w:ind w:left="57"/>
              <w:rPr>
                <w:color w:val="000000" w:themeColor="text1"/>
                <w:sz w:val="22"/>
                <w:szCs w:val="22"/>
                <w:lang w:val="de-DE"/>
              </w:rPr>
            </w:pPr>
            <w:r w:rsidRPr="00D30CF7">
              <w:rPr>
                <w:b/>
                <w:color w:val="000000" w:themeColor="text1"/>
                <w:sz w:val="22"/>
                <w:szCs w:val="22"/>
                <w:lang w:val="de-DE"/>
              </w:rPr>
              <w:lastRenderedPageBreak/>
              <w:t xml:space="preserve">Formulierungsvorschlag: </w:t>
            </w:r>
            <w:r w:rsidRPr="00D30CF7">
              <w:rPr>
                <w:color w:val="000000" w:themeColor="text1"/>
                <w:sz w:val="22"/>
                <w:szCs w:val="22"/>
                <w:lang w:val="de-DE"/>
              </w:rPr>
              <w:t>„Für Netzanschlussbegehren von Ladeinfrastruktur an die Niederspannung bis zu einer Anschlussleistung von 55 Kilowatt gilt der Netzanschluss als genehmigt, wenn der Betreiber des Elektrizitätsverteilernetzes nicht innerhalb von acht Wochen nach Eingang vollständiger Unterlagen schriftlich und technisch begründet widerspricht.“</w:t>
            </w:r>
          </w:p>
        </w:tc>
      </w:tr>
    </w:tbl>
    <w:p w14:paraId="4CAEF35C" w14:textId="77777777" w:rsidR="00D30CF7" w:rsidRPr="00D30CF7" w:rsidRDefault="00D30CF7" w:rsidP="00D30CF7">
      <w:pPr>
        <w:rPr>
          <w:color w:val="000000" w:themeColor="text1"/>
          <w:sz w:val="22"/>
          <w:szCs w:val="22"/>
          <w:lang w:val="de-DE"/>
        </w:rPr>
      </w:pPr>
    </w:p>
    <w:p w14:paraId="6EBAED2E" w14:textId="4CC25619" w:rsidR="00D30CF7" w:rsidRPr="00976B12" w:rsidRDefault="00566778" w:rsidP="00D30CF7">
      <w:pPr>
        <w:pStyle w:val="Heading2"/>
        <w:rPr>
          <w:rFonts w:asciiTheme="minorHAnsi" w:hAnsiTheme="minorHAnsi"/>
          <w:b/>
          <w:bCs/>
          <w:color w:val="000000" w:themeColor="text1"/>
          <w:sz w:val="24"/>
          <w:szCs w:val="24"/>
          <w:lang w:val="de-DE"/>
        </w:rPr>
      </w:pPr>
      <w:r>
        <w:rPr>
          <w:rFonts w:asciiTheme="minorHAnsi" w:hAnsiTheme="minorHAnsi"/>
          <w:b/>
          <w:bCs/>
          <w:color w:val="000000" w:themeColor="text1"/>
          <w:sz w:val="24"/>
          <w:szCs w:val="24"/>
          <w:lang w:val="de-DE"/>
        </w:rPr>
        <w:t>4</w:t>
      </w:r>
      <w:r w:rsidR="00D30CF7" w:rsidRPr="00976B12">
        <w:rPr>
          <w:rFonts w:asciiTheme="minorHAnsi" w:hAnsiTheme="minorHAnsi"/>
          <w:b/>
          <w:bCs/>
          <w:color w:val="000000" w:themeColor="text1"/>
          <w:sz w:val="24"/>
          <w:szCs w:val="24"/>
          <w:lang w:val="de-DE"/>
        </w:rPr>
        <w:t>.4 § 17e EnWG-E: Interoperable digitale Netzanschlussportale</w:t>
      </w:r>
    </w:p>
    <w:p w14:paraId="1429F8F9" w14:textId="77777777" w:rsidR="00D30CF7" w:rsidRPr="00D30CF7" w:rsidRDefault="00D30CF7" w:rsidP="00D30CF7">
      <w:pPr>
        <w:rPr>
          <w:color w:val="000000" w:themeColor="text1"/>
          <w:sz w:val="22"/>
          <w:szCs w:val="22"/>
          <w:lang w:val="de-DE"/>
        </w:rPr>
      </w:pPr>
      <w:r w:rsidRPr="00D30CF7">
        <w:rPr>
          <w:color w:val="000000" w:themeColor="text1"/>
          <w:sz w:val="22"/>
          <w:szCs w:val="22"/>
          <w:lang w:val="de-DE"/>
        </w:rPr>
        <w:t>§ 17e EnWG-E sollte sicherstellen, dass digitale Netzanschlussportale nicht nur VNB-individuell existieren, sondern interoperabel sind und professionelle Marktakteure einheitliche digitale Prozesse nutzen können.</w:t>
      </w:r>
    </w:p>
    <w:tbl>
      <w:tblPr>
        <w:tblW w:w="0" w:type="auto"/>
        <w:jc w:val="center"/>
        <w:tblBorders>
          <w:top w:val="single" w:sz="4" w:space="0" w:color="D7DEE8"/>
          <w:left w:val="single" w:sz="4" w:space="0" w:color="D7DEE8"/>
          <w:bottom w:val="single" w:sz="4" w:space="0" w:color="D7DEE8"/>
          <w:right w:val="single" w:sz="4" w:space="0" w:color="D7DEE8"/>
          <w:insideH w:val="single" w:sz="4" w:space="0" w:color="D7DEE8"/>
          <w:insideV w:val="single" w:sz="4" w:space="0" w:color="D7DEE8"/>
        </w:tblBorders>
        <w:tblLook w:val="04A0" w:firstRow="1" w:lastRow="0" w:firstColumn="1" w:lastColumn="0" w:noHBand="0" w:noVBand="1"/>
      </w:tblPr>
      <w:tblGrid>
        <w:gridCol w:w="9688"/>
      </w:tblGrid>
      <w:tr w:rsidR="00D30CF7" w:rsidRPr="00EA527C" w14:paraId="40B43EB0" w14:textId="77777777" w:rsidTr="00976B12">
        <w:trPr>
          <w:jc w:val="center"/>
        </w:trPr>
        <w:tc>
          <w:tcPr>
            <w:tcW w:w="9688" w:type="dxa"/>
            <w:shd w:val="clear" w:color="auto" w:fill="E8E8E8" w:themeFill="background2"/>
            <w:tcMar>
              <w:top w:w="100" w:type="dxa"/>
              <w:left w:w="100" w:type="dxa"/>
              <w:bottom w:w="100" w:type="dxa"/>
              <w:right w:w="100" w:type="dxa"/>
            </w:tcMar>
            <w:vAlign w:val="center"/>
          </w:tcPr>
          <w:p w14:paraId="2941144B" w14:textId="77777777" w:rsidR="00D30CF7" w:rsidRPr="00D30CF7" w:rsidRDefault="00D30CF7" w:rsidP="00926A55">
            <w:pPr>
              <w:ind w:left="57"/>
              <w:rPr>
                <w:color w:val="000000" w:themeColor="text1"/>
                <w:sz w:val="22"/>
                <w:szCs w:val="22"/>
                <w:lang w:val="de-DE"/>
              </w:rPr>
            </w:pPr>
            <w:r w:rsidRPr="00D30CF7">
              <w:rPr>
                <w:b/>
                <w:color w:val="000000" w:themeColor="text1"/>
                <w:sz w:val="22"/>
                <w:szCs w:val="22"/>
                <w:lang w:val="de-DE"/>
              </w:rPr>
              <w:t xml:space="preserve">Formulierungsvorschlag: </w:t>
            </w:r>
            <w:r w:rsidRPr="00D30CF7">
              <w:rPr>
                <w:color w:val="000000" w:themeColor="text1"/>
                <w:sz w:val="22"/>
                <w:szCs w:val="22"/>
                <w:lang w:val="de-DE"/>
              </w:rPr>
              <w:t>„Für Netzanschlussbegehren von Ladeinfrastruktur sind bundesweit einheitliche digitale Datensätze, Prozessschritte, Statusmeldungen und Schnittstellen festzulegen. Die digitalen Netzanschlussportale der Betreiber von Elektrizitätsverteilernetzen müssen interoperabel ausgestaltet sein und eine zentrale oder zentral zugängliche Abwicklung ermöglichen.“</w:t>
            </w:r>
          </w:p>
        </w:tc>
      </w:tr>
    </w:tbl>
    <w:p w14:paraId="5DD5BDAD" w14:textId="77777777" w:rsidR="00D30CF7" w:rsidRPr="00D30CF7" w:rsidRDefault="00D30CF7" w:rsidP="00D30CF7">
      <w:pPr>
        <w:rPr>
          <w:color w:val="000000" w:themeColor="text1"/>
          <w:sz w:val="22"/>
          <w:szCs w:val="22"/>
          <w:lang w:val="de-DE"/>
        </w:rPr>
      </w:pPr>
    </w:p>
    <w:p w14:paraId="6BDA8A95" w14:textId="4DAFFADB" w:rsidR="00D30CF7" w:rsidRPr="00976B12" w:rsidRDefault="00566778" w:rsidP="00D30CF7">
      <w:pPr>
        <w:pStyle w:val="Heading2"/>
        <w:rPr>
          <w:rFonts w:asciiTheme="minorHAnsi" w:hAnsiTheme="minorHAnsi"/>
          <w:b/>
          <w:bCs/>
          <w:color w:val="000000" w:themeColor="text1"/>
          <w:sz w:val="24"/>
          <w:szCs w:val="24"/>
          <w:lang w:val="de-DE"/>
        </w:rPr>
      </w:pPr>
      <w:r>
        <w:rPr>
          <w:rFonts w:asciiTheme="minorHAnsi" w:hAnsiTheme="minorHAnsi"/>
          <w:b/>
          <w:bCs/>
          <w:color w:val="000000" w:themeColor="text1"/>
          <w:sz w:val="24"/>
          <w:szCs w:val="24"/>
          <w:lang w:val="de-DE"/>
        </w:rPr>
        <w:t>4</w:t>
      </w:r>
      <w:r w:rsidR="00D30CF7" w:rsidRPr="00976B12">
        <w:rPr>
          <w:rFonts w:asciiTheme="minorHAnsi" w:hAnsiTheme="minorHAnsi"/>
          <w:b/>
          <w:bCs/>
          <w:color w:val="000000" w:themeColor="text1"/>
          <w:sz w:val="24"/>
          <w:szCs w:val="24"/>
          <w:lang w:val="de-DE"/>
        </w:rPr>
        <w:t>.5 § 17f EnWG-E: Reservierung auch unterhalb von 135 kW</w:t>
      </w:r>
    </w:p>
    <w:p w14:paraId="3A03762F" w14:textId="77777777" w:rsidR="00D30CF7" w:rsidRPr="00D30CF7" w:rsidRDefault="00D30CF7" w:rsidP="009613E7">
      <w:pPr>
        <w:jc w:val="both"/>
        <w:rPr>
          <w:color w:val="000000" w:themeColor="text1"/>
          <w:sz w:val="22"/>
          <w:szCs w:val="22"/>
          <w:lang w:val="de-DE"/>
        </w:rPr>
      </w:pPr>
      <w:r w:rsidRPr="00D30CF7">
        <w:rPr>
          <w:color w:val="000000" w:themeColor="text1"/>
          <w:sz w:val="22"/>
          <w:szCs w:val="22"/>
          <w:lang w:val="de-DE"/>
        </w:rPr>
        <w:t>Auch kleinere Ladeinfrastrukturprojekte benötigen Planungssicherheit. Eine projektfortschrittsgebundene Reservierung sollte für Ladeinfrastruktur bereits ab 11 kW möglich sein.</w:t>
      </w:r>
    </w:p>
    <w:tbl>
      <w:tblPr>
        <w:tblW w:w="0" w:type="auto"/>
        <w:jc w:val="center"/>
        <w:tblBorders>
          <w:top w:val="single" w:sz="4" w:space="0" w:color="D7DEE8"/>
          <w:left w:val="single" w:sz="4" w:space="0" w:color="D7DEE8"/>
          <w:bottom w:val="single" w:sz="4" w:space="0" w:color="D7DEE8"/>
          <w:right w:val="single" w:sz="4" w:space="0" w:color="D7DEE8"/>
          <w:insideH w:val="single" w:sz="4" w:space="0" w:color="D7DEE8"/>
          <w:insideV w:val="single" w:sz="4" w:space="0" w:color="D7DEE8"/>
        </w:tblBorders>
        <w:tblLook w:val="04A0" w:firstRow="1" w:lastRow="0" w:firstColumn="1" w:lastColumn="0" w:noHBand="0" w:noVBand="1"/>
      </w:tblPr>
      <w:tblGrid>
        <w:gridCol w:w="9688"/>
      </w:tblGrid>
      <w:tr w:rsidR="00D30CF7" w:rsidRPr="00EA527C" w14:paraId="06CA42B5" w14:textId="77777777" w:rsidTr="00976B12">
        <w:trPr>
          <w:jc w:val="center"/>
        </w:trPr>
        <w:tc>
          <w:tcPr>
            <w:tcW w:w="9688" w:type="dxa"/>
            <w:shd w:val="clear" w:color="auto" w:fill="E8E8E8" w:themeFill="background2"/>
            <w:tcMar>
              <w:top w:w="100" w:type="dxa"/>
              <w:left w:w="100" w:type="dxa"/>
              <w:bottom w:w="100" w:type="dxa"/>
              <w:right w:w="100" w:type="dxa"/>
            </w:tcMar>
            <w:vAlign w:val="center"/>
          </w:tcPr>
          <w:p w14:paraId="31D9ACE3" w14:textId="791B6AF9" w:rsidR="00D30CF7" w:rsidRPr="00D30CF7" w:rsidRDefault="00D30CF7" w:rsidP="009613E7">
            <w:pPr>
              <w:ind w:left="57"/>
              <w:jc w:val="both"/>
              <w:rPr>
                <w:color w:val="000000" w:themeColor="text1"/>
                <w:sz w:val="22"/>
                <w:szCs w:val="22"/>
                <w:lang w:val="de-DE"/>
              </w:rPr>
            </w:pPr>
            <w:r w:rsidRPr="00D30CF7">
              <w:rPr>
                <w:b/>
                <w:color w:val="000000" w:themeColor="text1"/>
                <w:sz w:val="22"/>
                <w:szCs w:val="22"/>
                <w:lang w:val="de-DE"/>
              </w:rPr>
              <w:t xml:space="preserve">Formulierungsvorschlag: </w:t>
            </w:r>
            <w:r w:rsidRPr="00D30CF7">
              <w:rPr>
                <w:color w:val="000000" w:themeColor="text1"/>
                <w:sz w:val="22"/>
                <w:szCs w:val="22"/>
                <w:lang w:val="de-DE"/>
              </w:rPr>
              <w:t>„Für Netzanschlüsse von Ladeinfrastruktur im Sinne der Ladesäulenverordnung können Reservierungen von Netzanschlusskapazität bereits ab einer Anschlussleistung von 11 Kilowatt vorgesehen werden, sofern Standortverfügbarkeit und ein Umsetzungszeitplan nachgewiesen werden.“</w:t>
            </w:r>
          </w:p>
        </w:tc>
      </w:tr>
    </w:tbl>
    <w:p w14:paraId="186DBCC0" w14:textId="77777777" w:rsidR="00D30CF7" w:rsidRDefault="00D30CF7" w:rsidP="00D30CF7">
      <w:pPr>
        <w:rPr>
          <w:color w:val="000000" w:themeColor="text1"/>
          <w:sz w:val="22"/>
          <w:szCs w:val="22"/>
          <w:lang w:val="de-DE"/>
        </w:rPr>
      </w:pPr>
    </w:p>
    <w:p w14:paraId="44CE97BA" w14:textId="77777777" w:rsidR="00765D99" w:rsidRDefault="00765D99" w:rsidP="00D30CF7">
      <w:pPr>
        <w:rPr>
          <w:color w:val="000000" w:themeColor="text1"/>
          <w:sz w:val="22"/>
          <w:szCs w:val="22"/>
          <w:lang w:val="de-DE"/>
        </w:rPr>
      </w:pPr>
    </w:p>
    <w:p w14:paraId="3A10062D" w14:textId="77777777" w:rsidR="00765D99" w:rsidRDefault="00765D99" w:rsidP="00D30CF7">
      <w:pPr>
        <w:rPr>
          <w:color w:val="000000" w:themeColor="text1"/>
          <w:sz w:val="22"/>
          <w:szCs w:val="22"/>
          <w:lang w:val="de-DE"/>
        </w:rPr>
      </w:pPr>
    </w:p>
    <w:p w14:paraId="409C5BE6" w14:textId="77777777" w:rsidR="00765D99" w:rsidRDefault="00765D99" w:rsidP="00D30CF7">
      <w:pPr>
        <w:rPr>
          <w:color w:val="000000" w:themeColor="text1"/>
          <w:sz w:val="22"/>
          <w:szCs w:val="22"/>
          <w:lang w:val="de-DE"/>
        </w:rPr>
      </w:pPr>
    </w:p>
    <w:p w14:paraId="1266FBCB" w14:textId="77777777" w:rsidR="00765D99" w:rsidRPr="00D30CF7" w:rsidRDefault="00765D99" w:rsidP="00D30CF7">
      <w:pPr>
        <w:rPr>
          <w:color w:val="000000" w:themeColor="text1"/>
          <w:sz w:val="22"/>
          <w:szCs w:val="22"/>
          <w:lang w:val="de-DE"/>
        </w:rPr>
      </w:pPr>
    </w:p>
    <w:p w14:paraId="407B2AA7" w14:textId="211BF1B1" w:rsidR="00D30CF7" w:rsidRPr="00BC6DBF" w:rsidRDefault="00566778" w:rsidP="00BC6DBF">
      <w:pPr>
        <w:shd w:val="clear" w:color="auto" w:fill="E9E575"/>
        <w:jc w:val="both"/>
        <w:rPr>
          <w:rFonts w:ascii="Aptos" w:hAnsi="Aptos"/>
          <w:b/>
          <w:bCs/>
          <w:sz w:val="28"/>
          <w:szCs w:val="28"/>
          <w:lang w:val="de-DE"/>
        </w:rPr>
      </w:pPr>
      <w:r w:rsidRPr="00BC6DBF">
        <w:rPr>
          <w:rFonts w:ascii="Aptos" w:hAnsi="Aptos"/>
          <w:b/>
          <w:bCs/>
          <w:sz w:val="28"/>
          <w:szCs w:val="28"/>
          <w:lang w:val="de-DE"/>
        </w:rPr>
        <w:lastRenderedPageBreak/>
        <w:t xml:space="preserve">5. </w:t>
      </w:r>
      <w:r w:rsidR="00BC6DBF" w:rsidRPr="00BC6DBF">
        <w:rPr>
          <w:rFonts w:ascii="Aptos" w:hAnsi="Aptos"/>
          <w:b/>
          <w:bCs/>
          <w:sz w:val="28"/>
          <w:szCs w:val="28"/>
          <w:lang w:val="de-DE"/>
        </w:rPr>
        <w:t>Schlussbemerkung</w:t>
      </w:r>
    </w:p>
    <w:p w14:paraId="6D71546A" w14:textId="77777777" w:rsidR="00BC6DBF" w:rsidRPr="00BC6DBF" w:rsidRDefault="00BC6DBF" w:rsidP="00BC6DBF">
      <w:pPr>
        <w:jc w:val="both"/>
        <w:rPr>
          <w:rFonts w:ascii="Aptos" w:hAnsi="Aptos"/>
          <w:sz w:val="22"/>
          <w:szCs w:val="22"/>
          <w:lang w:val="de-DE"/>
        </w:rPr>
      </w:pPr>
      <w:r w:rsidRPr="00BC6DBF">
        <w:rPr>
          <w:rFonts w:ascii="Aptos" w:hAnsi="Aptos"/>
          <w:sz w:val="22"/>
          <w:szCs w:val="22"/>
          <w:lang w:val="de-DE"/>
        </w:rPr>
        <w:t xml:space="preserve">Der </w:t>
      </w:r>
      <w:proofErr w:type="spellStart"/>
      <w:r w:rsidRPr="00BC6DBF">
        <w:rPr>
          <w:rFonts w:ascii="Aptos" w:hAnsi="Aptos"/>
          <w:sz w:val="22"/>
          <w:szCs w:val="22"/>
          <w:lang w:val="de-DE"/>
        </w:rPr>
        <w:t>charGER</w:t>
      </w:r>
      <w:proofErr w:type="spellEnd"/>
      <w:r w:rsidRPr="00BC6DBF">
        <w:rPr>
          <w:rFonts w:ascii="Aptos" w:hAnsi="Aptos"/>
          <w:sz w:val="22"/>
          <w:szCs w:val="22"/>
          <w:lang w:val="de-DE"/>
        </w:rPr>
        <w:t xml:space="preserve"> e.V. unterstützt die Modernisierung des Netzanschlussrechts ausdrücklich. Das Netzanschlusspaket kann einen wichtigen Beitrag leisten, um knappe Kapazitäten effizienter zu nutzen, Verfahren zu digitalisieren, Transparenz zu schaffen und Investitionssicherheit zu erhöhen. Damit dieses Ziel für den Hochlauf der Elektromobilität erreicht wird, muss der Entwurf jedoch die Niederspannung konsequent einbeziehen.</w:t>
      </w:r>
    </w:p>
    <w:p w14:paraId="2FC051E2" w14:textId="77777777" w:rsidR="00BC6DBF" w:rsidRPr="00BC6DBF" w:rsidRDefault="00BC6DBF" w:rsidP="00BC6DBF">
      <w:pPr>
        <w:jc w:val="both"/>
        <w:rPr>
          <w:rFonts w:ascii="Aptos" w:hAnsi="Aptos"/>
          <w:sz w:val="22"/>
          <w:szCs w:val="22"/>
          <w:lang w:val="de-DE"/>
        </w:rPr>
      </w:pPr>
      <w:r w:rsidRPr="00BC6DBF">
        <w:rPr>
          <w:rFonts w:ascii="Aptos" w:hAnsi="Aptos"/>
          <w:sz w:val="22"/>
          <w:szCs w:val="22"/>
          <w:lang w:val="de-DE"/>
        </w:rPr>
        <w:t>Der Markthochlauf der Ladeinfrastruktur entscheidet sich nicht allein an großen Ladeparks. Er entscheidet sich in den Verteilnetzen, in der Niederspannung, in Kommunen, Quartieren, Gewerbegebieten und an den alltäglichen Standorten der Nutzerinnen und Nutzer. Wenn das Netzanschlusspaket hier keine klaren Auskunfts-, Digitalisierungs-, Priorisierungs- und Fristenregelungen schafft, bleibt ein wesentlicher Teil der Verkehrswende von analogen und heterogenen Verfahren abhängig.</w:t>
      </w:r>
    </w:p>
    <w:p w14:paraId="3ECDF7A4" w14:textId="001209D2" w:rsidR="00BC6DBF" w:rsidRDefault="00BC6DBF" w:rsidP="00BC6DBF">
      <w:pPr>
        <w:jc w:val="both"/>
        <w:rPr>
          <w:rFonts w:ascii="Aptos" w:hAnsi="Aptos"/>
          <w:sz w:val="22"/>
          <w:szCs w:val="22"/>
          <w:lang w:val="de-DE"/>
        </w:rPr>
      </w:pPr>
      <w:r w:rsidRPr="00BC6DBF">
        <w:rPr>
          <w:rFonts w:ascii="Aptos" w:hAnsi="Aptos"/>
          <w:sz w:val="22"/>
          <w:szCs w:val="22"/>
          <w:lang w:val="de-DE"/>
        </w:rPr>
        <w:t xml:space="preserve">Der </w:t>
      </w:r>
      <w:proofErr w:type="spellStart"/>
      <w:r w:rsidRPr="00BC6DBF">
        <w:rPr>
          <w:rFonts w:ascii="Aptos" w:hAnsi="Aptos"/>
          <w:sz w:val="22"/>
          <w:szCs w:val="22"/>
          <w:lang w:val="de-DE"/>
        </w:rPr>
        <w:t>charGER</w:t>
      </w:r>
      <w:proofErr w:type="spellEnd"/>
      <w:r w:rsidRPr="00BC6DBF">
        <w:rPr>
          <w:rFonts w:ascii="Aptos" w:hAnsi="Aptos"/>
          <w:sz w:val="22"/>
          <w:szCs w:val="22"/>
          <w:lang w:val="de-DE"/>
        </w:rPr>
        <w:t xml:space="preserve"> e.V. plädiert deshalb für ein praxistaugliches, kooperatives und beschleunigungsorientiertes Digitalisierungspaket Netzanschluss Ladeinfrastruktur. Netzbetreiber benötigen realistische, sichere und standardisierte Prozesse. CPOs benötigen Transparenz, Fristen, Planbarkeit und diskriminierungsfreien Zugang. Kommunen und Bürgerinnen und Bürger benötigen Ladeinfrastruktur, die rechtzeitig dort entsteht, wo sie im Alltag gebraucht wird.</w:t>
      </w:r>
    </w:p>
    <w:p w14:paraId="7AC4176D" w14:textId="77777777" w:rsidR="004B6B98" w:rsidRPr="001D4FBF" w:rsidRDefault="004B6B98" w:rsidP="00BC6DBF">
      <w:pPr>
        <w:jc w:val="both"/>
        <w:rPr>
          <w:rFonts w:ascii="Aptos" w:hAnsi="Aptos"/>
          <w:b/>
          <w:bCs/>
          <w:sz w:val="22"/>
          <w:szCs w:val="22"/>
          <w:lang w:val="de-DE"/>
        </w:rPr>
      </w:pPr>
    </w:p>
    <w:p w14:paraId="05FAEB39" w14:textId="2AC45D80" w:rsidR="0000590F" w:rsidRDefault="0000590F" w:rsidP="00EA11C8">
      <w:pPr>
        <w:jc w:val="center"/>
        <w:rPr>
          <w:rFonts w:ascii="Aptos" w:hAnsi="Aptos"/>
          <w:b/>
          <w:bCs/>
          <w:lang w:val="de-DE"/>
        </w:rPr>
      </w:pPr>
      <w:r w:rsidRPr="001D4FBF">
        <w:rPr>
          <w:rFonts w:ascii="Aptos" w:hAnsi="Aptos"/>
          <w:b/>
          <w:bCs/>
          <w:lang w:val="de-DE"/>
        </w:rPr>
        <w:t>+++ ENDE STELLUNGNAHME +++</w:t>
      </w:r>
    </w:p>
    <w:p w14:paraId="074E2439" w14:textId="5BD061FE" w:rsidR="00191846" w:rsidRDefault="00191846">
      <w:pPr>
        <w:rPr>
          <w:rFonts w:ascii="Aptos" w:hAnsi="Aptos"/>
          <w:b/>
          <w:bCs/>
          <w:lang w:val="de-DE"/>
        </w:rPr>
      </w:pPr>
      <w:r>
        <w:rPr>
          <w:rFonts w:ascii="Aptos" w:hAnsi="Aptos"/>
          <w:b/>
          <w:bCs/>
          <w:lang w:val="de-DE"/>
        </w:rPr>
        <w:br w:type="page"/>
      </w:r>
    </w:p>
    <w:p w14:paraId="644C2B75" w14:textId="77777777" w:rsidR="00191846" w:rsidRPr="001D4FBF" w:rsidRDefault="00191846" w:rsidP="00EA11C8">
      <w:pPr>
        <w:jc w:val="center"/>
        <w:rPr>
          <w:rFonts w:ascii="Aptos" w:hAnsi="Aptos"/>
          <w:b/>
          <w:bCs/>
          <w:lang w:val="de-DE"/>
        </w:rPr>
      </w:pPr>
    </w:p>
    <w:p w14:paraId="2732E33C" w14:textId="09EC7844" w:rsidR="00EA11C8" w:rsidRDefault="001D4FBF" w:rsidP="00EA11C8">
      <w:pPr>
        <w:jc w:val="center"/>
        <w:rPr>
          <w:rFonts w:ascii="Aptos" w:hAnsi="Aptos"/>
          <w:b/>
          <w:bCs/>
          <w:smallCaps/>
          <w:sz w:val="22"/>
          <w:szCs w:val="22"/>
          <w:lang w:val="de-DE"/>
        </w:rPr>
      </w:pPr>
      <w:r>
        <w:rPr>
          <w:rFonts w:ascii="Aptos" w:hAnsi="Aptos"/>
          <w:b/>
          <w:bCs/>
          <w:smallCaps/>
          <w:noProof/>
          <w:sz w:val="22"/>
          <w:szCs w:val="22"/>
          <w:lang w:val="de-DE"/>
        </w:rPr>
        <mc:AlternateContent>
          <mc:Choice Requires="wps">
            <w:drawing>
              <wp:anchor distT="0" distB="0" distL="114300" distR="114300" simplePos="0" relativeHeight="251659264" behindDoc="0" locked="0" layoutInCell="1" allowOverlap="1" wp14:anchorId="55A5D79E" wp14:editId="6083A2CB">
                <wp:simplePos x="0" y="0"/>
                <wp:positionH relativeFrom="column">
                  <wp:posOffset>-12065</wp:posOffset>
                </wp:positionH>
                <wp:positionV relativeFrom="paragraph">
                  <wp:posOffset>141605</wp:posOffset>
                </wp:positionV>
                <wp:extent cx="240030" cy="0"/>
                <wp:effectExtent l="0" t="19050" r="45720" b="38100"/>
                <wp:wrapNone/>
                <wp:docPr id="695397812" name="Straight Connector 1"/>
                <wp:cNvGraphicFramePr/>
                <a:graphic xmlns:a="http://schemas.openxmlformats.org/drawingml/2006/main">
                  <a:graphicData uri="http://schemas.microsoft.com/office/word/2010/wordprocessingShape">
                    <wps:wsp>
                      <wps:cNvCnPr/>
                      <wps:spPr>
                        <a:xfrm flipV="1">
                          <a:off x="0" y="0"/>
                          <a:ext cx="240030" cy="0"/>
                        </a:xfrm>
                        <a:prstGeom prst="line">
                          <a:avLst/>
                        </a:prstGeom>
                        <a:ln w="57150">
                          <a:solidFill>
                            <a:srgbClr val="E9E57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75B6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1.15pt" to="17.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" strokecolor="#e9e575" strokeweight="4.5pt">
                <v:stroke joinstyle="miter"/>
              </v:line>
            </w:pict>
          </mc:Fallback>
        </mc:AlternateContent>
      </w:r>
    </w:p>
    <w:p w14:paraId="19388EFA" w14:textId="71028D1D" w:rsidR="001658D6" w:rsidRPr="00F56B2F" w:rsidRDefault="001658D6" w:rsidP="00F56B2F">
      <w:pPr>
        <w:jc w:val="both"/>
        <w:rPr>
          <w:rFonts w:ascii="Aptos" w:hAnsi="Aptos"/>
          <w:sz w:val="22"/>
          <w:szCs w:val="22"/>
          <w:lang w:val="de-DE"/>
        </w:rPr>
      </w:pPr>
      <w:proofErr w:type="spellStart"/>
      <w:r w:rsidRPr="00F56B2F">
        <w:rPr>
          <w:rFonts w:ascii="Aptos" w:hAnsi="Aptos"/>
          <w:sz w:val="22"/>
          <w:szCs w:val="22"/>
          <w:lang w:val="de-DE"/>
        </w:rPr>
        <w:t>charGER</w:t>
      </w:r>
      <w:proofErr w:type="spellEnd"/>
      <w:r w:rsidRPr="00F56B2F">
        <w:rPr>
          <w:rFonts w:ascii="Aptos" w:hAnsi="Aptos"/>
          <w:sz w:val="22"/>
          <w:szCs w:val="22"/>
          <w:lang w:val="de-DE"/>
        </w:rPr>
        <w:t xml:space="preserve"> e.V. bringt sich aktiv in die laufende Verbändebeteiligung zum </w:t>
      </w:r>
      <w:r w:rsidR="0094203C" w:rsidRPr="00F56B2F">
        <w:rPr>
          <w:rFonts w:ascii="Aptos" w:hAnsi="Aptos"/>
          <w:sz w:val="22"/>
          <w:szCs w:val="22"/>
          <w:lang w:val="de-DE"/>
        </w:rPr>
        <w:t xml:space="preserve">Netzanschlusspaket </w:t>
      </w:r>
      <w:r w:rsidRPr="00F56B2F">
        <w:rPr>
          <w:rFonts w:ascii="Aptos" w:hAnsi="Aptos"/>
          <w:sz w:val="22"/>
          <w:szCs w:val="22"/>
          <w:lang w:val="de-DE"/>
        </w:rPr>
        <w:t>ein. Ziel ist es, die Interessen unserer Mitglieder einzubringen und die Weiterentwicklung einer zukunftsfähigen Ladeinfrastruktur in Deutschland mitzugestalten</w:t>
      </w:r>
      <w:r w:rsidR="0094203C" w:rsidRPr="00F56B2F">
        <w:rPr>
          <w:rFonts w:ascii="Aptos" w:hAnsi="Aptos"/>
          <w:sz w:val="22"/>
          <w:szCs w:val="22"/>
          <w:lang w:val="de-DE"/>
        </w:rPr>
        <w:t xml:space="preserve"> bei gleichzeitigem Abwägen des </w:t>
      </w:r>
      <w:proofErr w:type="spellStart"/>
      <w:r w:rsidR="0094203C" w:rsidRPr="00F56B2F">
        <w:rPr>
          <w:rFonts w:ascii="Aptos" w:hAnsi="Aptos"/>
          <w:sz w:val="22"/>
          <w:szCs w:val="22"/>
          <w:lang w:val="de-DE"/>
        </w:rPr>
        <w:t>kritisichen</w:t>
      </w:r>
      <w:proofErr w:type="spellEnd"/>
      <w:r w:rsidR="0094203C" w:rsidRPr="00F56B2F">
        <w:rPr>
          <w:rFonts w:ascii="Aptos" w:hAnsi="Aptos"/>
          <w:sz w:val="22"/>
          <w:szCs w:val="22"/>
          <w:lang w:val="de-DE"/>
        </w:rPr>
        <w:t xml:space="preserve"> Ausbaus an Netz- und Netzanschlusskapazitäten.</w:t>
      </w:r>
    </w:p>
    <w:p w14:paraId="39714A2C" w14:textId="20F781DB" w:rsidR="00F56B2F" w:rsidRPr="00F56B2F" w:rsidRDefault="00F56B2F" w:rsidP="00F56B2F">
      <w:pPr>
        <w:jc w:val="both"/>
        <w:rPr>
          <w:rFonts w:ascii="Aptos" w:hAnsi="Aptos"/>
          <w:sz w:val="22"/>
          <w:szCs w:val="22"/>
          <w:lang w:val="de-DE"/>
        </w:rPr>
      </w:pPr>
      <w:proofErr w:type="spellStart"/>
      <w:r w:rsidRPr="00F56B2F">
        <w:rPr>
          <w:rFonts w:ascii="Aptos" w:hAnsi="Aptos"/>
          <w:sz w:val="22"/>
          <w:szCs w:val="22"/>
          <w:lang w:val="de-DE"/>
        </w:rPr>
        <w:t>charGER</w:t>
      </w:r>
      <w:proofErr w:type="spellEnd"/>
      <w:r w:rsidRPr="00F56B2F">
        <w:rPr>
          <w:rFonts w:ascii="Aptos" w:hAnsi="Aptos"/>
          <w:sz w:val="22"/>
          <w:szCs w:val="22"/>
          <w:lang w:val="de-DE"/>
        </w:rPr>
        <w:t xml:space="preserve"> e.V. wurde 2025 in München gegründet und vereint Unternehmen, die öffentliche Ladeinfrastruktur entwickeln, betreiben oder digital steuern. Der Verband bringt die Perspektive der Betreiberpraxis in politische und regulatorische Prozesse ein – mit dem Ziel, Verfahren zu beschleunigen, faire Marktbedingungen zu schaffen und den Ausbau der Ladeinfrastruktur in Deutschland nutzerorientiert voranzubringen.</w:t>
      </w:r>
    </w:p>
    <w:p w14:paraId="33BEFF7A" w14:textId="12EA861C" w:rsidR="008D0A3A" w:rsidRDefault="00CE7238" w:rsidP="001D4FBF">
      <w:pPr>
        <w:jc w:val="both"/>
        <w:rPr>
          <w:rFonts w:ascii="Aptos" w:hAnsi="Aptos"/>
          <w:lang w:val="de-DE"/>
        </w:rPr>
      </w:pPr>
      <w:proofErr w:type="spellStart"/>
      <w:r w:rsidRPr="00F56B2F">
        <w:rPr>
          <w:rFonts w:ascii="Aptos" w:hAnsi="Aptos"/>
          <w:sz w:val="22"/>
          <w:szCs w:val="22"/>
          <w:lang w:val="de-DE"/>
        </w:rPr>
        <w:t>charGER</w:t>
      </w:r>
      <w:proofErr w:type="spellEnd"/>
      <w:r w:rsidRPr="00F56B2F">
        <w:rPr>
          <w:rFonts w:ascii="Aptos" w:hAnsi="Aptos"/>
          <w:sz w:val="22"/>
          <w:szCs w:val="22"/>
          <w:lang w:val="de-DE"/>
        </w:rPr>
        <w:t xml:space="preserve"> e.V. ist im Lobbyregister für die Interessenvertretung gegenüber dem Deutschen Bundestag und der Bundesregierung eingetragen. Bei der Interessenvertretung legt er neben dem anerkannten Verhaltenskodex nach § 5 Absatz 3 Satz 1 </w:t>
      </w:r>
      <w:proofErr w:type="spellStart"/>
      <w:r w:rsidRPr="00F56B2F">
        <w:rPr>
          <w:rFonts w:ascii="Aptos" w:hAnsi="Aptos"/>
          <w:sz w:val="22"/>
          <w:szCs w:val="22"/>
          <w:lang w:val="de-DE"/>
        </w:rPr>
        <w:t>LobbyRG</w:t>
      </w:r>
      <w:proofErr w:type="spellEnd"/>
      <w:r w:rsidRPr="00F56B2F">
        <w:rPr>
          <w:rFonts w:ascii="Aptos" w:hAnsi="Aptos"/>
          <w:sz w:val="22"/>
          <w:szCs w:val="22"/>
          <w:lang w:val="de-DE"/>
        </w:rPr>
        <w:t>,</w:t>
      </w:r>
      <w:r w:rsidR="00064DAB">
        <w:rPr>
          <w:rFonts w:ascii="Aptos" w:hAnsi="Aptos"/>
          <w:sz w:val="22"/>
          <w:szCs w:val="22"/>
          <w:lang w:val="de-DE"/>
        </w:rPr>
        <w:t xml:space="preserve"> </w:t>
      </w:r>
      <w:r w:rsidRPr="00F56B2F">
        <w:rPr>
          <w:rFonts w:ascii="Aptos" w:hAnsi="Aptos"/>
          <w:sz w:val="22"/>
          <w:szCs w:val="22"/>
          <w:lang w:val="de-DE"/>
        </w:rPr>
        <w:t xml:space="preserve">auch zusätzlich die </w:t>
      </w:r>
      <w:proofErr w:type="spellStart"/>
      <w:r w:rsidR="00064DAB">
        <w:rPr>
          <w:rFonts w:ascii="Aptos" w:hAnsi="Aptos"/>
          <w:sz w:val="22"/>
          <w:szCs w:val="22"/>
          <w:lang w:val="de-DE"/>
        </w:rPr>
        <w:t>charGER</w:t>
      </w:r>
      <w:proofErr w:type="spellEnd"/>
      <w:r w:rsidRPr="00F56B2F">
        <w:rPr>
          <w:rFonts w:ascii="Aptos" w:hAnsi="Aptos"/>
          <w:sz w:val="22"/>
          <w:szCs w:val="22"/>
          <w:lang w:val="de-DE"/>
        </w:rPr>
        <w:t>-interne</w:t>
      </w:r>
      <w:r w:rsidR="00064DAB">
        <w:rPr>
          <w:rFonts w:ascii="Aptos" w:hAnsi="Aptos"/>
          <w:sz w:val="22"/>
          <w:szCs w:val="22"/>
          <w:lang w:val="de-DE"/>
        </w:rPr>
        <w:t>n</w:t>
      </w:r>
      <w:r w:rsidRPr="00F56B2F">
        <w:rPr>
          <w:rFonts w:ascii="Aptos" w:hAnsi="Aptos"/>
          <w:sz w:val="22"/>
          <w:szCs w:val="22"/>
          <w:lang w:val="de-DE"/>
        </w:rPr>
        <w:t xml:space="preserve"> </w:t>
      </w:r>
      <w:r w:rsidR="00064DAB">
        <w:rPr>
          <w:rFonts w:ascii="Aptos" w:hAnsi="Aptos"/>
          <w:sz w:val="22"/>
          <w:szCs w:val="22"/>
          <w:lang w:val="de-DE"/>
        </w:rPr>
        <w:t xml:space="preserve">Regelungen </w:t>
      </w:r>
      <w:r w:rsidRPr="00F56B2F">
        <w:rPr>
          <w:rFonts w:ascii="Aptos" w:hAnsi="Aptos"/>
          <w:sz w:val="22"/>
          <w:szCs w:val="22"/>
          <w:lang w:val="de-DE"/>
        </w:rPr>
        <w:t xml:space="preserve">im </w:t>
      </w:r>
      <w:proofErr w:type="gramStart"/>
      <w:r w:rsidRPr="00F56B2F">
        <w:rPr>
          <w:rFonts w:ascii="Aptos" w:hAnsi="Aptos"/>
          <w:sz w:val="22"/>
          <w:szCs w:val="22"/>
          <w:lang w:val="de-DE"/>
        </w:rPr>
        <w:t xml:space="preserve">Sinne </w:t>
      </w:r>
      <w:r w:rsidR="00064DAB">
        <w:rPr>
          <w:rFonts w:ascii="Aptos" w:hAnsi="Aptos"/>
          <w:sz w:val="22"/>
          <w:szCs w:val="22"/>
          <w:lang w:val="de-DE"/>
        </w:rPr>
        <w:t xml:space="preserve"> </w:t>
      </w:r>
      <w:r w:rsidRPr="00F56B2F">
        <w:rPr>
          <w:rFonts w:ascii="Aptos" w:hAnsi="Aptos"/>
          <w:sz w:val="22"/>
          <w:szCs w:val="22"/>
          <w:lang w:val="de-DE"/>
        </w:rPr>
        <w:t>einer</w:t>
      </w:r>
      <w:proofErr w:type="gramEnd"/>
      <w:r w:rsidRPr="00F56B2F">
        <w:rPr>
          <w:rFonts w:ascii="Aptos" w:hAnsi="Aptos"/>
          <w:sz w:val="22"/>
          <w:szCs w:val="22"/>
          <w:lang w:val="de-DE"/>
        </w:rPr>
        <w:t xml:space="preserve"> professionellen und transparenten Tätigkeit zugrunde. </w:t>
      </w:r>
      <w:r w:rsidR="008D0A3A" w:rsidRPr="000724DD">
        <w:rPr>
          <w:rFonts w:ascii="Aptos" w:hAnsi="Aptos"/>
          <w:b/>
          <w:bCs/>
          <w:sz w:val="22"/>
          <w:szCs w:val="22"/>
          <w:lang w:val="de-DE"/>
        </w:rPr>
        <w:t>Lobbyregisternummer</w:t>
      </w:r>
      <w:r w:rsidRPr="000724DD">
        <w:rPr>
          <w:rFonts w:ascii="Aptos" w:hAnsi="Aptos"/>
          <w:b/>
          <w:bCs/>
          <w:sz w:val="22"/>
          <w:szCs w:val="22"/>
          <w:lang w:val="de-DE"/>
        </w:rPr>
        <w:t xml:space="preserve">: </w:t>
      </w:r>
      <w:r w:rsidR="00EA527C" w:rsidRPr="00EA527C">
        <w:rPr>
          <w:rFonts w:ascii="Aptos" w:hAnsi="Aptos"/>
          <w:b/>
          <w:bCs/>
          <w:sz w:val="22"/>
          <w:szCs w:val="22"/>
          <w:lang w:val="de-DE"/>
        </w:rPr>
        <w:t>R007983</w:t>
      </w:r>
      <w:r w:rsidRPr="000724DD">
        <w:rPr>
          <w:rFonts w:ascii="Aptos" w:hAnsi="Aptos"/>
          <w:b/>
          <w:bCs/>
          <w:lang w:val="de-DE"/>
        </w:rPr>
        <w:t>.</w:t>
      </w:r>
    </w:p>
    <w:sectPr w:rsidR="008D0A3A" w:rsidSect="00372568">
      <w:headerReference w:type="default" r:id="rId15"/>
      <w:footerReference w:type="default" r:id="rId16"/>
      <w:headerReference w:type="first" r:id="rId17"/>
      <w:footerReference w:type="first" r:id="rId18"/>
      <w:pgSz w:w="12240" w:h="15840"/>
      <w:pgMar w:top="1418" w:right="119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9B961" w14:textId="77777777" w:rsidR="009429AA" w:rsidRDefault="009429AA" w:rsidP="004E1B5E">
      <w:pPr>
        <w:spacing w:after="0" w:line="240" w:lineRule="auto"/>
      </w:pPr>
      <w:r>
        <w:separator/>
      </w:r>
    </w:p>
  </w:endnote>
  <w:endnote w:type="continuationSeparator" w:id="0">
    <w:p w14:paraId="7F2D0701" w14:textId="77777777" w:rsidR="009429AA" w:rsidRDefault="009429AA" w:rsidP="004E1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A808" w14:textId="4FE39F1D" w:rsidR="004E1B5E" w:rsidRDefault="004E1B5E" w:rsidP="004E1B5E">
    <w:pPr>
      <w:pStyle w:val="Footer"/>
      <w:jc w:val="center"/>
      <w:rPr>
        <w:sz w:val="16"/>
        <w:szCs w:val="16"/>
        <w:lang w:val="de-DE"/>
      </w:rPr>
    </w:pPr>
  </w:p>
  <w:p w14:paraId="64C2A472" w14:textId="12B2E732" w:rsidR="004E1B5E" w:rsidRDefault="004E1B5E" w:rsidP="00EB6926">
    <w:pPr>
      <w:pStyle w:val="Footer"/>
      <w:jc w:val="center"/>
      <w:rPr>
        <w:sz w:val="16"/>
        <w:szCs w:val="16"/>
        <w:lang w:val="de-DE"/>
      </w:rPr>
    </w:pPr>
    <w:r>
      <w:rPr>
        <w:b/>
        <w:bCs/>
        <w:sz w:val="16"/>
        <w:szCs w:val="16"/>
        <w:lang w:val="de-DE"/>
      </w:rPr>
      <w:br/>
    </w:r>
    <w:proofErr w:type="spellStart"/>
    <w:r w:rsidRPr="004E1B5E">
      <w:rPr>
        <w:b/>
        <w:bCs/>
        <w:sz w:val="16"/>
        <w:szCs w:val="16"/>
        <w:lang w:val="de-DE"/>
      </w:rPr>
      <w:t>charGER</w:t>
    </w:r>
    <w:proofErr w:type="spellEnd"/>
    <w:r w:rsidRPr="004E1B5E">
      <w:rPr>
        <w:b/>
        <w:bCs/>
        <w:sz w:val="16"/>
        <w:szCs w:val="16"/>
        <w:lang w:val="de-DE"/>
      </w:rPr>
      <w:t xml:space="preserve"> e.V</w:t>
    </w:r>
    <w:r w:rsidRPr="00EB6926">
      <w:rPr>
        <w:b/>
        <w:bCs/>
        <w:sz w:val="16"/>
        <w:szCs w:val="16"/>
        <w:lang w:val="de-DE"/>
      </w:rPr>
      <w:t xml:space="preserve">.  | </w:t>
    </w:r>
    <w:r w:rsidR="00EB6926" w:rsidRPr="00EB6926">
      <w:rPr>
        <w:b/>
        <w:bCs/>
        <w:sz w:val="16"/>
        <w:szCs w:val="16"/>
        <w:lang w:val="de-DE"/>
      </w:rPr>
      <w:t>Ladeinfrastruktur für Deutschland</w:t>
    </w:r>
    <w:r w:rsidR="00EB6926" w:rsidRPr="00EB6926">
      <w:rPr>
        <w:b/>
        <w:bCs/>
        <w:sz w:val="16"/>
        <w:szCs w:val="16"/>
        <w:lang w:val="de-DE"/>
      </w:rPr>
      <w:br/>
    </w:r>
    <w:r w:rsidR="00EB6926" w:rsidRPr="00EB6926">
      <w:rPr>
        <w:sz w:val="16"/>
        <w:szCs w:val="16"/>
        <w:lang w:val="de-DE"/>
      </w:rPr>
      <w:t>Saarbrücker Straße 24, Haus B</w:t>
    </w:r>
    <w:r w:rsidR="00EB6926">
      <w:rPr>
        <w:sz w:val="16"/>
        <w:szCs w:val="16"/>
        <w:lang w:val="de-DE"/>
      </w:rPr>
      <w:t xml:space="preserve">, </w:t>
    </w:r>
    <w:r w:rsidR="00EB6926" w:rsidRPr="00EB6926">
      <w:rPr>
        <w:sz w:val="16"/>
        <w:szCs w:val="16"/>
        <w:lang w:val="de-DE"/>
      </w:rPr>
      <w:t>10405 Berlin</w:t>
    </w:r>
  </w:p>
  <w:p w14:paraId="442D5083" w14:textId="74F20D3A" w:rsidR="004E1B5E" w:rsidRPr="004E1B5E" w:rsidRDefault="00A9609C" w:rsidP="004E1B5E">
    <w:pPr>
      <w:pStyle w:val="Footer"/>
      <w:jc w:val="center"/>
      <w:rPr>
        <w:b/>
        <w:bCs/>
        <w:sz w:val="16"/>
        <w:szCs w:val="16"/>
        <w:lang w:val="de-DE"/>
      </w:rPr>
    </w:pPr>
    <w:r w:rsidRPr="00A9609C">
      <w:rPr>
        <w:sz w:val="16"/>
        <w:szCs w:val="16"/>
        <w:lang w:val="de-DE"/>
      </w:rPr>
      <w:t>https://www.charger-verband.de</w:t>
    </w:r>
    <w:r>
      <w:rPr>
        <w:b/>
        <w:bCs/>
        <w:sz w:val="16"/>
        <w:szCs w:val="16"/>
        <w:lang w:val="de-DE"/>
      </w:rPr>
      <w:br/>
    </w:r>
    <w:r w:rsidR="004E1B5E" w:rsidRPr="004E1B5E">
      <w:rPr>
        <w:b/>
        <w:bCs/>
        <w:sz w:val="16"/>
        <w:szCs w:val="16"/>
        <w:lang w:val="de-DE"/>
      </w:rPr>
      <w:t xml:space="preserve">Seite </w:t>
    </w:r>
    <w:r w:rsidR="004E1B5E" w:rsidRPr="004E1B5E">
      <w:rPr>
        <w:b/>
        <w:bCs/>
        <w:sz w:val="16"/>
        <w:szCs w:val="16"/>
        <w:lang w:val="de-DE"/>
      </w:rPr>
      <w:fldChar w:fldCharType="begin"/>
    </w:r>
    <w:r w:rsidR="004E1B5E" w:rsidRPr="004E1B5E">
      <w:rPr>
        <w:b/>
        <w:bCs/>
        <w:sz w:val="16"/>
        <w:szCs w:val="16"/>
        <w:lang w:val="de-DE"/>
      </w:rPr>
      <w:instrText xml:space="preserve"> PAGE   \* MERGEFORMAT </w:instrText>
    </w:r>
    <w:r w:rsidR="004E1B5E" w:rsidRPr="004E1B5E">
      <w:rPr>
        <w:b/>
        <w:bCs/>
        <w:sz w:val="16"/>
        <w:szCs w:val="16"/>
        <w:lang w:val="de-DE"/>
      </w:rPr>
      <w:fldChar w:fldCharType="separate"/>
    </w:r>
    <w:r w:rsidR="004E1B5E" w:rsidRPr="004E1B5E">
      <w:rPr>
        <w:b/>
        <w:bCs/>
        <w:sz w:val="16"/>
        <w:szCs w:val="16"/>
        <w:lang w:val="de-DE"/>
      </w:rPr>
      <w:t>1</w:t>
    </w:r>
    <w:r w:rsidR="004E1B5E" w:rsidRPr="004E1B5E">
      <w:rPr>
        <w:b/>
        <w:bCs/>
        <w:noProof/>
        <w:sz w:val="16"/>
        <w:szCs w:val="16"/>
        <w:lang w:val="de-DE"/>
      </w:rPr>
      <w:fldChar w:fldCharType="end"/>
    </w:r>
    <w:r w:rsidR="004E1B5E" w:rsidRPr="004E1B5E">
      <w:rPr>
        <w:b/>
        <w:bCs/>
        <w:noProof/>
        <w:sz w:val="16"/>
        <w:szCs w:val="16"/>
        <w:lang w:val="de-DE"/>
      </w:rPr>
      <w:t xml:space="preserve"> </w:t>
    </w:r>
    <w:r w:rsidR="004E1B5E" w:rsidRPr="004E1B5E">
      <w:rPr>
        <w:b/>
        <w:bCs/>
        <w:sz w:val="16"/>
        <w:szCs w:val="16"/>
        <w:lang w:val="de-DE"/>
      </w:rPr>
      <w:t xml:space="preserve">von </w:t>
    </w:r>
    <w:r w:rsidR="004E1B5E" w:rsidRPr="004E1B5E">
      <w:rPr>
        <w:b/>
        <w:bCs/>
        <w:sz w:val="16"/>
        <w:szCs w:val="16"/>
        <w:lang w:val="de-DE"/>
      </w:rPr>
      <w:fldChar w:fldCharType="begin"/>
    </w:r>
    <w:r w:rsidR="004E1B5E" w:rsidRPr="004E1B5E">
      <w:rPr>
        <w:b/>
        <w:bCs/>
        <w:sz w:val="16"/>
        <w:szCs w:val="16"/>
        <w:lang w:val="de-DE"/>
      </w:rPr>
      <w:instrText xml:space="preserve"> NUMPAGES   \* MERGEFORMAT </w:instrText>
    </w:r>
    <w:r w:rsidR="004E1B5E" w:rsidRPr="004E1B5E">
      <w:rPr>
        <w:b/>
        <w:bCs/>
        <w:sz w:val="16"/>
        <w:szCs w:val="16"/>
        <w:lang w:val="de-DE"/>
      </w:rPr>
      <w:fldChar w:fldCharType="separate"/>
    </w:r>
    <w:r w:rsidR="004E1B5E" w:rsidRPr="004E1B5E">
      <w:rPr>
        <w:b/>
        <w:bCs/>
        <w:noProof/>
        <w:sz w:val="16"/>
        <w:szCs w:val="16"/>
        <w:lang w:val="de-DE"/>
      </w:rPr>
      <w:t>1</w:t>
    </w:r>
    <w:r w:rsidR="004E1B5E" w:rsidRPr="004E1B5E">
      <w:rPr>
        <w:b/>
        <w:bCs/>
        <w:sz w:val="16"/>
        <w:szCs w:val="16"/>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1A26" w14:textId="77777777" w:rsidR="00372568" w:rsidRDefault="00372568" w:rsidP="00372568">
    <w:pPr>
      <w:pStyle w:val="Footer"/>
      <w:jc w:val="center"/>
      <w:rPr>
        <w:b/>
        <w:bCs/>
        <w:sz w:val="16"/>
        <w:szCs w:val="16"/>
        <w:lang w:val="de-DE"/>
      </w:rPr>
    </w:pPr>
  </w:p>
  <w:p w14:paraId="275824AB" w14:textId="77777777" w:rsidR="00372568" w:rsidRDefault="00372568" w:rsidP="00372568">
    <w:pPr>
      <w:pStyle w:val="Footer"/>
      <w:jc w:val="center"/>
      <w:rPr>
        <w:b/>
        <w:bCs/>
        <w:sz w:val="16"/>
        <w:szCs w:val="16"/>
        <w:lang w:val="de-DE"/>
      </w:rPr>
    </w:pPr>
  </w:p>
  <w:p w14:paraId="52509088" w14:textId="566CCF43" w:rsidR="00372568" w:rsidRDefault="00372568" w:rsidP="00372568">
    <w:pPr>
      <w:pStyle w:val="Footer"/>
      <w:jc w:val="center"/>
      <w:rPr>
        <w:sz w:val="16"/>
        <w:szCs w:val="16"/>
        <w:lang w:val="de-DE"/>
      </w:rPr>
    </w:pPr>
    <w:proofErr w:type="spellStart"/>
    <w:r w:rsidRPr="004E1B5E">
      <w:rPr>
        <w:b/>
        <w:bCs/>
        <w:sz w:val="16"/>
        <w:szCs w:val="16"/>
        <w:lang w:val="de-DE"/>
      </w:rPr>
      <w:t>charGER</w:t>
    </w:r>
    <w:proofErr w:type="spellEnd"/>
    <w:r w:rsidRPr="004E1B5E">
      <w:rPr>
        <w:b/>
        <w:bCs/>
        <w:sz w:val="16"/>
        <w:szCs w:val="16"/>
        <w:lang w:val="de-DE"/>
      </w:rPr>
      <w:t xml:space="preserve"> e.V</w:t>
    </w:r>
    <w:r w:rsidRPr="00EB6926">
      <w:rPr>
        <w:b/>
        <w:bCs/>
        <w:sz w:val="16"/>
        <w:szCs w:val="16"/>
        <w:lang w:val="de-DE"/>
      </w:rPr>
      <w:t>.  | Ladeinfrastruktur für Deutschland</w:t>
    </w:r>
    <w:r w:rsidRPr="00EB6926">
      <w:rPr>
        <w:b/>
        <w:bCs/>
        <w:sz w:val="16"/>
        <w:szCs w:val="16"/>
        <w:lang w:val="de-DE"/>
      </w:rPr>
      <w:br/>
    </w:r>
    <w:r w:rsidRPr="00EB6926">
      <w:rPr>
        <w:sz w:val="16"/>
        <w:szCs w:val="16"/>
        <w:lang w:val="de-DE"/>
      </w:rPr>
      <w:t>Saarbrücker Straße 24, Haus B</w:t>
    </w:r>
    <w:r>
      <w:rPr>
        <w:sz w:val="16"/>
        <w:szCs w:val="16"/>
        <w:lang w:val="de-DE"/>
      </w:rPr>
      <w:t xml:space="preserve">, </w:t>
    </w:r>
    <w:r w:rsidRPr="00EB6926">
      <w:rPr>
        <w:sz w:val="16"/>
        <w:szCs w:val="16"/>
        <w:lang w:val="de-DE"/>
      </w:rPr>
      <w:t>10405 Berlin</w:t>
    </w:r>
  </w:p>
  <w:p w14:paraId="09772034" w14:textId="01940413" w:rsidR="00372568" w:rsidRPr="00372568" w:rsidRDefault="00372568" w:rsidP="00372568">
    <w:pPr>
      <w:pStyle w:val="Footer"/>
      <w:jc w:val="center"/>
      <w:rPr>
        <w:b/>
        <w:bCs/>
        <w:sz w:val="16"/>
        <w:szCs w:val="16"/>
        <w:lang w:val="de-DE"/>
      </w:rPr>
    </w:pPr>
    <w:r w:rsidRPr="00A9609C">
      <w:rPr>
        <w:sz w:val="16"/>
        <w:szCs w:val="16"/>
        <w:lang w:val="de-DE"/>
      </w:rPr>
      <w:t>https://www.charger-verband.de</w:t>
    </w:r>
    <w:r>
      <w:rPr>
        <w:b/>
        <w:bCs/>
        <w:sz w:val="16"/>
        <w:szCs w:val="16"/>
        <w:lang w:val="de-DE"/>
      </w:rPr>
      <w:br/>
    </w:r>
    <w:r w:rsidRPr="004E1B5E">
      <w:rPr>
        <w:b/>
        <w:bCs/>
        <w:sz w:val="16"/>
        <w:szCs w:val="16"/>
        <w:lang w:val="de-DE"/>
      </w:rPr>
      <w:t xml:space="preserve">Seite </w:t>
    </w:r>
    <w:r w:rsidRPr="004E1B5E">
      <w:rPr>
        <w:b/>
        <w:bCs/>
        <w:sz w:val="16"/>
        <w:szCs w:val="16"/>
        <w:lang w:val="de-DE"/>
      </w:rPr>
      <w:fldChar w:fldCharType="begin"/>
    </w:r>
    <w:r w:rsidRPr="004E1B5E">
      <w:rPr>
        <w:b/>
        <w:bCs/>
        <w:sz w:val="16"/>
        <w:szCs w:val="16"/>
        <w:lang w:val="de-DE"/>
      </w:rPr>
      <w:instrText xml:space="preserve"> PAGE   \* MERGEFORMAT </w:instrText>
    </w:r>
    <w:r w:rsidRPr="004E1B5E">
      <w:rPr>
        <w:b/>
        <w:bCs/>
        <w:sz w:val="16"/>
        <w:szCs w:val="16"/>
        <w:lang w:val="de-DE"/>
      </w:rPr>
      <w:fldChar w:fldCharType="separate"/>
    </w:r>
    <w:r>
      <w:rPr>
        <w:b/>
        <w:bCs/>
        <w:sz w:val="16"/>
        <w:szCs w:val="16"/>
        <w:lang w:val="de-DE"/>
      </w:rPr>
      <w:t>2</w:t>
    </w:r>
    <w:r w:rsidRPr="004E1B5E">
      <w:rPr>
        <w:b/>
        <w:bCs/>
        <w:noProof/>
        <w:sz w:val="16"/>
        <w:szCs w:val="16"/>
        <w:lang w:val="de-DE"/>
      </w:rPr>
      <w:fldChar w:fldCharType="end"/>
    </w:r>
    <w:r w:rsidRPr="004E1B5E">
      <w:rPr>
        <w:b/>
        <w:bCs/>
        <w:noProof/>
        <w:sz w:val="16"/>
        <w:szCs w:val="16"/>
        <w:lang w:val="de-DE"/>
      </w:rPr>
      <w:t xml:space="preserve"> </w:t>
    </w:r>
    <w:r w:rsidRPr="004E1B5E">
      <w:rPr>
        <w:b/>
        <w:bCs/>
        <w:sz w:val="16"/>
        <w:szCs w:val="16"/>
        <w:lang w:val="de-DE"/>
      </w:rPr>
      <w:t xml:space="preserve">von </w:t>
    </w:r>
    <w:r w:rsidRPr="004E1B5E">
      <w:rPr>
        <w:b/>
        <w:bCs/>
        <w:sz w:val="16"/>
        <w:szCs w:val="16"/>
        <w:lang w:val="de-DE"/>
      </w:rPr>
      <w:fldChar w:fldCharType="begin"/>
    </w:r>
    <w:r w:rsidRPr="004E1B5E">
      <w:rPr>
        <w:b/>
        <w:bCs/>
        <w:sz w:val="16"/>
        <w:szCs w:val="16"/>
        <w:lang w:val="de-DE"/>
      </w:rPr>
      <w:instrText xml:space="preserve"> NUMPAGES   \* MERGEFORMAT </w:instrText>
    </w:r>
    <w:r w:rsidRPr="004E1B5E">
      <w:rPr>
        <w:b/>
        <w:bCs/>
        <w:sz w:val="16"/>
        <w:szCs w:val="16"/>
        <w:lang w:val="de-DE"/>
      </w:rPr>
      <w:fldChar w:fldCharType="separate"/>
    </w:r>
    <w:r>
      <w:rPr>
        <w:b/>
        <w:bCs/>
        <w:sz w:val="16"/>
        <w:szCs w:val="16"/>
        <w:lang w:val="de-DE"/>
      </w:rPr>
      <w:t>2</w:t>
    </w:r>
    <w:r w:rsidRPr="004E1B5E">
      <w:rPr>
        <w:b/>
        <w:bCs/>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B14EC" w14:textId="77777777" w:rsidR="009429AA" w:rsidRDefault="009429AA" w:rsidP="004E1B5E">
      <w:pPr>
        <w:spacing w:after="0" w:line="240" w:lineRule="auto"/>
      </w:pPr>
      <w:r>
        <w:separator/>
      </w:r>
    </w:p>
  </w:footnote>
  <w:footnote w:type="continuationSeparator" w:id="0">
    <w:p w14:paraId="00C7DF19" w14:textId="77777777" w:rsidR="009429AA" w:rsidRDefault="009429AA" w:rsidP="004E1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0963" w14:textId="34C7F9CC" w:rsidR="00E06E36" w:rsidRDefault="005E4CBC" w:rsidP="00E06E36">
    <w:pPr>
      <w:pStyle w:val="NormalWeb"/>
    </w:pPr>
    <w:r w:rsidRPr="005E4CBC">
      <w:rPr>
        <w:noProof/>
      </w:rPr>
      <w:drawing>
        <wp:anchor distT="0" distB="0" distL="114300" distR="114300" simplePos="0" relativeHeight="251658240" behindDoc="0" locked="0" layoutInCell="1" allowOverlap="1" wp14:anchorId="6E0A0F16" wp14:editId="0F2E7905">
          <wp:simplePos x="0" y="0"/>
          <wp:positionH relativeFrom="column">
            <wp:posOffset>5223510</wp:posOffset>
          </wp:positionH>
          <wp:positionV relativeFrom="paragraph">
            <wp:posOffset>113665</wp:posOffset>
          </wp:positionV>
          <wp:extent cx="1104900" cy="664384"/>
          <wp:effectExtent l="0" t="0" r="0" b="2540"/>
          <wp:wrapNone/>
          <wp:docPr id="2144944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13045" name=""/>
                  <pic:cNvPicPr/>
                </pic:nvPicPr>
                <pic:blipFill>
                  <a:blip r:embed="rId1">
                    <a:extLst>
                      <a:ext uri="{28A0092B-C50C-407E-A947-70E740481C1C}">
                        <a14:useLocalDpi xmlns:a14="http://schemas.microsoft.com/office/drawing/2010/main" val="0"/>
                      </a:ext>
                    </a:extLst>
                  </a:blip>
                  <a:stretch>
                    <a:fillRect/>
                  </a:stretch>
                </pic:blipFill>
                <pic:spPr>
                  <a:xfrm>
                    <a:off x="0" y="0"/>
                    <a:ext cx="1104900" cy="664384"/>
                  </a:xfrm>
                  <a:prstGeom prst="rect">
                    <a:avLst/>
                  </a:prstGeom>
                </pic:spPr>
              </pic:pic>
            </a:graphicData>
          </a:graphic>
          <wp14:sizeRelH relativeFrom="page">
            <wp14:pctWidth>0</wp14:pctWidth>
          </wp14:sizeRelH>
          <wp14:sizeRelV relativeFrom="page">
            <wp14:pctHeight>0</wp14:pctHeight>
          </wp14:sizeRelV>
        </wp:anchor>
      </w:drawing>
    </w:r>
  </w:p>
  <w:p w14:paraId="0ABF4E91" w14:textId="35B32610" w:rsidR="004E1B5E" w:rsidRDefault="004E1B5E">
    <w:pPr>
      <w:pStyle w:val="Header"/>
    </w:pPr>
  </w:p>
  <w:p w14:paraId="70656CD7" w14:textId="03FB2893" w:rsidR="004E1B5E" w:rsidRPr="00372568" w:rsidRDefault="00372568">
    <w:pPr>
      <w:pStyle w:val="Header"/>
      <w:rPr>
        <w:sz w:val="16"/>
        <w:szCs w:val="16"/>
        <w:lang w:val="de-DE"/>
      </w:rPr>
    </w:pPr>
    <w:r w:rsidRPr="00372568">
      <w:rPr>
        <w:sz w:val="16"/>
        <w:szCs w:val="16"/>
        <w:lang w:val="de-DE"/>
      </w:rPr>
      <w:t xml:space="preserve">Stellungnahme </w:t>
    </w:r>
    <w:proofErr w:type="spellStart"/>
    <w:r w:rsidRPr="00372568">
      <w:rPr>
        <w:sz w:val="16"/>
        <w:szCs w:val="16"/>
        <w:lang w:val="de-DE"/>
      </w:rPr>
      <w:t>i.R.d</w:t>
    </w:r>
    <w:proofErr w:type="spellEnd"/>
    <w:r w:rsidRPr="00372568">
      <w:rPr>
        <w:sz w:val="16"/>
        <w:szCs w:val="16"/>
        <w:lang w:val="de-DE"/>
      </w:rPr>
      <w:t>. Verbändeanhörung zum “Netzanschlusspaket”</w:t>
    </w:r>
  </w:p>
  <w:tbl>
    <w:tblPr>
      <w:tblW w:w="0" w:type="auto"/>
      <w:tblLayout w:type="fixed"/>
      <w:tblLook w:val="06A0" w:firstRow="1" w:lastRow="0" w:firstColumn="1" w:lastColumn="0" w:noHBand="1" w:noVBand="1"/>
    </w:tblPr>
    <w:tblGrid>
      <w:gridCol w:w="3020"/>
      <w:gridCol w:w="3020"/>
      <w:gridCol w:w="3020"/>
      <w:gridCol w:w="3020"/>
    </w:tblGrid>
    <w:tr w:rsidR="00E06E36" w:rsidRPr="00EA527C" w14:paraId="0B96D230" w14:textId="1EF2FAF8" w:rsidTr="00E06E36">
      <w:trPr>
        <w:trHeight w:val="300"/>
      </w:trPr>
      <w:tc>
        <w:tcPr>
          <w:tcW w:w="3020" w:type="dxa"/>
        </w:tcPr>
        <w:p w14:paraId="7CFA9480" w14:textId="77777777" w:rsidR="00E06E36" w:rsidRPr="00372568" w:rsidRDefault="00E06E36" w:rsidP="00F46DD2">
          <w:pPr>
            <w:pStyle w:val="Header"/>
            <w:ind w:left="-115"/>
            <w:rPr>
              <w:lang w:val="de-DE"/>
            </w:rPr>
          </w:pPr>
        </w:p>
      </w:tc>
      <w:tc>
        <w:tcPr>
          <w:tcW w:w="3020" w:type="dxa"/>
        </w:tcPr>
        <w:p w14:paraId="341FDB53" w14:textId="4231F95D" w:rsidR="00E06E36" w:rsidRPr="00372568" w:rsidRDefault="00E06E36" w:rsidP="00F46DD2">
          <w:pPr>
            <w:pStyle w:val="Header"/>
            <w:jc w:val="center"/>
            <w:rPr>
              <w:lang w:val="de-DE"/>
            </w:rPr>
          </w:pPr>
        </w:p>
      </w:tc>
      <w:tc>
        <w:tcPr>
          <w:tcW w:w="3020" w:type="dxa"/>
        </w:tcPr>
        <w:p w14:paraId="452DDD7D" w14:textId="3FB25181" w:rsidR="00E06E36" w:rsidRPr="00372568" w:rsidRDefault="00E06E36" w:rsidP="00F46DD2">
          <w:pPr>
            <w:pStyle w:val="Header"/>
            <w:ind w:right="-115"/>
            <w:jc w:val="right"/>
            <w:rPr>
              <w:lang w:val="de-DE"/>
            </w:rPr>
          </w:pPr>
        </w:p>
      </w:tc>
      <w:tc>
        <w:tcPr>
          <w:tcW w:w="3020" w:type="dxa"/>
        </w:tcPr>
        <w:p w14:paraId="6A92B064" w14:textId="2A31F254" w:rsidR="00E06E36" w:rsidRPr="00372568" w:rsidRDefault="00E06E36" w:rsidP="00F46DD2">
          <w:pPr>
            <w:pStyle w:val="Header"/>
            <w:ind w:right="-115"/>
            <w:jc w:val="right"/>
            <w:rPr>
              <w:lang w:val="de-DE"/>
            </w:rPr>
          </w:pPr>
        </w:p>
      </w:tc>
    </w:tr>
  </w:tbl>
  <w:p w14:paraId="620930EA" w14:textId="6B0832BC" w:rsidR="004E1B5E" w:rsidRPr="00372568" w:rsidRDefault="004E1B5E">
    <w:pPr>
      <w:pStyle w:val="Header"/>
      <w:rPr>
        <w:lang w:val="de-DE"/>
      </w:rPr>
    </w:pPr>
  </w:p>
  <w:p w14:paraId="35157078" w14:textId="77777777" w:rsidR="00A927FB" w:rsidRPr="00372568" w:rsidRDefault="00A927FB">
    <w:pPr>
      <w:pStyle w:val="Header"/>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23D6" w14:textId="77777777" w:rsidR="00D72E4B" w:rsidRDefault="00D72E4B">
    <w:pPr>
      <w:pStyle w:val="Header"/>
    </w:pPr>
  </w:p>
  <w:p w14:paraId="2FF27D39" w14:textId="77777777" w:rsidR="00D72E4B" w:rsidRDefault="00D72E4B">
    <w:pPr>
      <w:pStyle w:val="Header"/>
    </w:pPr>
  </w:p>
  <w:p w14:paraId="14A38119" w14:textId="27BD85E0" w:rsidR="00372568" w:rsidRDefault="00372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0AB"/>
    <w:multiLevelType w:val="hybridMultilevel"/>
    <w:tmpl w:val="BCEC2C7A"/>
    <w:lvl w:ilvl="0" w:tplc="BBC02EE4">
      <w:numFmt w:val="bullet"/>
      <w:lvlText w:val="•"/>
      <w:lvlJc w:val="left"/>
      <w:pPr>
        <w:ind w:left="2896" w:hanging="720"/>
      </w:pPr>
      <w:rPr>
        <w:rFonts w:ascii="Segoe UI" w:eastAsia="Times New Roman" w:hAnsi="Segoe UI" w:cs="Segoe U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15:restartNumberingAfterBreak="0">
    <w:nsid w:val="074B741D"/>
    <w:multiLevelType w:val="hybridMultilevel"/>
    <w:tmpl w:val="7146FB00"/>
    <w:lvl w:ilvl="0" w:tplc="BBC02EE4">
      <w:numFmt w:val="bullet"/>
      <w:lvlText w:val="•"/>
      <w:lvlJc w:val="left"/>
      <w:pPr>
        <w:ind w:left="2476" w:hanging="720"/>
      </w:pPr>
      <w:rPr>
        <w:rFonts w:ascii="Segoe UI" w:eastAsia="Times New Roman" w:hAnsi="Segoe UI" w:cs="Segoe UI" w:hint="default"/>
      </w:rPr>
    </w:lvl>
    <w:lvl w:ilvl="1" w:tplc="04090003" w:tentative="1">
      <w:start w:val="1"/>
      <w:numFmt w:val="bullet"/>
      <w:lvlText w:val="o"/>
      <w:lvlJc w:val="left"/>
      <w:pPr>
        <w:ind w:left="2836" w:hanging="360"/>
      </w:pPr>
      <w:rPr>
        <w:rFonts w:ascii="Courier New" w:hAnsi="Courier New" w:cs="Courier New" w:hint="default"/>
      </w:rPr>
    </w:lvl>
    <w:lvl w:ilvl="2" w:tplc="04090005" w:tentative="1">
      <w:start w:val="1"/>
      <w:numFmt w:val="bullet"/>
      <w:lvlText w:val=""/>
      <w:lvlJc w:val="left"/>
      <w:pPr>
        <w:ind w:left="3556" w:hanging="360"/>
      </w:pPr>
      <w:rPr>
        <w:rFonts w:ascii="Wingdings" w:hAnsi="Wingdings" w:hint="default"/>
      </w:rPr>
    </w:lvl>
    <w:lvl w:ilvl="3" w:tplc="04090001" w:tentative="1">
      <w:start w:val="1"/>
      <w:numFmt w:val="bullet"/>
      <w:lvlText w:val=""/>
      <w:lvlJc w:val="left"/>
      <w:pPr>
        <w:ind w:left="4276" w:hanging="360"/>
      </w:pPr>
      <w:rPr>
        <w:rFonts w:ascii="Symbol" w:hAnsi="Symbol" w:hint="default"/>
      </w:rPr>
    </w:lvl>
    <w:lvl w:ilvl="4" w:tplc="04090003" w:tentative="1">
      <w:start w:val="1"/>
      <w:numFmt w:val="bullet"/>
      <w:lvlText w:val="o"/>
      <w:lvlJc w:val="left"/>
      <w:pPr>
        <w:ind w:left="4996" w:hanging="360"/>
      </w:pPr>
      <w:rPr>
        <w:rFonts w:ascii="Courier New" w:hAnsi="Courier New" w:cs="Courier New" w:hint="default"/>
      </w:rPr>
    </w:lvl>
    <w:lvl w:ilvl="5" w:tplc="04090005" w:tentative="1">
      <w:start w:val="1"/>
      <w:numFmt w:val="bullet"/>
      <w:lvlText w:val=""/>
      <w:lvlJc w:val="left"/>
      <w:pPr>
        <w:ind w:left="5716" w:hanging="360"/>
      </w:pPr>
      <w:rPr>
        <w:rFonts w:ascii="Wingdings" w:hAnsi="Wingdings" w:hint="default"/>
      </w:rPr>
    </w:lvl>
    <w:lvl w:ilvl="6" w:tplc="04090001" w:tentative="1">
      <w:start w:val="1"/>
      <w:numFmt w:val="bullet"/>
      <w:lvlText w:val=""/>
      <w:lvlJc w:val="left"/>
      <w:pPr>
        <w:ind w:left="6436" w:hanging="360"/>
      </w:pPr>
      <w:rPr>
        <w:rFonts w:ascii="Symbol" w:hAnsi="Symbol" w:hint="default"/>
      </w:rPr>
    </w:lvl>
    <w:lvl w:ilvl="7" w:tplc="04090003" w:tentative="1">
      <w:start w:val="1"/>
      <w:numFmt w:val="bullet"/>
      <w:lvlText w:val="o"/>
      <w:lvlJc w:val="left"/>
      <w:pPr>
        <w:ind w:left="7156" w:hanging="360"/>
      </w:pPr>
      <w:rPr>
        <w:rFonts w:ascii="Courier New" w:hAnsi="Courier New" w:cs="Courier New" w:hint="default"/>
      </w:rPr>
    </w:lvl>
    <w:lvl w:ilvl="8" w:tplc="04090005" w:tentative="1">
      <w:start w:val="1"/>
      <w:numFmt w:val="bullet"/>
      <w:lvlText w:val=""/>
      <w:lvlJc w:val="left"/>
      <w:pPr>
        <w:ind w:left="7876" w:hanging="360"/>
      </w:pPr>
      <w:rPr>
        <w:rFonts w:ascii="Wingdings" w:hAnsi="Wingdings" w:hint="default"/>
      </w:rPr>
    </w:lvl>
  </w:abstractNum>
  <w:abstractNum w:abstractNumId="2" w15:restartNumberingAfterBreak="0">
    <w:nsid w:val="09F658C5"/>
    <w:multiLevelType w:val="hybridMultilevel"/>
    <w:tmpl w:val="AD1A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C4F39"/>
    <w:multiLevelType w:val="multilevel"/>
    <w:tmpl w:val="E7C2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3573B"/>
    <w:multiLevelType w:val="hybridMultilevel"/>
    <w:tmpl w:val="6E321224"/>
    <w:lvl w:ilvl="0" w:tplc="8D349A60">
      <w:start w:val="1"/>
      <w:numFmt w:val="decimal"/>
      <w:lvlText w:val="%1)"/>
      <w:lvlJc w:val="left"/>
      <w:pPr>
        <w:ind w:left="1080" w:hanging="360"/>
      </w:pPr>
      <w:rPr>
        <w:rFonts w:hint="default"/>
      </w:rPr>
    </w:lvl>
    <w:lvl w:ilvl="1" w:tplc="44221BFC">
      <w:start w:val="1"/>
      <w:numFmt w:val="lowerLetter"/>
      <w:lvlText w:val="%2)"/>
      <w:lvlJc w:val="left"/>
      <w:pPr>
        <w:ind w:left="1800" w:hanging="360"/>
      </w:pPr>
      <w:rPr>
        <w:rFonts w:asciiTheme="minorHAnsi" w:eastAsiaTheme="minorHAnsi" w:hAnsiTheme="minorHAnsi"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256816"/>
    <w:multiLevelType w:val="hybridMultilevel"/>
    <w:tmpl w:val="B20E6E4C"/>
    <w:lvl w:ilvl="0" w:tplc="BBC02EE4">
      <w:numFmt w:val="bullet"/>
      <w:lvlText w:val="•"/>
      <w:lvlJc w:val="left"/>
      <w:pPr>
        <w:ind w:left="2896" w:hanging="720"/>
      </w:pPr>
      <w:rPr>
        <w:rFonts w:ascii="Segoe UI" w:eastAsia="Times New Roman" w:hAnsi="Segoe UI" w:cs="Segoe U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1630630A"/>
    <w:multiLevelType w:val="hybridMultilevel"/>
    <w:tmpl w:val="C630D7F0"/>
    <w:lvl w:ilvl="0" w:tplc="BBC02EE4">
      <w:numFmt w:val="bullet"/>
      <w:lvlText w:val="•"/>
      <w:lvlJc w:val="left"/>
      <w:pPr>
        <w:ind w:left="2476"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F3C96"/>
    <w:multiLevelType w:val="hybridMultilevel"/>
    <w:tmpl w:val="FDF2AF3E"/>
    <w:lvl w:ilvl="0" w:tplc="BBC02EE4">
      <w:numFmt w:val="bullet"/>
      <w:lvlText w:val="•"/>
      <w:lvlJc w:val="left"/>
      <w:pPr>
        <w:ind w:left="2836" w:hanging="720"/>
      </w:pPr>
      <w:rPr>
        <w:rFonts w:ascii="Segoe UI" w:eastAsia="Times New Roman"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321E8A"/>
    <w:multiLevelType w:val="hybridMultilevel"/>
    <w:tmpl w:val="8C481364"/>
    <w:lvl w:ilvl="0" w:tplc="BBC02EE4">
      <w:numFmt w:val="bullet"/>
      <w:lvlText w:val="•"/>
      <w:lvlJc w:val="left"/>
      <w:pPr>
        <w:ind w:left="2896" w:hanging="720"/>
      </w:pPr>
      <w:rPr>
        <w:rFonts w:ascii="Segoe UI" w:eastAsia="Times New Roman" w:hAnsi="Segoe UI" w:cs="Segoe U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2B85430E"/>
    <w:multiLevelType w:val="hybridMultilevel"/>
    <w:tmpl w:val="42FC0F0A"/>
    <w:lvl w:ilvl="0" w:tplc="BBC02EE4">
      <w:numFmt w:val="bullet"/>
      <w:lvlText w:val="•"/>
      <w:lvlJc w:val="left"/>
      <w:pPr>
        <w:ind w:left="2896" w:hanging="720"/>
      </w:pPr>
      <w:rPr>
        <w:rFonts w:ascii="Segoe UI" w:eastAsia="Times New Roman" w:hAnsi="Segoe UI" w:cs="Segoe U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2C4750DC"/>
    <w:multiLevelType w:val="hybridMultilevel"/>
    <w:tmpl w:val="93A47FBA"/>
    <w:lvl w:ilvl="0" w:tplc="BBC02EE4">
      <w:numFmt w:val="bullet"/>
      <w:lvlText w:val="•"/>
      <w:lvlJc w:val="left"/>
      <w:pPr>
        <w:ind w:left="2476"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64524A"/>
    <w:multiLevelType w:val="hybridMultilevel"/>
    <w:tmpl w:val="4306A74A"/>
    <w:lvl w:ilvl="0" w:tplc="BBC02EE4">
      <w:numFmt w:val="bullet"/>
      <w:lvlText w:val="•"/>
      <w:lvlJc w:val="left"/>
      <w:pPr>
        <w:ind w:left="2896" w:hanging="720"/>
      </w:pPr>
      <w:rPr>
        <w:rFonts w:ascii="Segoe UI" w:eastAsia="Times New Roman" w:hAnsi="Segoe UI" w:cs="Segoe U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15:restartNumberingAfterBreak="0">
    <w:nsid w:val="2FE820FA"/>
    <w:multiLevelType w:val="hybridMultilevel"/>
    <w:tmpl w:val="87C07586"/>
    <w:lvl w:ilvl="0" w:tplc="BBC02EE4">
      <w:numFmt w:val="bullet"/>
      <w:lvlText w:val="•"/>
      <w:lvlJc w:val="left"/>
      <w:pPr>
        <w:ind w:left="2476"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C021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C43362"/>
    <w:multiLevelType w:val="hybridMultilevel"/>
    <w:tmpl w:val="06926646"/>
    <w:lvl w:ilvl="0" w:tplc="BBC02EE4">
      <w:numFmt w:val="bullet"/>
      <w:lvlText w:val="•"/>
      <w:lvlJc w:val="left"/>
      <w:pPr>
        <w:ind w:left="2896" w:hanging="720"/>
      </w:pPr>
      <w:rPr>
        <w:rFonts w:ascii="Segoe UI" w:eastAsia="Times New Roman" w:hAnsi="Segoe UI" w:cs="Segoe U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15:restartNumberingAfterBreak="0">
    <w:nsid w:val="37B73984"/>
    <w:multiLevelType w:val="hybridMultilevel"/>
    <w:tmpl w:val="6BBEC0AC"/>
    <w:lvl w:ilvl="0" w:tplc="BBC02EE4">
      <w:numFmt w:val="bullet"/>
      <w:lvlText w:val="•"/>
      <w:lvlJc w:val="left"/>
      <w:pPr>
        <w:ind w:left="2896" w:hanging="720"/>
      </w:pPr>
      <w:rPr>
        <w:rFonts w:ascii="Segoe UI" w:eastAsia="Times New Roman" w:hAnsi="Segoe UI" w:cs="Segoe U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3D4E2A12"/>
    <w:multiLevelType w:val="hybridMultilevel"/>
    <w:tmpl w:val="70E6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2D644D"/>
    <w:multiLevelType w:val="hybridMultilevel"/>
    <w:tmpl w:val="4322FB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2F49D1"/>
    <w:multiLevelType w:val="hybridMultilevel"/>
    <w:tmpl w:val="1A023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6D50D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343691"/>
    <w:multiLevelType w:val="hybridMultilevel"/>
    <w:tmpl w:val="4B0452C4"/>
    <w:lvl w:ilvl="0" w:tplc="BBC02EE4">
      <w:numFmt w:val="bullet"/>
      <w:lvlText w:val="•"/>
      <w:lvlJc w:val="left"/>
      <w:pPr>
        <w:ind w:left="2896" w:hanging="720"/>
      </w:pPr>
      <w:rPr>
        <w:rFonts w:ascii="Segoe UI" w:eastAsia="Times New Roman" w:hAnsi="Segoe UI" w:cs="Segoe U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15:restartNumberingAfterBreak="0">
    <w:nsid w:val="4C9522DF"/>
    <w:multiLevelType w:val="hybridMultilevel"/>
    <w:tmpl w:val="D8F23AA8"/>
    <w:lvl w:ilvl="0" w:tplc="6FF47E04">
      <w:start w:val="2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93450B"/>
    <w:multiLevelType w:val="hybridMultilevel"/>
    <w:tmpl w:val="DAD235BA"/>
    <w:lvl w:ilvl="0" w:tplc="BBC02EE4">
      <w:numFmt w:val="bullet"/>
      <w:lvlText w:val="•"/>
      <w:lvlJc w:val="left"/>
      <w:pPr>
        <w:ind w:left="2476"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8C090E"/>
    <w:multiLevelType w:val="hybridMultilevel"/>
    <w:tmpl w:val="8ADA7892"/>
    <w:lvl w:ilvl="0" w:tplc="989C32C2">
      <w:start w:val="2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E44AB3"/>
    <w:multiLevelType w:val="hybridMultilevel"/>
    <w:tmpl w:val="06F07D46"/>
    <w:lvl w:ilvl="0" w:tplc="C92AFB22">
      <w:start w:val="1"/>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466786"/>
    <w:multiLevelType w:val="hybridMultilevel"/>
    <w:tmpl w:val="EBCA5B4E"/>
    <w:lvl w:ilvl="0" w:tplc="BBC02EE4">
      <w:numFmt w:val="bullet"/>
      <w:lvlText w:val="•"/>
      <w:lvlJc w:val="left"/>
      <w:pPr>
        <w:ind w:left="3018" w:hanging="720"/>
      </w:pPr>
      <w:rPr>
        <w:rFonts w:ascii="Segoe UI" w:eastAsia="Times New Roman" w:hAnsi="Segoe UI" w:cs="Segoe UI" w:hint="default"/>
      </w:rPr>
    </w:lvl>
    <w:lvl w:ilvl="1" w:tplc="04090003">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26" w15:restartNumberingAfterBreak="0">
    <w:nsid w:val="61747B4B"/>
    <w:multiLevelType w:val="hybridMultilevel"/>
    <w:tmpl w:val="38A4734A"/>
    <w:lvl w:ilvl="0" w:tplc="838E5E12">
      <w:start w:val="23"/>
      <w:numFmt w:val="bullet"/>
      <w:lvlText w:val="-"/>
      <w:lvlJc w:val="left"/>
      <w:pPr>
        <w:ind w:left="1128" w:hanging="360"/>
      </w:pPr>
      <w:rPr>
        <w:rFonts w:ascii="Aptos" w:eastAsiaTheme="minorHAnsi" w:hAnsi="Aptos" w:cstheme="minorBidi"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7" w15:restartNumberingAfterBreak="0">
    <w:nsid w:val="6CE7254D"/>
    <w:multiLevelType w:val="hybridMultilevel"/>
    <w:tmpl w:val="74AE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62B4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B18CA1"/>
    <w:multiLevelType w:val="hybridMultilevel"/>
    <w:tmpl w:val="2C8448AE"/>
    <w:lvl w:ilvl="0" w:tplc="8FA4F742">
      <w:start w:val="1"/>
      <w:numFmt w:val="upperLetter"/>
      <w:lvlText w:val="%1)"/>
      <w:lvlJc w:val="left"/>
      <w:pPr>
        <w:ind w:left="720" w:hanging="360"/>
      </w:pPr>
    </w:lvl>
    <w:lvl w:ilvl="1" w:tplc="637ABA34">
      <w:start w:val="1"/>
      <w:numFmt w:val="lowerLetter"/>
      <w:lvlText w:val="%2."/>
      <w:lvlJc w:val="left"/>
      <w:pPr>
        <w:ind w:left="1440" w:hanging="360"/>
      </w:pPr>
    </w:lvl>
    <w:lvl w:ilvl="2" w:tplc="DDBE7FCA">
      <w:start w:val="1"/>
      <w:numFmt w:val="lowerRoman"/>
      <w:lvlText w:val="%3."/>
      <w:lvlJc w:val="right"/>
      <w:pPr>
        <w:ind w:left="2160" w:hanging="180"/>
      </w:pPr>
    </w:lvl>
    <w:lvl w:ilvl="3" w:tplc="0708223C">
      <w:start w:val="1"/>
      <w:numFmt w:val="decimal"/>
      <w:lvlText w:val="%4."/>
      <w:lvlJc w:val="left"/>
      <w:pPr>
        <w:ind w:left="2880" w:hanging="360"/>
      </w:pPr>
    </w:lvl>
    <w:lvl w:ilvl="4" w:tplc="DEB8DE98">
      <w:start w:val="1"/>
      <w:numFmt w:val="lowerLetter"/>
      <w:lvlText w:val="%5."/>
      <w:lvlJc w:val="left"/>
      <w:pPr>
        <w:ind w:left="3600" w:hanging="360"/>
      </w:pPr>
    </w:lvl>
    <w:lvl w:ilvl="5" w:tplc="FDD0BE04">
      <w:start w:val="1"/>
      <w:numFmt w:val="lowerRoman"/>
      <w:lvlText w:val="%6."/>
      <w:lvlJc w:val="right"/>
      <w:pPr>
        <w:ind w:left="4320" w:hanging="180"/>
      </w:pPr>
    </w:lvl>
    <w:lvl w:ilvl="6" w:tplc="140A1766">
      <w:start w:val="1"/>
      <w:numFmt w:val="decimal"/>
      <w:lvlText w:val="%7."/>
      <w:lvlJc w:val="left"/>
      <w:pPr>
        <w:ind w:left="5040" w:hanging="360"/>
      </w:pPr>
    </w:lvl>
    <w:lvl w:ilvl="7" w:tplc="FB84BD84">
      <w:start w:val="1"/>
      <w:numFmt w:val="lowerLetter"/>
      <w:lvlText w:val="%8."/>
      <w:lvlJc w:val="left"/>
      <w:pPr>
        <w:ind w:left="5760" w:hanging="360"/>
      </w:pPr>
    </w:lvl>
    <w:lvl w:ilvl="8" w:tplc="FC700C42">
      <w:start w:val="1"/>
      <w:numFmt w:val="lowerRoman"/>
      <w:lvlText w:val="%9."/>
      <w:lvlJc w:val="right"/>
      <w:pPr>
        <w:ind w:left="6480" w:hanging="180"/>
      </w:pPr>
    </w:lvl>
  </w:abstractNum>
  <w:abstractNum w:abstractNumId="30" w15:restartNumberingAfterBreak="0">
    <w:nsid w:val="7F193BED"/>
    <w:multiLevelType w:val="hybridMultilevel"/>
    <w:tmpl w:val="54BADA64"/>
    <w:lvl w:ilvl="0" w:tplc="BBC02EE4">
      <w:numFmt w:val="bullet"/>
      <w:lvlText w:val="•"/>
      <w:lvlJc w:val="left"/>
      <w:pPr>
        <w:ind w:left="2896" w:hanging="720"/>
      </w:pPr>
      <w:rPr>
        <w:rFonts w:ascii="Segoe UI" w:eastAsia="Times New Roman" w:hAnsi="Segoe UI" w:cs="Segoe UI"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211115130">
    <w:abstractNumId w:val="29"/>
  </w:num>
  <w:num w:numId="2" w16cid:durableId="1690373118">
    <w:abstractNumId w:val="21"/>
  </w:num>
  <w:num w:numId="3" w16cid:durableId="776485142">
    <w:abstractNumId w:val="23"/>
  </w:num>
  <w:num w:numId="4" w16cid:durableId="2061631649">
    <w:abstractNumId w:val="26"/>
  </w:num>
  <w:num w:numId="5" w16cid:durableId="1486580526">
    <w:abstractNumId w:val="18"/>
  </w:num>
  <w:num w:numId="6" w16cid:durableId="751050581">
    <w:abstractNumId w:val="17"/>
  </w:num>
  <w:num w:numId="7" w16cid:durableId="319042815">
    <w:abstractNumId w:val="4"/>
  </w:num>
  <w:num w:numId="8" w16cid:durableId="1992100959">
    <w:abstractNumId w:val="16"/>
  </w:num>
  <w:num w:numId="9" w16cid:durableId="1472400073">
    <w:abstractNumId w:val="24"/>
  </w:num>
  <w:num w:numId="10" w16cid:durableId="1773813885">
    <w:abstractNumId w:val="19"/>
  </w:num>
  <w:num w:numId="11" w16cid:durableId="1487163723">
    <w:abstractNumId w:val="27"/>
  </w:num>
  <w:num w:numId="12" w16cid:durableId="1866206941">
    <w:abstractNumId w:val="1"/>
  </w:num>
  <w:num w:numId="13" w16cid:durableId="593250158">
    <w:abstractNumId w:val="6"/>
  </w:num>
  <w:num w:numId="14" w16cid:durableId="308482823">
    <w:abstractNumId w:val="13"/>
  </w:num>
  <w:num w:numId="15" w16cid:durableId="1785995431">
    <w:abstractNumId w:val="25"/>
  </w:num>
  <w:num w:numId="16" w16cid:durableId="1138957314">
    <w:abstractNumId w:val="7"/>
  </w:num>
  <w:num w:numId="17" w16cid:durableId="583997834">
    <w:abstractNumId w:val="28"/>
  </w:num>
  <w:num w:numId="18" w16cid:durableId="1622029516">
    <w:abstractNumId w:val="10"/>
  </w:num>
  <w:num w:numId="19" w16cid:durableId="1608586082">
    <w:abstractNumId w:val="22"/>
  </w:num>
  <w:num w:numId="20" w16cid:durableId="843204830">
    <w:abstractNumId w:val="12"/>
  </w:num>
  <w:num w:numId="21" w16cid:durableId="1454518077">
    <w:abstractNumId w:val="0"/>
  </w:num>
  <w:num w:numId="22" w16cid:durableId="838542044">
    <w:abstractNumId w:val="5"/>
  </w:num>
  <w:num w:numId="23" w16cid:durableId="1440300370">
    <w:abstractNumId w:val="14"/>
  </w:num>
  <w:num w:numId="24" w16cid:durableId="868840723">
    <w:abstractNumId w:val="15"/>
  </w:num>
  <w:num w:numId="25" w16cid:durableId="1028410927">
    <w:abstractNumId w:val="11"/>
  </w:num>
  <w:num w:numId="26" w16cid:durableId="1707411833">
    <w:abstractNumId w:val="8"/>
  </w:num>
  <w:num w:numId="27" w16cid:durableId="131678794">
    <w:abstractNumId w:val="20"/>
  </w:num>
  <w:num w:numId="28" w16cid:durableId="1159158040">
    <w:abstractNumId w:val="9"/>
  </w:num>
  <w:num w:numId="29" w16cid:durableId="77093480">
    <w:abstractNumId w:val="30"/>
  </w:num>
  <w:num w:numId="30" w16cid:durableId="17973157">
    <w:abstractNumId w:val="3"/>
  </w:num>
  <w:num w:numId="31" w16cid:durableId="2133086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5E"/>
    <w:rsid w:val="00000434"/>
    <w:rsid w:val="00003782"/>
    <w:rsid w:val="0000590F"/>
    <w:rsid w:val="0001016B"/>
    <w:rsid w:val="00011505"/>
    <w:rsid w:val="00014A5B"/>
    <w:rsid w:val="000206F0"/>
    <w:rsid w:val="0002175B"/>
    <w:rsid w:val="000228BB"/>
    <w:rsid w:val="00027168"/>
    <w:rsid w:val="00030D48"/>
    <w:rsid w:val="00032658"/>
    <w:rsid w:val="00034CD9"/>
    <w:rsid w:val="000406BC"/>
    <w:rsid w:val="00041E15"/>
    <w:rsid w:val="0004427E"/>
    <w:rsid w:val="0004461D"/>
    <w:rsid w:val="000460E4"/>
    <w:rsid w:val="000472D6"/>
    <w:rsid w:val="00047D43"/>
    <w:rsid w:val="00053DAA"/>
    <w:rsid w:val="00054204"/>
    <w:rsid w:val="000551C7"/>
    <w:rsid w:val="00057F97"/>
    <w:rsid w:val="00060092"/>
    <w:rsid w:val="000617FF"/>
    <w:rsid w:val="00063032"/>
    <w:rsid w:val="000637C4"/>
    <w:rsid w:val="000649B4"/>
    <w:rsid w:val="00064DAB"/>
    <w:rsid w:val="000656E6"/>
    <w:rsid w:val="00065DF9"/>
    <w:rsid w:val="00070D52"/>
    <w:rsid w:val="000724DD"/>
    <w:rsid w:val="00072D68"/>
    <w:rsid w:val="00074BAE"/>
    <w:rsid w:val="00076157"/>
    <w:rsid w:val="000770F8"/>
    <w:rsid w:val="000804D8"/>
    <w:rsid w:val="000815E5"/>
    <w:rsid w:val="0008303D"/>
    <w:rsid w:val="000852C5"/>
    <w:rsid w:val="000875B8"/>
    <w:rsid w:val="00090D46"/>
    <w:rsid w:val="00091266"/>
    <w:rsid w:val="00091551"/>
    <w:rsid w:val="00091C88"/>
    <w:rsid w:val="00093087"/>
    <w:rsid w:val="00093375"/>
    <w:rsid w:val="0009685A"/>
    <w:rsid w:val="00097DF4"/>
    <w:rsid w:val="000A04EC"/>
    <w:rsid w:val="000A0509"/>
    <w:rsid w:val="000A3980"/>
    <w:rsid w:val="000A4744"/>
    <w:rsid w:val="000A4CE0"/>
    <w:rsid w:val="000A61ED"/>
    <w:rsid w:val="000A6830"/>
    <w:rsid w:val="000B03A2"/>
    <w:rsid w:val="000B3AA0"/>
    <w:rsid w:val="000B3D1A"/>
    <w:rsid w:val="000B485E"/>
    <w:rsid w:val="000B70C5"/>
    <w:rsid w:val="000C3EB0"/>
    <w:rsid w:val="000C44A3"/>
    <w:rsid w:val="000C4F90"/>
    <w:rsid w:val="000C72B0"/>
    <w:rsid w:val="000D15D9"/>
    <w:rsid w:val="000D18D7"/>
    <w:rsid w:val="000D20C7"/>
    <w:rsid w:val="000D22D0"/>
    <w:rsid w:val="000D29CF"/>
    <w:rsid w:val="000D2C20"/>
    <w:rsid w:val="000D356A"/>
    <w:rsid w:val="000D5D12"/>
    <w:rsid w:val="000D6DEA"/>
    <w:rsid w:val="000D7AE0"/>
    <w:rsid w:val="000D7D08"/>
    <w:rsid w:val="000E00D4"/>
    <w:rsid w:val="000E029B"/>
    <w:rsid w:val="000E4C95"/>
    <w:rsid w:val="000F341C"/>
    <w:rsid w:val="000F5D01"/>
    <w:rsid w:val="0010292D"/>
    <w:rsid w:val="0010526E"/>
    <w:rsid w:val="00105532"/>
    <w:rsid w:val="00110B56"/>
    <w:rsid w:val="00110FDA"/>
    <w:rsid w:val="00112A92"/>
    <w:rsid w:val="00112ADB"/>
    <w:rsid w:val="00112B4C"/>
    <w:rsid w:val="00112C23"/>
    <w:rsid w:val="00121F04"/>
    <w:rsid w:val="001234DF"/>
    <w:rsid w:val="0012547C"/>
    <w:rsid w:val="001260D6"/>
    <w:rsid w:val="00130669"/>
    <w:rsid w:val="001320A0"/>
    <w:rsid w:val="00135F1E"/>
    <w:rsid w:val="001417D4"/>
    <w:rsid w:val="00143A03"/>
    <w:rsid w:val="0014670A"/>
    <w:rsid w:val="00153C83"/>
    <w:rsid w:val="00154883"/>
    <w:rsid w:val="001579E7"/>
    <w:rsid w:val="001635ED"/>
    <w:rsid w:val="0016424D"/>
    <w:rsid w:val="001658D6"/>
    <w:rsid w:val="001708A4"/>
    <w:rsid w:val="00171F1A"/>
    <w:rsid w:val="00173146"/>
    <w:rsid w:val="001739ED"/>
    <w:rsid w:val="00181A29"/>
    <w:rsid w:val="001860A2"/>
    <w:rsid w:val="001861D8"/>
    <w:rsid w:val="00190036"/>
    <w:rsid w:val="00191846"/>
    <w:rsid w:val="00191888"/>
    <w:rsid w:val="00192F01"/>
    <w:rsid w:val="00194027"/>
    <w:rsid w:val="0019418D"/>
    <w:rsid w:val="00194E2F"/>
    <w:rsid w:val="00195792"/>
    <w:rsid w:val="001966EC"/>
    <w:rsid w:val="00196963"/>
    <w:rsid w:val="00197541"/>
    <w:rsid w:val="00197892"/>
    <w:rsid w:val="001A0BAA"/>
    <w:rsid w:val="001A181F"/>
    <w:rsid w:val="001A19E5"/>
    <w:rsid w:val="001A1F75"/>
    <w:rsid w:val="001A3009"/>
    <w:rsid w:val="001A5963"/>
    <w:rsid w:val="001A6EB6"/>
    <w:rsid w:val="001B0514"/>
    <w:rsid w:val="001B3FEE"/>
    <w:rsid w:val="001C255B"/>
    <w:rsid w:val="001C300C"/>
    <w:rsid w:val="001C3597"/>
    <w:rsid w:val="001C6D20"/>
    <w:rsid w:val="001C7FE5"/>
    <w:rsid w:val="001D28BA"/>
    <w:rsid w:val="001D2B08"/>
    <w:rsid w:val="001D49B9"/>
    <w:rsid w:val="001D4FBF"/>
    <w:rsid w:val="001D55D4"/>
    <w:rsid w:val="001E1522"/>
    <w:rsid w:val="001E4135"/>
    <w:rsid w:val="001E6282"/>
    <w:rsid w:val="001F118C"/>
    <w:rsid w:val="001F19E0"/>
    <w:rsid w:val="001F22C4"/>
    <w:rsid w:val="001F2AAE"/>
    <w:rsid w:val="001F38BF"/>
    <w:rsid w:val="001F3E90"/>
    <w:rsid w:val="00202121"/>
    <w:rsid w:val="00203651"/>
    <w:rsid w:val="002048F7"/>
    <w:rsid w:val="002052A5"/>
    <w:rsid w:val="0020748E"/>
    <w:rsid w:val="00207F2B"/>
    <w:rsid w:val="00210896"/>
    <w:rsid w:val="00210B77"/>
    <w:rsid w:val="00211228"/>
    <w:rsid w:val="00214117"/>
    <w:rsid w:val="00215393"/>
    <w:rsid w:val="00216924"/>
    <w:rsid w:val="002214B4"/>
    <w:rsid w:val="00221804"/>
    <w:rsid w:val="002226E0"/>
    <w:rsid w:val="00223FC8"/>
    <w:rsid w:val="002278F0"/>
    <w:rsid w:val="002324B4"/>
    <w:rsid w:val="002329F8"/>
    <w:rsid w:val="00233825"/>
    <w:rsid w:val="00233C16"/>
    <w:rsid w:val="002346BC"/>
    <w:rsid w:val="0023489E"/>
    <w:rsid w:val="00234D26"/>
    <w:rsid w:val="00234FE2"/>
    <w:rsid w:val="002353E5"/>
    <w:rsid w:val="00235C98"/>
    <w:rsid w:val="00236EC4"/>
    <w:rsid w:val="0024459B"/>
    <w:rsid w:val="00247B12"/>
    <w:rsid w:val="00247C15"/>
    <w:rsid w:val="00247DF8"/>
    <w:rsid w:val="00252327"/>
    <w:rsid w:val="00252B1E"/>
    <w:rsid w:val="002549E3"/>
    <w:rsid w:val="002555AC"/>
    <w:rsid w:val="002625B2"/>
    <w:rsid w:val="00262A1A"/>
    <w:rsid w:val="00262C2B"/>
    <w:rsid w:val="00266762"/>
    <w:rsid w:val="00266F44"/>
    <w:rsid w:val="00267658"/>
    <w:rsid w:val="00267E1C"/>
    <w:rsid w:val="00270DF2"/>
    <w:rsid w:val="00273A2D"/>
    <w:rsid w:val="00273B00"/>
    <w:rsid w:val="00274044"/>
    <w:rsid w:val="00277C1D"/>
    <w:rsid w:val="002827B2"/>
    <w:rsid w:val="00282BC8"/>
    <w:rsid w:val="002840CB"/>
    <w:rsid w:val="002851FB"/>
    <w:rsid w:val="00285554"/>
    <w:rsid w:val="002928C9"/>
    <w:rsid w:val="00292E59"/>
    <w:rsid w:val="00292E7E"/>
    <w:rsid w:val="00293F1F"/>
    <w:rsid w:val="00294292"/>
    <w:rsid w:val="002950CF"/>
    <w:rsid w:val="002A1526"/>
    <w:rsid w:val="002A3A0F"/>
    <w:rsid w:val="002A5833"/>
    <w:rsid w:val="002A61F4"/>
    <w:rsid w:val="002B47B3"/>
    <w:rsid w:val="002B498B"/>
    <w:rsid w:val="002B5F1D"/>
    <w:rsid w:val="002B64A2"/>
    <w:rsid w:val="002C0BD0"/>
    <w:rsid w:val="002C13A8"/>
    <w:rsid w:val="002C2418"/>
    <w:rsid w:val="002C43BB"/>
    <w:rsid w:val="002C54D6"/>
    <w:rsid w:val="002C5D20"/>
    <w:rsid w:val="002D1034"/>
    <w:rsid w:val="002D2460"/>
    <w:rsid w:val="002D27BE"/>
    <w:rsid w:val="002D5766"/>
    <w:rsid w:val="002D615C"/>
    <w:rsid w:val="002D61C6"/>
    <w:rsid w:val="002D7557"/>
    <w:rsid w:val="002D771F"/>
    <w:rsid w:val="002D792E"/>
    <w:rsid w:val="002E4A9E"/>
    <w:rsid w:val="002E5194"/>
    <w:rsid w:val="002E641D"/>
    <w:rsid w:val="002E64DB"/>
    <w:rsid w:val="002E7493"/>
    <w:rsid w:val="002F235A"/>
    <w:rsid w:val="002F279A"/>
    <w:rsid w:val="002F3990"/>
    <w:rsid w:val="002F3E63"/>
    <w:rsid w:val="003004C8"/>
    <w:rsid w:val="003011C5"/>
    <w:rsid w:val="00301BC6"/>
    <w:rsid w:val="00303FD9"/>
    <w:rsid w:val="00304577"/>
    <w:rsid w:val="00306976"/>
    <w:rsid w:val="00307622"/>
    <w:rsid w:val="003111E0"/>
    <w:rsid w:val="003133A8"/>
    <w:rsid w:val="003137FD"/>
    <w:rsid w:val="00317266"/>
    <w:rsid w:val="003202E5"/>
    <w:rsid w:val="0032074C"/>
    <w:rsid w:val="0032093F"/>
    <w:rsid w:val="00321F0F"/>
    <w:rsid w:val="00332974"/>
    <w:rsid w:val="003369C0"/>
    <w:rsid w:val="00340597"/>
    <w:rsid w:val="00343A2A"/>
    <w:rsid w:val="00343B96"/>
    <w:rsid w:val="003446BC"/>
    <w:rsid w:val="00346236"/>
    <w:rsid w:val="0034730C"/>
    <w:rsid w:val="00351B1C"/>
    <w:rsid w:val="00352976"/>
    <w:rsid w:val="0035556B"/>
    <w:rsid w:val="00361D7B"/>
    <w:rsid w:val="00361FEE"/>
    <w:rsid w:val="00362C72"/>
    <w:rsid w:val="00362FFF"/>
    <w:rsid w:val="00365AC4"/>
    <w:rsid w:val="003708CD"/>
    <w:rsid w:val="00370D1F"/>
    <w:rsid w:val="00371C79"/>
    <w:rsid w:val="00372568"/>
    <w:rsid w:val="00372893"/>
    <w:rsid w:val="00373A68"/>
    <w:rsid w:val="00375A9E"/>
    <w:rsid w:val="00380CF3"/>
    <w:rsid w:val="00381953"/>
    <w:rsid w:val="00382171"/>
    <w:rsid w:val="00382921"/>
    <w:rsid w:val="0038527C"/>
    <w:rsid w:val="00385B21"/>
    <w:rsid w:val="00386017"/>
    <w:rsid w:val="00390C17"/>
    <w:rsid w:val="00392122"/>
    <w:rsid w:val="00392726"/>
    <w:rsid w:val="00394098"/>
    <w:rsid w:val="00395CA9"/>
    <w:rsid w:val="003967EB"/>
    <w:rsid w:val="00396885"/>
    <w:rsid w:val="0039726C"/>
    <w:rsid w:val="00397CC6"/>
    <w:rsid w:val="003A1B41"/>
    <w:rsid w:val="003A3B0B"/>
    <w:rsid w:val="003A47DF"/>
    <w:rsid w:val="003B5187"/>
    <w:rsid w:val="003B5CF6"/>
    <w:rsid w:val="003C2B88"/>
    <w:rsid w:val="003C6B18"/>
    <w:rsid w:val="003C6C81"/>
    <w:rsid w:val="003D0EC1"/>
    <w:rsid w:val="003D538B"/>
    <w:rsid w:val="003D5462"/>
    <w:rsid w:val="003E0B5A"/>
    <w:rsid w:val="003E147A"/>
    <w:rsid w:val="003E183D"/>
    <w:rsid w:val="003E19DC"/>
    <w:rsid w:val="003E3052"/>
    <w:rsid w:val="003E3956"/>
    <w:rsid w:val="003E3E18"/>
    <w:rsid w:val="003E55D6"/>
    <w:rsid w:val="003E7291"/>
    <w:rsid w:val="003F05BF"/>
    <w:rsid w:val="003F31EC"/>
    <w:rsid w:val="003F3835"/>
    <w:rsid w:val="003F5696"/>
    <w:rsid w:val="003F6812"/>
    <w:rsid w:val="003F7276"/>
    <w:rsid w:val="003F7E38"/>
    <w:rsid w:val="00401127"/>
    <w:rsid w:val="00403B54"/>
    <w:rsid w:val="00403DC6"/>
    <w:rsid w:val="00406A5A"/>
    <w:rsid w:val="00406BA3"/>
    <w:rsid w:val="004075B7"/>
    <w:rsid w:val="00407813"/>
    <w:rsid w:val="00412E52"/>
    <w:rsid w:val="004147DA"/>
    <w:rsid w:val="004147FF"/>
    <w:rsid w:val="00415151"/>
    <w:rsid w:val="00415907"/>
    <w:rsid w:val="00416750"/>
    <w:rsid w:val="00416AFC"/>
    <w:rsid w:val="004177FA"/>
    <w:rsid w:val="00417E94"/>
    <w:rsid w:val="00417EA5"/>
    <w:rsid w:val="00420BB8"/>
    <w:rsid w:val="004210F3"/>
    <w:rsid w:val="00424D96"/>
    <w:rsid w:val="00426978"/>
    <w:rsid w:val="004269A3"/>
    <w:rsid w:val="0042784A"/>
    <w:rsid w:val="004314EC"/>
    <w:rsid w:val="00441965"/>
    <w:rsid w:val="00441F57"/>
    <w:rsid w:val="0044295D"/>
    <w:rsid w:val="00442D12"/>
    <w:rsid w:val="004438A4"/>
    <w:rsid w:val="00444CB5"/>
    <w:rsid w:val="00446B9A"/>
    <w:rsid w:val="00450EC0"/>
    <w:rsid w:val="00454A94"/>
    <w:rsid w:val="004555A4"/>
    <w:rsid w:val="00460120"/>
    <w:rsid w:val="00461DBF"/>
    <w:rsid w:val="00465524"/>
    <w:rsid w:val="00473031"/>
    <w:rsid w:val="004730CA"/>
    <w:rsid w:val="00474F5B"/>
    <w:rsid w:val="00475883"/>
    <w:rsid w:val="00480946"/>
    <w:rsid w:val="00481AEB"/>
    <w:rsid w:val="004828D8"/>
    <w:rsid w:val="0048356D"/>
    <w:rsid w:val="0048441D"/>
    <w:rsid w:val="004860F1"/>
    <w:rsid w:val="00486FE4"/>
    <w:rsid w:val="0048721B"/>
    <w:rsid w:val="004918CC"/>
    <w:rsid w:val="004950FE"/>
    <w:rsid w:val="004A1E63"/>
    <w:rsid w:val="004A22EC"/>
    <w:rsid w:val="004A354E"/>
    <w:rsid w:val="004A4FE1"/>
    <w:rsid w:val="004A634C"/>
    <w:rsid w:val="004B4F90"/>
    <w:rsid w:val="004B5935"/>
    <w:rsid w:val="004B6B98"/>
    <w:rsid w:val="004B6D87"/>
    <w:rsid w:val="004C0FC7"/>
    <w:rsid w:val="004C0FEC"/>
    <w:rsid w:val="004C29FD"/>
    <w:rsid w:val="004C5462"/>
    <w:rsid w:val="004C6628"/>
    <w:rsid w:val="004D07D8"/>
    <w:rsid w:val="004D15E1"/>
    <w:rsid w:val="004D35E1"/>
    <w:rsid w:val="004D5712"/>
    <w:rsid w:val="004D7314"/>
    <w:rsid w:val="004D787D"/>
    <w:rsid w:val="004E0082"/>
    <w:rsid w:val="004E03C7"/>
    <w:rsid w:val="004E12F0"/>
    <w:rsid w:val="004E1A99"/>
    <w:rsid w:val="004E1B5E"/>
    <w:rsid w:val="004E2D6A"/>
    <w:rsid w:val="004E3F07"/>
    <w:rsid w:val="004E4EB5"/>
    <w:rsid w:val="004E7A71"/>
    <w:rsid w:val="004F18E3"/>
    <w:rsid w:val="004F34D2"/>
    <w:rsid w:val="004F5477"/>
    <w:rsid w:val="004F71DA"/>
    <w:rsid w:val="004F74F1"/>
    <w:rsid w:val="004F7D5A"/>
    <w:rsid w:val="005005E1"/>
    <w:rsid w:val="00501256"/>
    <w:rsid w:val="005026AF"/>
    <w:rsid w:val="00503E84"/>
    <w:rsid w:val="0050403E"/>
    <w:rsid w:val="00510621"/>
    <w:rsid w:val="00510BB0"/>
    <w:rsid w:val="00511431"/>
    <w:rsid w:val="005159A4"/>
    <w:rsid w:val="00515B3E"/>
    <w:rsid w:val="005203AE"/>
    <w:rsid w:val="00520E3B"/>
    <w:rsid w:val="005215BA"/>
    <w:rsid w:val="0052299E"/>
    <w:rsid w:val="005232C1"/>
    <w:rsid w:val="0052509F"/>
    <w:rsid w:val="005272F2"/>
    <w:rsid w:val="00530001"/>
    <w:rsid w:val="00530320"/>
    <w:rsid w:val="00530C3E"/>
    <w:rsid w:val="0053324D"/>
    <w:rsid w:val="005336A0"/>
    <w:rsid w:val="00535C01"/>
    <w:rsid w:val="00537CB0"/>
    <w:rsid w:val="00540CDC"/>
    <w:rsid w:val="005479F4"/>
    <w:rsid w:val="00552E48"/>
    <w:rsid w:val="00555632"/>
    <w:rsid w:val="00556570"/>
    <w:rsid w:val="00556991"/>
    <w:rsid w:val="00557778"/>
    <w:rsid w:val="00557B5F"/>
    <w:rsid w:val="00561F14"/>
    <w:rsid w:val="00563C56"/>
    <w:rsid w:val="0056629E"/>
    <w:rsid w:val="00566778"/>
    <w:rsid w:val="005669E8"/>
    <w:rsid w:val="00567182"/>
    <w:rsid w:val="00571BE9"/>
    <w:rsid w:val="00574554"/>
    <w:rsid w:val="00574BE7"/>
    <w:rsid w:val="005751AF"/>
    <w:rsid w:val="00580F4E"/>
    <w:rsid w:val="0058372B"/>
    <w:rsid w:val="00583DC1"/>
    <w:rsid w:val="005863A6"/>
    <w:rsid w:val="0059357B"/>
    <w:rsid w:val="00594D91"/>
    <w:rsid w:val="00595C2A"/>
    <w:rsid w:val="00597DAE"/>
    <w:rsid w:val="005A0E03"/>
    <w:rsid w:val="005A2A09"/>
    <w:rsid w:val="005A7452"/>
    <w:rsid w:val="005A7672"/>
    <w:rsid w:val="005B02CA"/>
    <w:rsid w:val="005B036F"/>
    <w:rsid w:val="005B23B9"/>
    <w:rsid w:val="005B2685"/>
    <w:rsid w:val="005B273D"/>
    <w:rsid w:val="005B28DE"/>
    <w:rsid w:val="005B3492"/>
    <w:rsid w:val="005B603F"/>
    <w:rsid w:val="005B6142"/>
    <w:rsid w:val="005B7984"/>
    <w:rsid w:val="005B7A0C"/>
    <w:rsid w:val="005B7ED9"/>
    <w:rsid w:val="005C2B0B"/>
    <w:rsid w:val="005C3CC9"/>
    <w:rsid w:val="005C53F1"/>
    <w:rsid w:val="005C6377"/>
    <w:rsid w:val="005D007D"/>
    <w:rsid w:val="005D7C84"/>
    <w:rsid w:val="005D7F71"/>
    <w:rsid w:val="005E075D"/>
    <w:rsid w:val="005E2D89"/>
    <w:rsid w:val="005E3747"/>
    <w:rsid w:val="005E4CBC"/>
    <w:rsid w:val="005E5233"/>
    <w:rsid w:val="005E54DB"/>
    <w:rsid w:val="005F1117"/>
    <w:rsid w:val="005F31CC"/>
    <w:rsid w:val="005F3BC8"/>
    <w:rsid w:val="006006A3"/>
    <w:rsid w:val="00601485"/>
    <w:rsid w:val="00604696"/>
    <w:rsid w:val="00604B1B"/>
    <w:rsid w:val="00604BCC"/>
    <w:rsid w:val="00604F3D"/>
    <w:rsid w:val="006061B1"/>
    <w:rsid w:val="00606B35"/>
    <w:rsid w:val="00611BBB"/>
    <w:rsid w:val="00611D35"/>
    <w:rsid w:val="00612B31"/>
    <w:rsid w:val="00612C87"/>
    <w:rsid w:val="00622358"/>
    <w:rsid w:val="00623FF5"/>
    <w:rsid w:val="00624BAD"/>
    <w:rsid w:val="00624E1D"/>
    <w:rsid w:val="00626157"/>
    <w:rsid w:val="00632E18"/>
    <w:rsid w:val="00633874"/>
    <w:rsid w:val="006343AB"/>
    <w:rsid w:val="006347E8"/>
    <w:rsid w:val="006349FA"/>
    <w:rsid w:val="00634D6E"/>
    <w:rsid w:val="0064511D"/>
    <w:rsid w:val="00646D75"/>
    <w:rsid w:val="00647F63"/>
    <w:rsid w:val="006522A3"/>
    <w:rsid w:val="00653408"/>
    <w:rsid w:val="00653B82"/>
    <w:rsid w:val="00655AD4"/>
    <w:rsid w:val="0065675A"/>
    <w:rsid w:val="0066124D"/>
    <w:rsid w:val="006612AD"/>
    <w:rsid w:val="00662819"/>
    <w:rsid w:val="00662D55"/>
    <w:rsid w:val="006631EF"/>
    <w:rsid w:val="00670646"/>
    <w:rsid w:val="0067120C"/>
    <w:rsid w:val="00673146"/>
    <w:rsid w:val="0068205D"/>
    <w:rsid w:val="00683358"/>
    <w:rsid w:val="00684384"/>
    <w:rsid w:val="006906A7"/>
    <w:rsid w:val="0069118E"/>
    <w:rsid w:val="006912EB"/>
    <w:rsid w:val="00694FFC"/>
    <w:rsid w:val="006953BF"/>
    <w:rsid w:val="00695872"/>
    <w:rsid w:val="006973B5"/>
    <w:rsid w:val="006A0935"/>
    <w:rsid w:val="006A2900"/>
    <w:rsid w:val="006A3462"/>
    <w:rsid w:val="006A4F1C"/>
    <w:rsid w:val="006A59BF"/>
    <w:rsid w:val="006B1D35"/>
    <w:rsid w:val="006B2EE5"/>
    <w:rsid w:val="006B3B1E"/>
    <w:rsid w:val="006B3C2E"/>
    <w:rsid w:val="006B47DD"/>
    <w:rsid w:val="006B514C"/>
    <w:rsid w:val="006B7B71"/>
    <w:rsid w:val="006C0BD9"/>
    <w:rsid w:val="006C1197"/>
    <w:rsid w:val="006C14D9"/>
    <w:rsid w:val="006C2A61"/>
    <w:rsid w:val="006C3813"/>
    <w:rsid w:val="006C5BA2"/>
    <w:rsid w:val="006D14F6"/>
    <w:rsid w:val="006D4D47"/>
    <w:rsid w:val="006D6DED"/>
    <w:rsid w:val="006E0E5B"/>
    <w:rsid w:val="006E21F4"/>
    <w:rsid w:val="006E2D87"/>
    <w:rsid w:val="006E31F3"/>
    <w:rsid w:val="006E5102"/>
    <w:rsid w:val="006E6952"/>
    <w:rsid w:val="006F1CED"/>
    <w:rsid w:val="006F4610"/>
    <w:rsid w:val="006F51EF"/>
    <w:rsid w:val="00700E1E"/>
    <w:rsid w:val="007030F2"/>
    <w:rsid w:val="00703B65"/>
    <w:rsid w:val="00705706"/>
    <w:rsid w:val="007065D2"/>
    <w:rsid w:val="00707EB8"/>
    <w:rsid w:val="00710F0B"/>
    <w:rsid w:val="007113BA"/>
    <w:rsid w:val="007113D4"/>
    <w:rsid w:val="0071636A"/>
    <w:rsid w:val="00716B9B"/>
    <w:rsid w:val="007227EB"/>
    <w:rsid w:val="00723142"/>
    <w:rsid w:val="00726389"/>
    <w:rsid w:val="00726CCC"/>
    <w:rsid w:val="00727C21"/>
    <w:rsid w:val="00730F64"/>
    <w:rsid w:val="007369B7"/>
    <w:rsid w:val="00736E69"/>
    <w:rsid w:val="0074202C"/>
    <w:rsid w:val="00745D3D"/>
    <w:rsid w:val="00747E70"/>
    <w:rsid w:val="0075405C"/>
    <w:rsid w:val="00754770"/>
    <w:rsid w:val="00754B14"/>
    <w:rsid w:val="00757AE2"/>
    <w:rsid w:val="00757FF1"/>
    <w:rsid w:val="00760206"/>
    <w:rsid w:val="0076139A"/>
    <w:rsid w:val="00762384"/>
    <w:rsid w:val="00763EFD"/>
    <w:rsid w:val="007641C4"/>
    <w:rsid w:val="0076544E"/>
    <w:rsid w:val="00765D99"/>
    <w:rsid w:val="00766052"/>
    <w:rsid w:val="00766193"/>
    <w:rsid w:val="00766E22"/>
    <w:rsid w:val="00767EA2"/>
    <w:rsid w:val="0077153A"/>
    <w:rsid w:val="00775D2F"/>
    <w:rsid w:val="007769D7"/>
    <w:rsid w:val="007817D1"/>
    <w:rsid w:val="00783674"/>
    <w:rsid w:val="00783685"/>
    <w:rsid w:val="00786350"/>
    <w:rsid w:val="00791F54"/>
    <w:rsid w:val="007926DB"/>
    <w:rsid w:val="00792701"/>
    <w:rsid w:val="00793920"/>
    <w:rsid w:val="00793D8A"/>
    <w:rsid w:val="0079524E"/>
    <w:rsid w:val="00796A41"/>
    <w:rsid w:val="00796CA9"/>
    <w:rsid w:val="007A1E35"/>
    <w:rsid w:val="007A2346"/>
    <w:rsid w:val="007A4602"/>
    <w:rsid w:val="007B0BE5"/>
    <w:rsid w:val="007B444F"/>
    <w:rsid w:val="007C0906"/>
    <w:rsid w:val="007C13DF"/>
    <w:rsid w:val="007C229C"/>
    <w:rsid w:val="007C7504"/>
    <w:rsid w:val="007D09C8"/>
    <w:rsid w:val="007D191E"/>
    <w:rsid w:val="007D3B05"/>
    <w:rsid w:val="007D3C24"/>
    <w:rsid w:val="007D4326"/>
    <w:rsid w:val="007D5B94"/>
    <w:rsid w:val="007D60A7"/>
    <w:rsid w:val="007D75CF"/>
    <w:rsid w:val="007E07B4"/>
    <w:rsid w:val="007E1E61"/>
    <w:rsid w:val="007E5BAB"/>
    <w:rsid w:val="007E5CE2"/>
    <w:rsid w:val="007F14B6"/>
    <w:rsid w:val="007F28CD"/>
    <w:rsid w:val="007F29FD"/>
    <w:rsid w:val="007F344A"/>
    <w:rsid w:val="007F412F"/>
    <w:rsid w:val="00802BE2"/>
    <w:rsid w:val="008030A9"/>
    <w:rsid w:val="0080764A"/>
    <w:rsid w:val="008077C3"/>
    <w:rsid w:val="00810AD2"/>
    <w:rsid w:val="00810B17"/>
    <w:rsid w:val="00812FD3"/>
    <w:rsid w:val="00815A3D"/>
    <w:rsid w:val="00816CA5"/>
    <w:rsid w:val="00824140"/>
    <w:rsid w:val="00827E73"/>
    <w:rsid w:val="0083003D"/>
    <w:rsid w:val="00834C89"/>
    <w:rsid w:val="00840621"/>
    <w:rsid w:val="00845F1E"/>
    <w:rsid w:val="00846E1F"/>
    <w:rsid w:val="00852FC2"/>
    <w:rsid w:val="00853F7C"/>
    <w:rsid w:val="0085493F"/>
    <w:rsid w:val="00856D3F"/>
    <w:rsid w:val="00856FC4"/>
    <w:rsid w:val="008607DC"/>
    <w:rsid w:val="0086197A"/>
    <w:rsid w:val="00864745"/>
    <w:rsid w:val="00865082"/>
    <w:rsid w:val="00881509"/>
    <w:rsid w:val="0088256C"/>
    <w:rsid w:val="00886150"/>
    <w:rsid w:val="00887774"/>
    <w:rsid w:val="00890327"/>
    <w:rsid w:val="00890675"/>
    <w:rsid w:val="008912D9"/>
    <w:rsid w:val="008961F1"/>
    <w:rsid w:val="008A0F18"/>
    <w:rsid w:val="008A3C06"/>
    <w:rsid w:val="008A46C3"/>
    <w:rsid w:val="008B0B44"/>
    <w:rsid w:val="008B1EF3"/>
    <w:rsid w:val="008B511D"/>
    <w:rsid w:val="008B66AC"/>
    <w:rsid w:val="008C2826"/>
    <w:rsid w:val="008C3396"/>
    <w:rsid w:val="008C5DD9"/>
    <w:rsid w:val="008C661E"/>
    <w:rsid w:val="008C70D1"/>
    <w:rsid w:val="008D0A3A"/>
    <w:rsid w:val="008D31D2"/>
    <w:rsid w:val="008D36C8"/>
    <w:rsid w:val="008D3D76"/>
    <w:rsid w:val="008D434E"/>
    <w:rsid w:val="008D455A"/>
    <w:rsid w:val="008D5C88"/>
    <w:rsid w:val="008D5DB6"/>
    <w:rsid w:val="008D7DD3"/>
    <w:rsid w:val="008D7E05"/>
    <w:rsid w:val="008E0F92"/>
    <w:rsid w:val="008E4E37"/>
    <w:rsid w:val="008E6395"/>
    <w:rsid w:val="008F22C0"/>
    <w:rsid w:val="008F2686"/>
    <w:rsid w:val="008F2B65"/>
    <w:rsid w:val="008F349F"/>
    <w:rsid w:val="008F5483"/>
    <w:rsid w:val="008F6617"/>
    <w:rsid w:val="00901A1B"/>
    <w:rsid w:val="0090336F"/>
    <w:rsid w:val="00905CF5"/>
    <w:rsid w:val="00905FA1"/>
    <w:rsid w:val="00910165"/>
    <w:rsid w:val="009133C2"/>
    <w:rsid w:val="0091472A"/>
    <w:rsid w:val="00915B35"/>
    <w:rsid w:val="009163CD"/>
    <w:rsid w:val="009213BD"/>
    <w:rsid w:val="009228CD"/>
    <w:rsid w:val="00924A4D"/>
    <w:rsid w:val="00927589"/>
    <w:rsid w:val="00930EFC"/>
    <w:rsid w:val="00930F36"/>
    <w:rsid w:val="009342BF"/>
    <w:rsid w:val="00937152"/>
    <w:rsid w:val="009373E8"/>
    <w:rsid w:val="00937609"/>
    <w:rsid w:val="00937C01"/>
    <w:rsid w:val="0094155A"/>
    <w:rsid w:val="00941838"/>
    <w:rsid w:val="00941C54"/>
    <w:rsid w:val="0094203C"/>
    <w:rsid w:val="009429AA"/>
    <w:rsid w:val="00942A4B"/>
    <w:rsid w:val="009433CF"/>
    <w:rsid w:val="00943666"/>
    <w:rsid w:val="00944B5B"/>
    <w:rsid w:val="00947A26"/>
    <w:rsid w:val="00950AA4"/>
    <w:rsid w:val="00950E29"/>
    <w:rsid w:val="009544E0"/>
    <w:rsid w:val="00955F74"/>
    <w:rsid w:val="00956078"/>
    <w:rsid w:val="009613E7"/>
    <w:rsid w:val="00961748"/>
    <w:rsid w:val="00962B5C"/>
    <w:rsid w:val="0096520D"/>
    <w:rsid w:val="009661BF"/>
    <w:rsid w:val="00970A5D"/>
    <w:rsid w:val="00974130"/>
    <w:rsid w:val="0097642C"/>
    <w:rsid w:val="00976B12"/>
    <w:rsid w:val="00983A1D"/>
    <w:rsid w:val="009841E7"/>
    <w:rsid w:val="00984465"/>
    <w:rsid w:val="009872AE"/>
    <w:rsid w:val="009913B6"/>
    <w:rsid w:val="00991A54"/>
    <w:rsid w:val="0099268C"/>
    <w:rsid w:val="00993CB7"/>
    <w:rsid w:val="009956EF"/>
    <w:rsid w:val="00996529"/>
    <w:rsid w:val="009A0FE2"/>
    <w:rsid w:val="009A3D6A"/>
    <w:rsid w:val="009A4DF9"/>
    <w:rsid w:val="009A5A21"/>
    <w:rsid w:val="009A5AD9"/>
    <w:rsid w:val="009A7A09"/>
    <w:rsid w:val="009B0259"/>
    <w:rsid w:val="009B12B9"/>
    <w:rsid w:val="009B4778"/>
    <w:rsid w:val="009B49B2"/>
    <w:rsid w:val="009B5AC3"/>
    <w:rsid w:val="009B6219"/>
    <w:rsid w:val="009C0253"/>
    <w:rsid w:val="009C14CD"/>
    <w:rsid w:val="009C3EE1"/>
    <w:rsid w:val="009C50DB"/>
    <w:rsid w:val="009C5130"/>
    <w:rsid w:val="009C7123"/>
    <w:rsid w:val="009D0D02"/>
    <w:rsid w:val="009D118C"/>
    <w:rsid w:val="009D16D6"/>
    <w:rsid w:val="009D29DB"/>
    <w:rsid w:val="009D3852"/>
    <w:rsid w:val="009D3E4E"/>
    <w:rsid w:val="009D56D9"/>
    <w:rsid w:val="009D67B6"/>
    <w:rsid w:val="009D6FAC"/>
    <w:rsid w:val="009D73DF"/>
    <w:rsid w:val="009E0AAC"/>
    <w:rsid w:val="009E20DD"/>
    <w:rsid w:val="009E5626"/>
    <w:rsid w:val="009E7AEE"/>
    <w:rsid w:val="009F1A8E"/>
    <w:rsid w:val="009F230B"/>
    <w:rsid w:val="009F49D5"/>
    <w:rsid w:val="009F4E12"/>
    <w:rsid w:val="00A010D7"/>
    <w:rsid w:val="00A02B41"/>
    <w:rsid w:val="00A040A3"/>
    <w:rsid w:val="00A10035"/>
    <w:rsid w:val="00A16452"/>
    <w:rsid w:val="00A21160"/>
    <w:rsid w:val="00A22043"/>
    <w:rsid w:val="00A259A4"/>
    <w:rsid w:val="00A26CFE"/>
    <w:rsid w:val="00A274C7"/>
    <w:rsid w:val="00A276AA"/>
    <w:rsid w:val="00A27732"/>
    <w:rsid w:val="00A3122B"/>
    <w:rsid w:val="00A36347"/>
    <w:rsid w:val="00A42560"/>
    <w:rsid w:val="00A43417"/>
    <w:rsid w:val="00A43C22"/>
    <w:rsid w:val="00A4466C"/>
    <w:rsid w:val="00A456CA"/>
    <w:rsid w:val="00A47228"/>
    <w:rsid w:val="00A475DB"/>
    <w:rsid w:val="00A47A7A"/>
    <w:rsid w:val="00A50B6F"/>
    <w:rsid w:val="00A53757"/>
    <w:rsid w:val="00A53BA3"/>
    <w:rsid w:val="00A54C55"/>
    <w:rsid w:val="00A54EB1"/>
    <w:rsid w:val="00A56610"/>
    <w:rsid w:val="00A57D1C"/>
    <w:rsid w:val="00A60C75"/>
    <w:rsid w:val="00A63B0D"/>
    <w:rsid w:val="00A6505D"/>
    <w:rsid w:val="00A66164"/>
    <w:rsid w:val="00A70944"/>
    <w:rsid w:val="00A73942"/>
    <w:rsid w:val="00A764C9"/>
    <w:rsid w:val="00A768E0"/>
    <w:rsid w:val="00A80F3D"/>
    <w:rsid w:val="00A82A17"/>
    <w:rsid w:val="00A82B0C"/>
    <w:rsid w:val="00A82B34"/>
    <w:rsid w:val="00A84808"/>
    <w:rsid w:val="00A855C6"/>
    <w:rsid w:val="00A8635C"/>
    <w:rsid w:val="00A87C25"/>
    <w:rsid w:val="00A91FD5"/>
    <w:rsid w:val="00A927FB"/>
    <w:rsid w:val="00A9307F"/>
    <w:rsid w:val="00A9609C"/>
    <w:rsid w:val="00AA05D9"/>
    <w:rsid w:val="00AA3830"/>
    <w:rsid w:val="00AA4750"/>
    <w:rsid w:val="00AA6134"/>
    <w:rsid w:val="00AA692B"/>
    <w:rsid w:val="00AB002E"/>
    <w:rsid w:val="00AB0710"/>
    <w:rsid w:val="00AB1132"/>
    <w:rsid w:val="00AB1FF2"/>
    <w:rsid w:val="00AB25EA"/>
    <w:rsid w:val="00AB3E59"/>
    <w:rsid w:val="00AB469A"/>
    <w:rsid w:val="00AB7094"/>
    <w:rsid w:val="00AC0731"/>
    <w:rsid w:val="00AC08F5"/>
    <w:rsid w:val="00AC19B2"/>
    <w:rsid w:val="00AC235D"/>
    <w:rsid w:val="00AC388E"/>
    <w:rsid w:val="00AC4894"/>
    <w:rsid w:val="00AC5A11"/>
    <w:rsid w:val="00AC5E3D"/>
    <w:rsid w:val="00AC7016"/>
    <w:rsid w:val="00AC762D"/>
    <w:rsid w:val="00AD0991"/>
    <w:rsid w:val="00AD09DF"/>
    <w:rsid w:val="00AD16C9"/>
    <w:rsid w:val="00AD18B3"/>
    <w:rsid w:val="00AD4490"/>
    <w:rsid w:val="00AD60AE"/>
    <w:rsid w:val="00AD613F"/>
    <w:rsid w:val="00AD7045"/>
    <w:rsid w:val="00AE0220"/>
    <w:rsid w:val="00AE07B3"/>
    <w:rsid w:val="00AE09A0"/>
    <w:rsid w:val="00AE0D53"/>
    <w:rsid w:val="00AE2F70"/>
    <w:rsid w:val="00AE68C2"/>
    <w:rsid w:val="00AE6E56"/>
    <w:rsid w:val="00AE7260"/>
    <w:rsid w:val="00AE7E1E"/>
    <w:rsid w:val="00AE7EEF"/>
    <w:rsid w:val="00AF01D7"/>
    <w:rsid w:val="00AF107F"/>
    <w:rsid w:val="00AF1436"/>
    <w:rsid w:val="00AF1579"/>
    <w:rsid w:val="00AF4346"/>
    <w:rsid w:val="00AF48EC"/>
    <w:rsid w:val="00B012F2"/>
    <w:rsid w:val="00B0203A"/>
    <w:rsid w:val="00B022A5"/>
    <w:rsid w:val="00B0306C"/>
    <w:rsid w:val="00B040C4"/>
    <w:rsid w:val="00B04C08"/>
    <w:rsid w:val="00B06BEA"/>
    <w:rsid w:val="00B07BE9"/>
    <w:rsid w:val="00B1449B"/>
    <w:rsid w:val="00B17F01"/>
    <w:rsid w:val="00B229AE"/>
    <w:rsid w:val="00B23D3D"/>
    <w:rsid w:val="00B27270"/>
    <w:rsid w:val="00B31D53"/>
    <w:rsid w:val="00B3332B"/>
    <w:rsid w:val="00B359A5"/>
    <w:rsid w:val="00B35DB5"/>
    <w:rsid w:val="00B40079"/>
    <w:rsid w:val="00B43815"/>
    <w:rsid w:val="00B449C6"/>
    <w:rsid w:val="00B530B9"/>
    <w:rsid w:val="00B54E5F"/>
    <w:rsid w:val="00B57BD0"/>
    <w:rsid w:val="00B61103"/>
    <w:rsid w:val="00B7235D"/>
    <w:rsid w:val="00B7292D"/>
    <w:rsid w:val="00B72E3F"/>
    <w:rsid w:val="00B73ED0"/>
    <w:rsid w:val="00B808BF"/>
    <w:rsid w:val="00B8326F"/>
    <w:rsid w:val="00B85DF2"/>
    <w:rsid w:val="00B86038"/>
    <w:rsid w:val="00B86436"/>
    <w:rsid w:val="00B86559"/>
    <w:rsid w:val="00B905A5"/>
    <w:rsid w:val="00B942C8"/>
    <w:rsid w:val="00B9523C"/>
    <w:rsid w:val="00B96031"/>
    <w:rsid w:val="00BA0EE0"/>
    <w:rsid w:val="00BA1A94"/>
    <w:rsid w:val="00BA1EA3"/>
    <w:rsid w:val="00BA262D"/>
    <w:rsid w:val="00BA2B20"/>
    <w:rsid w:val="00BA4DEF"/>
    <w:rsid w:val="00BA6CFB"/>
    <w:rsid w:val="00BA7335"/>
    <w:rsid w:val="00BB0196"/>
    <w:rsid w:val="00BB2FC5"/>
    <w:rsid w:val="00BB312A"/>
    <w:rsid w:val="00BB34BA"/>
    <w:rsid w:val="00BB5831"/>
    <w:rsid w:val="00BB5BAC"/>
    <w:rsid w:val="00BB70FA"/>
    <w:rsid w:val="00BB7337"/>
    <w:rsid w:val="00BB76FD"/>
    <w:rsid w:val="00BB7BC8"/>
    <w:rsid w:val="00BC00C0"/>
    <w:rsid w:val="00BC1ACE"/>
    <w:rsid w:val="00BC3294"/>
    <w:rsid w:val="00BC4F17"/>
    <w:rsid w:val="00BC6DBF"/>
    <w:rsid w:val="00BD0423"/>
    <w:rsid w:val="00BD13E6"/>
    <w:rsid w:val="00BD1E8E"/>
    <w:rsid w:val="00BD252D"/>
    <w:rsid w:val="00BD2700"/>
    <w:rsid w:val="00BD2F7F"/>
    <w:rsid w:val="00BD307E"/>
    <w:rsid w:val="00BD3F46"/>
    <w:rsid w:val="00BD4393"/>
    <w:rsid w:val="00BD43DE"/>
    <w:rsid w:val="00BD7968"/>
    <w:rsid w:val="00BE070A"/>
    <w:rsid w:val="00BE1AEB"/>
    <w:rsid w:val="00BE1E72"/>
    <w:rsid w:val="00BE26DD"/>
    <w:rsid w:val="00BE739B"/>
    <w:rsid w:val="00BF0735"/>
    <w:rsid w:val="00BF0F98"/>
    <w:rsid w:val="00BF1C29"/>
    <w:rsid w:val="00BF4273"/>
    <w:rsid w:val="00BF5AF6"/>
    <w:rsid w:val="00BF6389"/>
    <w:rsid w:val="00BF7B78"/>
    <w:rsid w:val="00C00601"/>
    <w:rsid w:val="00C020A9"/>
    <w:rsid w:val="00C03FCB"/>
    <w:rsid w:val="00C05FF5"/>
    <w:rsid w:val="00C07A79"/>
    <w:rsid w:val="00C13632"/>
    <w:rsid w:val="00C17062"/>
    <w:rsid w:val="00C1720C"/>
    <w:rsid w:val="00C17CD8"/>
    <w:rsid w:val="00C204C2"/>
    <w:rsid w:val="00C2064E"/>
    <w:rsid w:val="00C22688"/>
    <w:rsid w:val="00C23D64"/>
    <w:rsid w:val="00C24346"/>
    <w:rsid w:val="00C243E4"/>
    <w:rsid w:val="00C27012"/>
    <w:rsid w:val="00C2715D"/>
    <w:rsid w:val="00C31AF6"/>
    <w:rsid w:val="00C31F3E"/>
    <w:rsid w:val="00C34C37"/>
    <w:rsid w:val="00C35808"/>
    <w:rsid w:val="00C42383"/>
    <w:rsid w:val="00C425CC"/>
    <w:rsid w:val="00C43325"/>
    <w:rsid w:val="00C43467"/>
    <w:rsid w:val="00C4682D"/>
    <w:rsid w:val="00C47221"/>
    <w:rsid w:val="00C47B0B"/>
    <w:rsid w:val="00C50234"/>
    <w:rsid w:val="00C5158F"/>
    <w:rsid w:val="00C5193C"/>
    <w:rsid w:val="00C54320"/>
    <w:rsid w:val="00C573FD"/>
    <w:rsid w:val="00C57491"/>
    <w:rsid w:val="00C60345"/>
    <w:rsid w:val="00C6043D"/>
    <w:rsid w:val="00C61F61"/>
    <w:rsid w:val="00C71774"/>
    <w:rsid w:val="00C734BA"/>
    <w:rsid w:val="00C75032"/>
    <w:rsid w:val="00C80F07"/>
    <w:rsid w:val="00C87BFB"/>
    <w:rsid w:val="00C90EA1"/>
    <w:rsid w:val="00C92275"/>
    <w:rsid w:val="00CA157F"/>
    <w:rsid w:val="00CA1D21"/>
    <w:rsid w:val="00CA3B73"/>
    <w:rsid w:val="00CA48D8"/>
    <w:rsid w:val="00CA6CEE"/>
    <w:rsid w:val="00CB0B25"/>
    <w:rsid w:val="00CB1354"/>
    <w:rsid w:val="00CB3C6F"/>
    <w:rsid w:val="00CB5422"/>
    <w:rsid w:val="00CC024E"/>
    <w:rsid w:val="00CC0573"/>
    <w:rsid w:val="00CC0C3F"/>
    <w:rsid w:val="00CC1365"/>
    <w:rsid w:val="00CC1BE7"/>
    <w:rsid w:val="00CC277A"/>
    <w:rsid w:val="00CC2850"/>
    <w:rsid w:val="00CC543A"/>
    <w:rsid w:val="00CC5A2D"/>
    <w:rsid w:val="00CC5DE4"/>
    <w:rsid w:val="00CC6668"/>
    <w:rsid w:val="00CC69B0"/>
    <w:rsid w:val="00CD0F41"/>
    <w:rsid w:val="00CD1008"/>
    <w:rsid w:val="00CD257B"/>
    <w:rsid w:val="00CD345C"/>
    <w:rsid w:val="00CD4109"/>
    <w:rsid w:val="00CD4A9E"/>
    <w:rsid w:val="00CD4F43"/>
    <w:rsid w:val="00CD7082"/>
    <w:rsid w:val="00CE02CF"/>
    <w:rsid w:val="00CE0A9F"/>
    <w:rsid w:val="00CE46B7"/>
    <w:rsid w:val="00CE55CB"/>
    <w:rsid w:val="00CE579A"/>
    <w:rsid w:val="00CE7238"/>
    <w:rsid w:val="00CF1CA3"/>
    <w:rsid w:val="00CF4C65"/>
    <w:rsid w:val="00CF509F"/>
    <w:rsid w:val="00D02E0A"/>
    <w:rsid w:val="00D04830"/>
    <w:rsid w:val="00D04E8C"/>
    <w:rsid w:val="00D04EC2"/>
    <w:rsid w:val="00D05E09"/>
    <w:rsid w:val="00D06350"/>
    <w:rsid w:val="00D06B02"/>
    <w:rsid w:val="00D07B1B"/>
    <w:rsid w:val="00D14C4B"/>
    <w:rsid w:val="00D14E58"/>
    <w:rsid w:val="00D167EF"/>
    <w:rsid w:val="00D16B8F"/>
    <w:rsid w:val="00D20B96"/>
    <w:rsid w:val="00D21C91"/>
    <w:rsid w:val="00D25947"/>
    <w:rsid w:val="00D25B5B"/>
    <w:rsid w:val="00D279DE"/>
    <w:rsid w:val="00D30CF7"/>
    <w:rsid w:val="00D35C80"/>
    <w:rsid w:val="00D36AE5"/>
    <w:rsid w:val="00D3770D"/>
    <w:rsid w:val="00D37ACA"/>
    <w:rsid w:val="00D41A72"/>
    <w:rsid w:val="00D43F7A"/>
    <w:rsid w:val="00D44E46"/>
    <w:rsid w:val="00D45CCE"/>
    <w:rsid w:val="00D4629C"/>
    <w:rsid w:val="00D5009F"/>
    <w:rsid w:val="00D530F1"/>
    <w:rsid w:val="00D5486E"/>
    <w:rsid w:val="00D57E9B"/>
    <w:rsid w:val="00D60E4B"/>
    <w:rsid w:val="00D6205A"/>
    <w:rsid w:val="00D63B27"/>
    <w:rsid w:val="00D6696B"/>
    <w:rsid w:val="00D713AC"/>
    <w:rsid w:val="00D72E4B"/>
    <w:rsid w:val="00D73F4E"/>
    <w:rsid w:val="00D758CC"/>
    <w:rsid w:val="00D811CD"/>
    <w:rsid w:val="00D8455B"/>
    <w:rsid w:val="00D85E0A"/>
    <w:rsid w:val="00D86230"/>
    <w:rsid w:val="00D8795D"/>
    <w:rsid w:val="00D901BD"/>
    <w:rsid w:val="00D90C48"/>
    <w:rsid w:val="00D90F55"/>
    <w:rsid w:val="00D9186B"/>
    <w:rsid w:val="00D97AEB"/>
    <w:rsid w:val="00DA25BA"/>
    <w:rsid w:val="00DA3640"/>
    <w:rsid w:val="00DA3D13"/>
    <w:rsid w:val="00DA6012"/>
    <w:rsid w:val="00DA6352"/>
    <w:rsid w:val="00DA6B8D"/>
    <w:rsid w:val="00DA6C05"/>
    <w:rsid w:val="00DB1FBF"/>
    <w:rsid w:val="00DB5A10"/>
    <w:rsid w:val="00DC4DAA"/>
    <w:rsid w:val="00DC76DA"/>
    <w:rsid w:val="00DD2668"/>
    <w:rsid w:val="00DD2D35"/>
    <w:rsid w:val="00DD382A"/>
    <w:rsid w:val="00DD5E9E"/>
    <w:rsid w:val="00DD7B59"/>
    <w:rsid w:val="00DE2AA1"/>
    <w:rsid w:val="00DF31C7"/>
    <w:rsid w:val="00DF35D2"/>
    <w:rsid w:val="00DF3A75"/>
    <w:rsid w:val="00DF4590"/>
    <w:rsid w:val="00DF4F68"/>
    <w:rsid w:val="00DF7D20"/>
    <w:rsid w:val="00E00594"/>
    <w:rsid w:val="00E06E36"/>
    <w:rsid w:val="00E07853"/>
    <w:rsid w:val="00E12E4E"/>
    <w:rsid w:val="00E13636"/>
    <w:rsid w:val="00E1455C"/>
    <w:rsid w:val="00E15EBF"/>
    <w:rsid w:val="00E16411"/>
    <w:rsid w:val="00E16EA3"/>
    <w:rsid w:val="00E173FA"/>
    <w:rsid w:val="00E176F3"/>
    <w:rsid w:val="00E2146B"/>
    <w:rsid w:val="00E222B3"/>
    <w:rsid w:val="00E23005"/>
    <w:rsid w:val="00E256A8"/>
    <w:rsid w:val="00E31E37"/>
    <w:rsid w:val="00E344F7"/>
    <w:rsid w:val="00E34C41"/>
    <w:rsid w:val="00E36CF4"/>
    <w:rsid w:val="00E37760"/>
    <w:rsid w:val="00E43462"/>
    <w:rsid w:val="00E46674"/>
    <w:rsid w:val="00E47AF4"/>
    <w:rsid w:val="00E509FA"/>
    <w:rsid w:val="00E51779"/>
    <w:rsid w:val="00E51AF6"/>
    <w:rsid w:val="00E536C3"/>
    <w:rsid w:val="00E5481A"/>
    <w:rsid w:val="00E601EA"/>
    <w:rsid w:val="00E60404"/>
    <w:rsid w:val="00E62326"/>
    <w:rsid w:val="00E63F20"/>
    <w:rsid w:val="00E66B23"/>
    <w:rsid w:val="00E718C0"/>
    <w:rsid w:val="00E72546"/>
    <w:rsid w:val="00E73474"/>
    <w:rsid w:val="00E74249"/>
    <w:rsid w:val="00E76A5C"/>
    <w:rsid w:val="00E76DE5"/>
    <w:rsid w:val="00E774DE"/>
    <w:rsid w:val="00E80837"/>
    <w:rsid w:val="00E83C38"/>
    <w:rsid w:val="00E8446D"/>
    <w:rsid w:val="00E853D3"/>
    <w:rsid w:val="00E86061"/>
    <w:rsid w:val="00E90570"/>
    <w:rsid w:val="00E916A5"/>
    <w:rsid w:val="00E91866"/>
    <w:rsid w:val="00E95FBF"/>
    <w:rsid w:val="00E96769"/>
    <w:rsid w:val="00EA11C8"/>
    <w:rsid w:val="00EA527C"/>
    <w:rsid w:val="00EA7C80"/>
    <w:rsid w:val="00EB1A1E"/>
    <w:rsid w:val="00EB35C9"/>
    <w:rsid w:val="00EB491C"/>
    <w:rsid w:val="00EB6926"/>
    <w:rsid w:val="00EB6F8E"/>
    <w:rsid w:val="00EB7841"/>
    <w:rsid w:val="00EB7B3C"/>
    <w:rsid w:val="00EC0C1D"/>
    <w:rsid w:val="00EC3C78"/>
    <w:rsid w:val="00ED094D"/>
    <w:rsid w:val="00ED27B1"/>
    <w:rsid w:val="00ED2873"/>
    <w:rsid w:val="00ED3279"/>
    <w:rsid w:val="00ED37E2"/>
    <w:rsid w:val="00ED3D28"/>
    <w:rsid w:val="00ED406C"/>
    <w:rsid w:val="00ED7C08"/>
    <w:rsid w:val="00EE17FA"/>
    <w:rsid w:val="00EE1F9F"/>
    <w:rsid w:val="00EF1497"/>
    <w:rsid w:val="00EF3200"/>
    <w:rsid w:val="00EF4B3F"/>
    <w:rsid w:val="00EF515F"/>
    <w:rsid w:val="00EF5A54"/>
    <w:rsid w:val="00EF6D73"/>
    <w:rsid w:val="00F006CC"/>
    <w:rsid w:val="00F014FE"/>
    <w:rsid w:val="00F0392F"/>
    <w:rsid w:val="00F075A3"/>
    <w:rsid w:val="00F10C72"/>
    <w:rsid w:val="00F13396"/>
    <w:rsid w:val="00F13B8A"/>
    <w:rsid w:val="00F1460F"/>
    <w:rsid w:val="00F14690"/>
    <w:rsid w:val="00F164D5"/>
    <w:rsid w:val="00F16D44"/>
    <w:rsid w:val="00F16E80"/>
    <w:rsid w:val="00F174E9"/>
    <w:rsid w:val="00F23CCD"/>
    <w:rsid w:val="00F2427C"/>
    <w:rsid w:val="00F24CA8"/>
    <w:rsid w:val="00F2517F"/>
    <w:rsid w:val="00F30C5C"/>
    <w:rsid w:val="00F360B0"/>
    <w:rsid w:val="00F378BC"/>
    <w:rsid w:val="00F40056"/>
    <w:rsid w:val="00F4193A"/>
    <w:rsid w:val="00F42D8A"/>
    <w:rsid w:val="00F458B1"/>
    <w:rsid w:val="00F45C74"/>
    <w:rsid w:val="00F463FE"/>
    <w:rsid w:val="00F46DD2"/>
    <w:rsid w:val="00F50B19"/>
    <w:rsid w:val="00F539CA"/>
    <w:rsid w:val="00F53BB3"/>
    <w:rsid w:val="00F5441C"/>
    <w:rsid w:val="00F557F8"/>
    <w:rsid w:val="00F55804"/>
    <w:rsid w:val="00F56B2F"/>
    <w:rsid w:val="00F576FF"/>
    <w:rsid w:val="00F60BBF"/>
    <w:rsid w:val="00F63559"/>
    <w:rsid w:val="00F65C79"/>
    <w:rsid w:val="00F708C1"/>
    <w:rsid w:val="00F70AFE"/>
    <w:rsid w:val="00F70BC0"/>
    <w:rsid w:val="00F70C5D"/>
    <w:rsid w:val="00F70E8C"/>
    <w:rsid w:val="00F72230"/>
    <w:rsid w:val="00F72972"/>
    <w:rsid w:val="00F74DCA"/>
    <w:rsid w:val="00F75C93"/>
    <w:rsid w:val="00F76B62"/>
    <w:rsid w:val="00F77E2D"/>
    <w:rsid w:val="00F81755"/>
    <w:rsid w:val="00F82488"/>
    <w:rsid w:val="00F83781"/>
    <w:rsid w:val="00F87127"/>
    <w:rsid w:val="00F92113"/>
    <w:rsid w:val="00F92251"/>
    <w:rsid w:val="00F9639E"/>
    <w:rsid w:val="00F967EC"/>
    <w:rsid w:val="00FA6E16"/>
    <w:rsid w:val="00FA73A5"/>
    <w:rsid w:val="00FB0D5D"/>
    <w:rsid w:val="00FB5013"/>
    <w:rsid w:val="00FB5173"/>
    <w:rsid w:val="00FC1431"/>
    <w:rsid w:val="00FC5885"/>
    <w:rsid w:val="00FC700E"/>
    <w:rsid w:val="00FD3345"/>
    <w:rsid w:val="00FD522C"/>
    <w:rsid w:val="00FE0B75"/>
    <w:rsid w:val="00FE1191"/>
    <w:rsid w:val="00FE2561"/>
    <w:rsid w:val="00FE2684"/>
    <w:rsid w:val="00FE2820"/>
    <w:rsid w:val="00FE3146"/>
    <w:rsid w:val="00FE32D4"/>
    <w:rsid w:val="00FE3BBB"/>
    <w:rsid w:val="00FE41DA"/>
    <w:rsid w:val="00FE4E07"/>
    <w:rsid w:val="00FE51F4"/>
    <w:rsid w:val="00FE6F99"/>
    <w:rsid w:val="00FF169B"/>
    <w:rsid w:val="00FF31DC"/>
    <w:rsid w:val="00FF3978"/>
    <w:rsid w:val="00FF3B5F"/>
    <w:rsid w:val="00FF47B9"/>
    <w:rsid w:val="00FF5978"/>
    <w:rsid w:val="00FF65E6"/>
    <w:rsid w:val="00FF73C9"/>
    <w:rsid w:val="0157D890"/>
    <w:rsid w:val="0203332C"/>
    <w:rsid w:val="0238D10B"/>
    <w:rsid w:val="032FAA7D"/>
    <w:rsid w:val="03B1E62D"/>
    <w:rsid w:val="03D6F8BD"/>
    <w:rsid w:val="03FB3C56"/>
    <w:rsid w:val="049BFC5B"/>
    <w:rsid w:val="04D8E2DF"/>
    <w:rsid w:val="054627F6"/>
    <w:rsid w:val="05739C77"/>
    <w:rsid w:val="0636C4C4"/>
    <w:rsid w:val="063AE077"/>
    <w:rsid w:val="079777FE"/>
    <w:rsid w:val="0833391F"/>
    <w:rsid w:val="0858CDA3"/>
    <w:rsid w:val="0891AA8A"/>
    <w:rsid w:val="092E7BDB"/>
    <w:rsid w:val="096C26E1"/>
    <w:rsid w:val="0A1AC5E3"/>
    <w:rsid w:val="0A62199B"/>
    <w:rsid w:val="0A6E086B"/>
    <w:rsid w:val="0B01FF44"/>
    <w:rsid w:val="0B4FECA4"/>
    <w:rsid w:val="0BB27121"/>
    <w:rsid w:val="0BE70831"/>
    <w:rsid w:val="0C788851"/>
    <w:rsid w:val="0CB1A209"/>
    <w:rsid w:val="0CBD18F8"/>
    <w:rsid w:val="0CF0EB32"/>
    <w:rsid w:val="0DB186B3"/>
    <w:rsid w:val="0E4EC03D"/>
    <w:rsid w:val="0E6FB741"/>
    <w:rsid w:val="0E9E0552"/>
    <w:rsid w:val="0F084702"/>
    <w:rsid w:val="0F74D97E"/>
    <w:rsid w:val="0F84B0BF"/>
    <w:rsid w:val="0F8F9F73"/>
    <w:rsid w:val="0FFC5C8F"/>
    <w:rsid w:val="109A3531"/>
    <w:rsid w:val="10B50279"/>
    <w:rsid w:val="11DDBA03"/>
    <w:rsid w:val="1247AC58"/>
    <w:rsid w:val="1272DD65"/>
    <w:rsid w:val="12C09F06"/>
    <w:rsid w:val="130724AD"/>
    <w:rsid w:val="132CD89A"/>
    <w:rsid w:val="134FB944"/>
    <w:rsid w:val="139D3347"/>
    <w:rsid w:val="151B2D1D"/>
    <w:rsid w:val="153FB007"/>
    <w:rsid w:val="1567502A"/>
    <w:rsid w:val="158AFF8C"/>
    <w:rsid w:val="15B9B2FB"/>
    <w:rsid w:val="15F816FD"/>
    <w:rsid w:val="161EDBCD"/>
    <w:rsid w:val="174E8CA7"/>
    <w:rsid w:val="1753D5CF"/>
    <w:rsid w:val="17FC5FAF"/>
    <w:rsid w:val="192B2C60"/>
    <w:rsid w:val="198D4715"/>
    <w:rsid w:val="19A0B271"/>
    <w:rsid w:val="19A2FDD9"/>
    <w:rsid w:val="19ECF059"/>
    <w:rsid w:val="1B1E74A5"/>
    <w:rsid w:val="1B68E5D6"/>
    <w:rsid w:val="1D437829"/>
    <w:rsid w:val="1DCCB972"/>
    <w:rsid w:val="1DF0D700"/>
    <w:rsid w:val="1F09C885"/>
    <w:rsid w:val="1F5E08F8"/>
    <w:rsid w:val="1F5E7BBA"/>
    <w:rsid w:val="1F92D075"/>
    <w:rsid w:val="1FA6C19D"/>
    <w:rsid w:val="1FF0E841"/>
    <w:rsid w:val="202EF7F1"/>
    <w:rsid w:val="20AC5F3E"/>
    <w:rsid w:val="213B216F"/>
    <w:rsid w:val="219063AB"/>
    <w:rsid w:val="2268AEEC"/>
    <w:rsid w:val="229175ED"/>
    <w:rsid w:val="22BDDC31"/>
    <w:rsid w:val="22E012BC"/>
    <w:rsid w:val="22E1CB52"/>
    <w:rsid w:val="235FC8E8"/>
    <w:rsid w:val="23E22C0F"/>
    <w:rsid w:val="2400928A"/>
    <w:rsid w:val="240B1B53"/>
    <w:rsid w:val="24550786"/>
    <w:rsid w:val="249C1841"/>
    <w:rsid w:val="25C899B4"/>
    <w:rsid w:val="25D92B27"/>
    <w:rsid w:val="2613E926"/>
    <w:rsid w:val="26662A44"/>
    <w:rsid w:val="26BF2851"/>
    <w:rsid w:val="272632A2"/>
    <w:rsid w:val="275D90F5"/>
    <w:rsid w:val="27CFF7A4"/>
    <w:rsid w:val="2816749C"/>
    <w:rsid w:val="286AD15C"/>
    <w:rsid w:val="28A33FE3"/>
    <w:rsid w:val="28ABDF05"/>
    <w:rsid w:val="293B82FA"/>
    <w:rsid w:val="2A8F8E82"/>
    <w:rsid w:val="2B23C150"/>
    <w:rsid w:val="2B912B14"/>
    <w:rsid w:val="2BA84FD3"/>
    <w:rsid w:val="2C5BA7F2"/>
    <w:rsid w:val="2C5F73F9"/>
    <w:rsid w:val="2CC3804A"/>
    <w:rsid w:val="2CD7E7FB"/>
    <w:rsid w:val="2DB3989B"/>
    <w:rsid w:val="2E33E072"/>
    <w:rsid w:val="2E6BA695"/>
    <w:rsid w:val="2E86017E"/>
    <w:rsid w:val="2EE083A9"/>
    <w:rsid w:val="2F660B3E"/>
    <w:rsid w:val="2F7F3958"/>
    <w:rsid w:val="2FCB4C4A"/>
    <w:rsid w:val="2FE95F0F"/>
    <w:rsid w:val="30333AF7"/>
    <w:rsid w:val="31AA6351"/>
    <w:rsid w:val="3245DF21"/>
    <w:rsid w:val="328F754A"/>
    <w:rsid w:val="3370B3CE"/>
    <w:rsid w:val="33773A88"/>
    <w:rsid w:val="34323649"/>
    <w:rsid w:val="34328F70"/>
    <w:rsid w:val="34506ACA"/>
    <w:rsid w:val="34CCF7AD"/>
    <w:rsid w:val="369B8DFE"/>
    <w:rsid w:val="36BAB6C1"/>
    <w:rsid w:val="377B3F34"/>
    <w:rsid w:val="3813926B"/>
    <w:rsid w:val="38B91C9D"/>
    <w:rsid w:val="38BE41E4"/>
    <w:rsid w:val="39668597"/>
    <w:rsid w:val="396FE02A"/>
    <w:rsid w:val="39B5B36A"/>
    <w:rsid w:val="39E8C76B"/>
    <w:rsid w:val="3A67F9C6"/>
    <w:rsid w:val="3ADF3B73"/>
    <w:rsid w:val="3AFC2941"/>
    <w:rsid w:val="3B273A43"/>
    <w:rsid w:val="3B4CAC90"/>
    <w:rsid w:val="3C765507"/>
    <w:rsid w:val="3CCED3D4"/>
    <w:rsid w:val="3CFD490D"/>
    <w:rsid w:val="3D3ED06E"/>
    <w:rsid w:val="3D832D21"/>
    <w:rsid w:val="3E2E955F"/>
    <w:rsid w:val="3E4389B7"/>
    <w:rsid w:val="3E46BD46"/>
    <w:rsid w:val="3E6B2F96"/>
    <w:rsid w:val="3E8EBFB3"/>
    <w:rsid w:val="3EBE72DA"/>
    <w:rsid w:val="3ECB8B40"/>
    <w:rsid w:val="3EF10AC5"/>
    <w:rsid w:val="3F54B50E"/>
    <w:rsid w:val="3F7F4841"/>
    <w:rsid w:val="3FB4C34B"/>
    <w:rsid w:val="400A0E2D"/>
    <w:rsid w:val="40B02956"/>
    <w:rsid w:val="40C42A35"/>
    <w:rsid w:val="40F9A2E3"/>
    <w:rsid w:val="40FA08D9"/>
    <w:rsid w:val="4258FC6E"/>
    <w:rsid w:val="426B2A31"/>
    <w:rsid w:val="432812F0"/>
    <w:rsid w:val="433E6824"/>
    <w:rsid w:val="43499C46"/>
    <w:rsid w:val="43CA2C0A"/>
    <w:rsid w:val="43CB242B"/>
    <w:rsid w:val="43E1C54B"/>
    <w:rsid w:val="43F0D305"/>
    <w:rsid w:val="44661BF9"/>
    <w:rsid w:val="447A196C"/>
    <w:rsid w:val="4555A31D"/>
    <w:rsid w:val="45EFFE87"/>
    <w:rsid w:val="465D4527"/>
    <w:rsid w:val="46C2DB5D"/>
    <w:rsid w:val="470AAE7B"/>
    <w:rsid w:val="471C1D6C"/>
    <w:rsid w:val="477E9604"/>
    <w:rsid w:val="479A945F"/>
    <w:rsid w:val="47CA9912"/>
    <w:rsid w:val="47EB6F67"/>
    <w:rsid w:val="481091FB"/>
    <w:rsid w:val="4856B1D4"/>
    <w:rsid w:val="48C969E5"/>
    <w:rsid w:val="4949680B"/>
    <w:rsid w:val="4962F00E"/>
    <w:rsid w:val="49697951"/>
    <w:rsid w:val="4A1A0512"/>
    <w:rsid w:val="4AB95F4F"/>
    <w:rsid w:val="4AE7C00C"/>
    <w:rsid w:val="4AFF9834"/>
    <w:rsid w:val="4B4FDF39"/>
    <w:rsid w:val="4C285F90"/>
    <w:rsid w:val="4CE549F7"/>
    <w:rsid w:val="4E06F23F"/>
    <w:rsid w:val="4EB3E55F"/>
    <w:rsid w:val="4F10D19C"/>
    <w:rsid w:val="4F33A328"/>
    <w:rsid w:val="4F44070A"/>
    <w:rsid w:val="4F9BCF97"/>
    <w:rsid w:val="509B36AC"/>
    <w:rsid w:val="50A35BDB"/>
    <w:rsid w:val="50DF3D3C"/>
    <w:rsid w:val="5128FECD"/>
    <w:rsid w:val="51D006AD"/>
    <w:rsid w:val="51DD3ECB"/>
    <w:rsid w:val="52E4A053"/>
    <w:rsid w:val="53909B78"/>
    <w:rsid w:val="539A2F54"/>
    <w:rsid w:val="54147C65"/>
    <w:rsid w:val="542DAA10"/>
    <w:rsid w:val="543FC139"/>
    <w:rsid w:val="547F7FB0"/>
    <w:rsid w:val="54F022A0"/>
    <w:rsid w:val="54F6C123"/>
    <w:rsid w:val="55E90B90"/>
    <w:rsid w:val="568CB0B1"/>
    <w:rsid w:val="575579FC"/>
    <w:rsid w:val="575CE81A"/>
    <w:rsid w:val="576D036A"/>
    <w:rsid w:val="5781DC50"/>
    <w:rsid w:val="5875156F"/>
    <w:rsid w:val="58A88D80"/>
    <w:rsid w:val="593DB560"/>
    <w:rsid w:val="5959A86D"/>
    <w:rsid w:val="59EB642A"/>
    <w:rsid w:val="5A15E708"/>
    <w:rsid w:val="5B5049E4"/>
    <w:rsid w:val="5C810FF2"/>
    <w:rsid w:val="5CC82F3A"/>
    <w:rsid w:val="5DEC9654"/>
    <w:rsid w:val="5E759982"/>
    <w:rsid w:val="5E970735"/>
    <w:rsid w:val="5EF2EAA6"/>
    <w:rsid w:val="5F4DC9CB"/>
    <w:rsid w:val="5F9F2F57"/>
    <w:rsid w:val="5FDECA47"/>
    <w:rsid w:val="618F0615"/>
    <w:rsid w:val="61908695"/>
    <w:rsid w:val="628EAA64"/>
    <w:rsid w:val="629AE8CB"/>
    <w:rsid w:val="62ADC41F"/>
    <w:rsid w:val="62D51D07"/>
    <w:rsid w:val="62F5FBE7"/>
    <w:rsid w:val="6349164B"/>
    <w:rsid w:val="634E5B46"/>
    <w:rsid w:val="636531AA"/>
    <w:rsid w:val="63EECF4F"/>
    <w:rsid w:val="6428F090"/>
    <w:rsid w:val="64DE97A9"/>
    <w:rsid w:val="64F78623"/>
    <w:rsid w:val="65EAC115"/>
    <w:rsid w:val="6631F0DB"/>
    <w:rsid w:val="6675D8AE"/>
    <w:rsid w:val="66864CBC"/>
    <w:rsid w:val="66AABE38"/>
    <w:rsid w:val="67448B93"/>
    <w:rsid w:val="67676BB3"/>
    <w:rsid w:val="6770C095"/>
    <w:rsid w:val="6801939B"/>
    <w:rsid w:val="6806677B"/>
    <w:rsid w:val="680FCEB9"/>
    <w:rsid w:val="6869BA44"/>
    <w:rsid w:val="68A56DF8"/>
    <w:rsid w:val="695F2CA3"/>
    <w:rsid w:val="6A99EF48"/>
    <w:rsid w:val="6A9B7F45"/>
    <w:rsid w:val="6B60BBC7"/>
    <w:rsid w:val="6B7AAD5A"/>
    <w:rsid w:val="6C34B04B"/>
    <w:rsid w:val="6C5A840E"/>
    <w:rsid w:val="6CF128A1"/>
    <w:rsid w:val="6D0973E2"/>
    <w:rsid w:val="6D185F76"/>
    <w:rsid w:val="6D1955F0"/>
    <w:rsid w:val="6E5ABC82"/>
    <w:rsid w:val="6E935E80"/>
    <w:rsid w:val="6EB3123B"/>
    <w:rsid w:val="6F2858B7"/>
    <w:rsid w:val="7080998C"/>
    <w:rsid w:val="70CD7FE9"/>
    <w:rsid w:val="71652F33"/>
    <w:rsid w:val="71948599"/>
    <w:rsid w:val="72B7BC95"/>
    <w:rsid w:val="7306CE50"/>
    <w:rsid w:val="73590FB9"/>
    <w:rsid w:val="7376FF00"/>
    <w:rsid w:val="73DC811E"/>
    <w:rsid w:val="74447035"/>
    <w:rsid w:val="75564D1E"/>
    <w:rsid w:val="760FDD5A"/>
    <w:rsid w:val="768049E6"/>
    <w:rsid w:val="77027EBB"/>
    <w:rsid w:val="7804F825"/>
    <w:rsid w:val="7825B464"/>
    <w:rsid w:val="7836B778"/>
    <w:rsid w:val="789590C2"/>
    <w:rsid w:val="78D0DE3D"/>
    <w:rsid w:val="7960C7D5"/>
    <w:rsid w:val="79C1C50F"/>
    <w:rsid w:val="7A2114D5"/>
    <w:rsid w:val="7A37AED3"/>
    <w:rsid w:val="7A6D4A96"/>
    <w:rsid w:val="7B2872FB"/>
    <w:rsid w:val="7B28D580"/>
    <w:rsid w:val="7B3C6FD5"/>
    <w:rsid w:val="7B3F5800"/>
    <w:rsid w:val="7B6CD6C9"/>
    <w:rsid w:val="7B6E03C5"/>
    <w:rsid w:val="7C3170E3"/>
    <w:rsid w:val="7C8FA4AC"/>
    <w:rsid w:val="7D4DBAF6"/>
    <w:rsid w:val="7DF9C12F"/>
    <w:rsid w:val="7EDCC9FC"/>
    <w:rsid w:val="7EF5829D"/>
    <w:rsid w:val="7F677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2B69A"/>
  <w15:chartTrackingRefBased/>
  <w15:docId w15:val="{9F547F98-C3BC-498E-B6BC-DB79097F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F04"/>
  </w:style>
  <w:style w:type="paragraph" w:styleId="Heading1">
    <w:name w:val="heading 1"/>
    <w:basedOn w:val="Normal"/>
    <w:next w:val="Normal"/>
    <w:link w:val="Heading1Char"/>
    <w:uiPriority w:val="9"/>
    <w:qFormat/>
    <w:rsid w:val="004E1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1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1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1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1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1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1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B5E"/>
    <w:rPr>
      <w:rFonts w:eastAsiaTheme="majorEastAsia" w:cstheme="majorBidi"/>
      <w:color w:val="272727" w:themeColor="text1" w:themeTint="D8"/>
    </w:rPr>
  </w:style>
  <w:style w:type="paragraph" w:styleId="Title">
    <w:name w:val="Title"/>
    <w:basedOn w:val="Normal"/>
    <w:next w:val="Normal"/>
    <w:link w:val="TitleChar"/>
    <w:uiPriority w:val="10"/>
    <w:qFormat/>
    <w:rsid w:val="004E1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B5E"/>
    <w:pPr>
      <w:spacing w:before="160"/>
      <w:jc w:val="center"/>
    </w:pPr>
    <w:rPr>
      <w:i/>
      <w:iCs/>
      <w:color w:val="404040" w:themeColor="text1" w:themeTint="BF"/>
    </w:rPr>
  </w:style>
  <w:style w:type="character" w:customStyle="1" w:styleId="QuoteChar">
    <w:name w:val="Quote Char"/>
    <w:basedOn w:val="DefaultParagraphFont"/>
    <w:link w:val="Quote"/>
    <w:uiPriority w:val="29"/>
    <w:rsid w:val="004E1B5E"/>
    <w:rPr>
      <w:i/>
      <w:iCs/>
      <w:color w:val="404040" w:themeColor="text1" w:themeTint="BF"/>
    </w:rPr>
  </w:style>
  <w:style w:type="paragraph" w:styleId="ListParagraph">
    <w:name w:val="List Paragraph"/>
    <w:basedOn w:val="Normal"/>
    <w:uiPriority w:val="34"/>
    <w:qFormat/>
    <w:rsid w:val="004E1B5E"/>
    <w:pPr>
      <w:ind w:left="720"/>
      <w:contextualSpacing/>
    </w:pPr>
  </w:style>
  <w:style w:type="character" w:styleId="IntenseEmphasis">
    <w:name w:val="Intense Emphasis"/>
    <w:basedOn w:val="DefaultParagraphFont"/>
    <w:uiPriority w:val="21"/>
    <w:qFormat/>
    <w:rsid w:val="004E1B5E"/>
    <w:rPr>
      <w:i/>
      <w:iCs/>
      <w:color w:val="0F4761" w:themeColor="accent1" w:themeShade="BF"/>
    </w:rPr>
  </w:style>
  <w:style w:type="paragraph" w:styleId="IntenseQuote">
    <w:name w:val="Intense Quote"/>
    <w:basedOn w:val="Normal"/>
    <w:next w:val="Normal"/>
    <w:link w:val="IntenseQuoteChar"/>
    <w:uiPriority w:val="30"/>
    <w:qFormat/>
    <w:rsid w:val="004E1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B5E"/>
    <w:rPr>
      <w:i/>
      <w:iCs/>
      <w:color w:val="0F4761" w:themeColor="accent1" w:themeShade="BF"/>
    </w:rPr>
  </w:style>
  <w:style w:type="character" w:styleId="IntenseReference">
    <w:name w:val="Intense Reference"/>
    <w:basedOn w:val="DefaultParagraphFont"/>
    <w:uiPriority w:val="32"/>
    <w:qFormat/>
    <w:rsid w:val="004E1B5E"/>
    <w:rPr>
      <w:b/>
      <w:bCs/>
      <w:smallCaps/>
      <w:color w:val="0F4761" w:themeColor="accent1" w:themeShade="BF"/>
      <w:spacing w:val="5"/>
    </w:rPr>
  </w:style>
  <w:style w:type="paragraph" w:styleId="Header">
    <w:name w:val="header"/>
    <w:basedOn w:val="Normal"/>
    <w:link w:val="HeaderChar"/>
    <w:uiPriority w:val="99"/>
    <w:unhideWhenUsed/>
    <w:rsid w:val="004E1B5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E1B5E"/>
  </w:style>
  <w:style w:type="paragraph" w:styleId="Footer">
    <w:name w:val="footer"/>
    <w:basedOn w:val="Normal"/>
    <w:link w:val="FooterChar"/>
    <w:uiPriority w:val="99"/>
    <w:unhideWhenUsed/>
    <w:rsid w:val="004E1B5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E1B5E"/>
  </w:style>
  <w:style w:type="character" w:styleId="Hyperlink">
    <w:name w:val="Hyperlink"/>
    <w:basedOn w:val="DefaultParagraphFont"/>
    <w:uiPriority w:val="99"/>
    <w:unhideWhenUsed/>
    <w:rsid w:val="004E1B5E"/>
    <w:rPr>
      <w:color w:val="467886" w:themeColor="hyperlink"/>
      <w:u w:val="single"/>
    </w:rPr>
  </w:style>
  <w:style w:type="character" w:styleId="UnresolvedMention">
    <w:name w:val="Unresolved Mention"/>
    <w:basedOn w:val="DefaultParagraphFont"/>
    <w:uiPriority w:val="99"/>
    <w:semiHidden/>
    <w:unhideWhenUsed/>
    <w:rsid w:val="004E1B5E"/>
    <w:rPr>
      <w:color w:val="605E5C"/>
      <w:shd w:val="clear" w:color="auto" w:fill="E1DFDD"/>
    </w:rPr>
  </w:style>
  <w:style w:type="table" w:styleId="TableGrid">
    <w:name w:val="Table Grid"/>
    <w:basedOn w:val="TableNormal"/>
    <w:uiPriority w:val="39"/>
    <w:rsid w:val="00355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530C3E"/>
    <w:pPr>
      <w:spacing w:after="0" w:line="240" w:lineRule="auto"/>
    </w:pPr>
  </w:style>
  <w:style w:type="character" w:styleId="CommentReference">
    <w:name w:val="annotation reference"/>
    <w:basedOn w:val="DefaultParagraphFont"/>
    <w:uiPriority w:val="99"/>
    <w:semiHidden/>
    <w:unhideWhenUsed/>
    <w:rsid w:val="00AC762D"/>
    <w:rPr>
      <w:sz w:val="16"/>
      <w:szCs w:val="16"/>
    </w:rPr>
  </w:style>
  <w:style w:type="paragraph" w:styleId="CommentText">
    <w:name w:val="annotation text"/>
    <w:basedOn w:val="Normal"/>
    <w:link w:val="CommentTextChar"/>
    <w:uiPriority w:val="99"/>
    <w:semiHidden/>
    <w:unhideWhenUsed/>
    <w:rsid w:val="00AC762D"/>
    <w:pPr>
      <w:spacing w:line="240" w:lineRule="auto"/>
    </w:pPr>
    <w:rPr>
      <w:sz w:val="20"/>
      <w:szCs w:val="20"/>
    </w:rPr>
  </w:style>
  <w:style w:type="character" w:customStyle="1" w:styleId="CommentTextChar">
    <w:name w:val="Comment Text Char"/>
    <w:basedOn w:val="DefaultParagraphFont"/>
    <w:link w:val="CommentText"/>
    <w:uiPriority w:val="99"/>
    <w:semiHidden/>
    <w:rsid w:val="00AC762D"/>
    <w:rPr>
      <w:sz w:val="20"/>
      <w:szCs w:val="20"/>
    </w:rPr>
  </w:style>
  <w:style w:type="paragraph" w:styleId="CommentSubject">
    <w:name w:val="annotation subject"/>
    <w:basedOn w:val="CommentText"/>
    <w:next w:val="CommentText"/>
    <w:link w:val="CommentSubjectChar"/>
    <w:uiPriority w:val="99"/>
    <w:semiHidden/>
    <w:unhideWhenUsed/>
    <w:rsid w:val="00AC762D"/>
    <w:rPr>
      <w:b/>
      <w:bCs/>
    </w:rPr>
  </w:style>
  <w:style w:type="character" w:customStyle="1" w:styleId="CommentSubjectChar">
    <w:name w:val="Comment Subject Char"/>
    <w:basedOn w:val="CommentTextChar"/>
    <w:link w:val="CommentSubject"/>
    <w:uiPriority w:val="99"/>
    <w:semiHidden/>
    <w:rsid w:val="00AC762D"/>
    <w:rPr>
      <w:b/>
      <w:bCs/>
      <w:sz w:val="20"/>
      <w:szCs w:val="20"/>
    </w:rPr>
  </w:style>
  <w:style w:type="paragraph" w:styleId="NormalWeb">
    <w:name w:val="Normal (Web)"/>
    <w:basedOn w:val="Normal"/>
    <w:uiPriority w:val="99"/>
    <w:semiHidden/>
    <w:unhideWhenUsed/>
    <w:rsid w:val="000C72B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tionale-leitstelle.de/aktuelles-service/newshub/ladebedarf-bis-2030-neu-ermitte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stnetz.de/de/einspeisen/snap-online-portal.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7040e6-bd2c-44d3-821a-04f978f2478c" xsi:nil="true"/>
    <lcf76f155ced4ddcb4097134ff3c332f xmlns="62057548-5550-48cf-8414-9e1316ee961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728CE5C2ED2CC4AAC0CCC43D9633A80" ma:contentTypeVersion="11" ma:contentTypeDescription="Ein neues Dokument erstellen." ma:contentTypeScope="" ma:versionID="33c09f5d4e06a75ac947eca68192bd2d">
  <xsd:schema xmlns:xsd="http://www.w3.org/2001/XMLSchema" xmlns:xs="http://www.w3.org/2001/XMLSchema" xmlns:p="http://schemas.microsoft.com/office/2006/metadata/properties" xmlns:ns2="62057548-5550-48cf-8414-9e1316ee961f" xmlns:ns3="0f7040e6-bd2c-44d3-821a-04f978f2478c" targetNamespace="http://schemas.microsoft.com/office/2006/metadata/properties" ma:root="true" ma:fieldsID="bf6b66c8b4dde1a3bf4d8bba27b90901" ns2:_="" ns3:_="">
    <xsd:import namespace="62057548-5550-48cf-8414-9e1316ee961f"/>
    <xsd:import namespace="0f7040e6-bd2c-44d3-821a-04f978f247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57548-5550-48cf-8414-9e1316ee96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7d01e515-d8fd-44e9-9fc5-27d82c532df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7040e6-bd2c-44d3-821a-04f978f2478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aa00480-d9bb-4f34-a1fe-c4cacbcc7d8a}" ma:internalName="TaxCatchAll" ma:showField="CatchAllData" ma:web="0f7040e6-bd2c-44d3-821a-04f978f24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1F624E-FF8F-4ACF-9866-ED9E9719B696}">
  <ds:schemaRefs>
    <ds:schemaRef ds:uri="http://schemas.microsoft.com/office/2006/metadata/properties"/>
    <ds:schemaRef ds:uri="http://schemas.microsoft.com/office/infopath/2007/PartnerControls"/>
    <ds:schemaRef ds:uri="0f7040e6-bd2c-44d3-821a-04f978f2478c"/>
    <ds:schemaRef ds:uri="62057548-5550-48cf-8414-9e1316ee961f"/>
  </ds:schemaRefs>
</ds:datastoreItem>
</file>

<file path=customXml/itemProps2.xml><?xml version="1.0" encoding="utf-8"?>
<ds:datastoreItem xmlns:ds="http://schemas.openxmlformats.org/officeDocument/2006/customXml" ds:itemID="{97577D33-93A0-48FE-A4E4-CAAC2B09D18C}">
  <ds:schemaRefs>
    <ds:schemaRef ds:uri="http://schemas.openxmlformats.org/officeDocument/2006/bibliography"/>
  </ds:schemaRefs>
</ds:datastoreItem>
</file>

<file path=customXml/itemProps3.xml><?xml version="1.0" encoding="utf-8"?>
<ds:datastoreItem xmlns:ds="http://schemas.openxmlformats.org/officeDocument/2006/customXml" ds:itemID="{6C9CBD68-2953-4B2D-AD50-EE65F2D4C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57548-5550-48cf-8414-9e1316ee961f"/>
    <ds:schemaRef ds:uri="0f7040e6-bd2c-44d3-821a-04f978f24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8B48D7-AB5F-414C-91BB-2AD9555A3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3155</Words>
  <Characters>17988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21101</CharactersWithSpaces>
  <SharedDoc>false</SharedDoc>
  <HLinks>
    <vt:vector size="6" baseType="variant">
      <vt:variant>
        <vt:i4>7405638</vt:i4>
      </vt:variant>
      <vt:variant>
        <vt:i4>0</vt:i4>
      </vt:variant>
      <vt:variant>
        <vt:i4>0</vt:i4>
      </vt:variant>
      <vt:variant>
        <vt:i4>5</vt:i4>
      </vt:variant>
      <vt:variant>
        <vt:lpwstr>mailto:Ref-G23@bmv.bund.de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Bott</dc:creator>
  <cp:keywords/>
  <dc:description/>
  <cp:lastModifiedBy>Sebastian Bott</cp:lastModifiedBy>
  <cp:revision>534</cp:revision>
  <cp:lastPrinted>2026-03-25T16:32:00Z</cp:lastPrinted>
  <dcterms:created xsi:type="dcterms:W3CDTF">2025-10-24T22:13:00Z</dcterms:created>
  <dcterms:modified xsi:type="dcterms:W3CDTF">2026-07-22T09:19:00Z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0x010100D728CE5C2ED2CC4AAC0CCC43D9633A80</vt:lpwstr>
  </property>
  <property fmtid="{D5CDD505-2E9C-101B-9397-08002B2CF9AE}" pid="3" name="MediaServiceImageTags">
    <vt:lpwstr/>
  </property>
  <property fmtid="{D5CDD505-2E9C-101B-9397-08002B2CF9AE}" pid="4" name="docLang">
    <vt:lpwstr>de</vt:lpwstr>
  </property>
</Properties>
</file>