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45062" w14:textId="405CBF54" w:rsidR="00A927FB" w:rsidRDefault="00887DA9" w:rsidP="003C0CE4">
      <w:pPr>
        <w:spacing w:line="252" w:lineRule="auto"/>
        <w:jc w:val="center"/>
        <w:rPr>
          <w:b/>
          <w:bCs/>
          <w:caps/>
          <w:lang w:val="de-DE"/>
        </w:rPr>
      </w:pPr>
      <w:r w:rsidRPr="00ED1172">
        <w:rPr>
          <w:b/>
          <w:bCs/>
          <w:caps/>
          <w:lang w:val="de-DE"/>
        </w:rPr>
        <w:t xml:space="preserve">PositionsCHREIBEN des Verbands </w:t>
      </w:r>
      <w:r w:rsidR="00D5055C" w:rsidRPr="00ED1172">
        <w:rPr>
          <w:b/>
          <w:bCs/>
          <w:caps/>
          <w:lang w:val="de-DE"/>
        </w:rPr>
        <w:br/>
      </w:r>
      <w:r w:rsidRPr="00ED1172">
        <w:rPr>
          <w:b/>
          <w:bCs/>
          <w:caps/>
          <w:lang w:val="de-DE"/>
        </w:rPr>
        <w:t>charGER e.V. – Ladeinfrastruktur für Deutschland</w:t>
      </w:r>
    </w:p>
    <w:p w14:paraId="1B04D027" w14:textId="77777777" w:rsidR="007855A7" w:rsidRPr="00ED1172" w:rsidRDefault="007855A7" w:rsidP="003C0CE4">
      <w:pPr>
        <w:spacing w:line="252" w:lineRule="auto"/>
        <w:jc w:val="center"/>
        <w:rPr>
          <w:b/>
          <w:bCs/>
          <w:caps/>
          <w:lang w:val="de-DE"/>
        </w:rPr>
      </w:pPr>
    </w:p>
    <w:p w14:paraId="6117C1C2" w14:textId="01DB53C0" w:rsidR="00D5055C" w:rsidRPr="00ED1172" w:rsidRDefault="00D5055C" w:rsidP="003C0CE4">
      <w:pPr>
        <w:shd w:val="clear" w:color="auto" w:fill="F2F2F2" w:themeFill="background1" w:themeFillShade="F2"/>
        <w:spacing w:line="252" w:lineRule="auto"/>
        <w:jc w:val="center"/>
        <w:rPr>
          <w:b/>
          <w:bCs/>
          <w:caps/>
          <w:sz w:val="36"/>
          <w:szCs w:val="36"/>
          <w:lang w:val="de-DE"/>
        </w:rPr>
      </w:pPr>
      <w:r w:rsidRPr="00ED1172">
        <w:rPr>
          <w:b/>
          <w:bCs/>
          <w:caps/>
          <w:sz w:val="36"/>
          <w:szCs w:val="36"/>
          <w:lang w:val="de-DE"/>
        </w:rPr>
        <w:t>Digitalisierungspaket Netzanschluss</w:t>
      </w:r>
      <w:r w:rsidR="00496771">
        <w:rPr>
          <w:b/>
          <w:bCs/>
          <w:caps/>
          <w:sz w:val="36"/>
          <w:szCs w:val="36"/>
          <w:lang w:val="de-DE"/>
        </w:rPr>
        <w:t>:</w:t>
      </w:r>
      <w:r w:rsidRPr="00ED1172">
        <w:rPr>
          <w:b/>
          <w:bCs/>
          <w:caps/>
          <w:sz w:val="36"/>
          <w:szCs w:val="36"/>
          <w:lang w:val="de-DE"/>
        </w:rPr>
        <w:t xml:space="preserve"> </w:t>
      </w:r>
      <w:r w:rsidR="00496771">
        <w:rPr>
          <w:b/>
          <w:bCs/>
          <w:caps/>
          <w:sz w:val="36"/>
          <w:szCs w:val="36"/>
          <w:lang w:val="de-DE"/>
        </w:rPr>
        <w:br/>
      </w:r>
      <w:r w:rsidRPr="00ED1172">
        <w:rPr>
          <w:b/>
          <w:bCs/>
          <w:caps/>
          <w:sz w:val="36"/>
          <w:szCs w:val="36"/>
          <w:lang w:val="de-DE"/>
        </w:rPr>
        <w:t>Vier Kernforderungen für einen erfolgreichen Hochlauf öffentlicher Ladeinfrastruktur</w:t>
      </w:r>
    </w:p>
    <w:p w14:paraId="4B88DDC3" w14:textId="04C40216" w:rsidR="002E545C" w:rsidRPr="002E545C" w:rsidRDefault="0035556B" w:rsidP="009835BC">
      <w:pPr>
        <w:spacing w:line="252" w:lineRule="auto"/>
        <w:rPr>
          <w:b/>
          <w:bCs/>
          <w:sz w:val="22"/>
          <w:szCs w:val="22"/>
          <w:lang w:val="de-DE"/>
        </w:rPr>
      </w:pPr>
      <w:r w:rsidRPr="00ED1172">
        <w:rPr>
          <w:i/>
          <w:iCs/>
          <w:sz w:val="22"/>
          <w:szCs w:val="22"/>
          <w:lang w:val="de-DE"/>
        </w:rPr>
        <w:br/>
      </w:r>
      <w:r w:rsidR="009835BC" w:rsidRPr="002E545C">
        <w:rPr>
          <w:b/>
          <w:bCs/>
          <w:sz w:val="22"/>
          <w:szCs w:val="22"/>
          <w:lang w:val="de-DE"/>
        </w:rPr>
        <w:t xml:space="preserve">Empfänger:  </w:t>
      </w:r>
      <w:r w:rsidR="0084735E" w:rsidRPr="002E545C">
        <w:rPr>
          <w:b/>
          <w:bCs/>
          <w:sz w:val="22"/>
          <w:szCs w:val="22"/>
          <w:lang w:val="de-DE"/>
        </w:rPr>
        <w:t>Bundesministerium für Wirtschaft &amp; Energie</w:t>
      </w:r>
      <w:r w:rsidR="0084735E" w:rsidRPr="002E545C">
        <w:rPr>
          <w:b/>
          <w:bCs/>
          <w:sz w:val="22"/>
          <w:szCs w:val="22"/>
          <w:lang w:val="de-DE"/>
        </w:rPr>
        <w:br/>
      </w:r>
      <w:r w:rsidR="003757A1">
        <w:rPr>
          <w:b/>
          <w:bCs/>
          <w:sz w:val="22"/>
          <w:szCs w:val="22"/>
          <w:lang w:val="de-DE"/>
        </w:rPr>
        <w:t>Obmann im Ausschuss für Wirtschaft und Energie</w:t>
      </w:r>
      <w:r w:rsidR="003757A1">
        <w:rPr>
          <w:b/>
          <w:bCs/>
          <w:sz w:val="22"/>
          <w:szCs w:val="22"/>
          <w:lang w:val="de-DE"/>
        </w:rPr>
        <w:br/>
      </w:r>
      <w:r w:rsidR="0084735E" w:rsidRPr="002E545C">
        <w:rPr>
          <w:b/>
          <w:bCs/>
          <w:sz w:val="22"/>
          <w:szCs w:val="22"/>
          <w:lang w:val="de-DE"/>
        </w:rPr>
        <w:t>Dr.</w:t>
      </w:r>
      <w:r w:rsidR="00E60B78" w:rsidRPr="00E60B78">
        <w:rPr>
          <w:b/>
          <w:bCs/>
          <w:sz w:val="22"/>
          <w:szCs w:val="22"/>
          <w:lang w:val="de-DE"/>
        </w:rPr>
        <w:t xml:space="preserve"> Klaus Wiener</w:t>
      </w:r>
      <w:r w:rsidR="009835BC" w:rsidRPr="002E545C">
        <w:rPr>
          <w:b/>
          <w:bCs/>
          <w:sz w:val="22"/>
          <w:szCs w:val="22"/>
          <w:lang w:val="de-DE"/>
        </w:rPr>
        <w:br/>
      </w:r>
    </w:p>
    <w:p w14:paraId="21CBE41D" w14:textId="5CB05A8E" w:rsidR="0035556B" w:rsidRPr="00ED1172" w:rsidRDefault="002E545C" w:rsidP="002E545C">
      <w:pPr>
        <w:spacing w:line="252" w:lineRule="auto"/>
        <w:jc w:val="right"/>
        <w:rPr>
          <w:sz w:val="22"/>
          <w:szCs w:val="22"/>
          <w:lang w:val="de-DE"/>
        </w:rPr>
      </w:pPr>
      <w:r>
        <w:rPr>
          <w:sz w:val="22"/>
          <w:szCs w:val="22"/>
          <w:lang w:val="de-DE"/>
        </w:rPr>
        <w:t>B</w:t>
      </w:r>
      <w:r w:rsidR="0035556B" w:rsidRPr="00ED1172">
        <w:rPr>
          <w:sz w:val="22"/>
          <w:szCs w:val="22"/>
          <w:lang w:val="de-DE"/>
        </w:rPr>
        <w:t xml:space="preserve">erlin, </w:t>
      </w:r>
      <w:r w:rsidR="00364DC5" w:rsidRPr="00ED1172">
        <w:rPr>
          <w:sz w:val="22"/>
          <w:szCs w:val="22"/>
          <w:lang w:val="de-DE"/>
        </w:rPr>
        <w:t>2</w:t>
      </w:r>
      <w:r w:rsidR="0091752E">
        <w:rPr>
          <w:sz w:val="22"/>
          <w:szCs w:val="22"/>
          <w:lang w:val="de-DE"/>
        </w:rPr>
        <w:t>4</w:t>
      </w:r>
      <w:r w:rsidR="005E4CBC" w:rsidRPr="00ED1172">
        <w:rPr>
          <w:sz w:val="22"/>
          <w:szCs w:val="22"/>
          <w:lang w:val="de-DE"/>
        </w:rPr>
        <w:t xml:space="preserve">. </w:t>
      </w:r>
      <w:r w:rsidR="00B033DE" w:rsidRPr="00ED1172">
        <w:rPr>
          <w:sz w:val="22"/>
          <w:szCs w:val="22"/>
          <w:lang w:val="de-DE"/>
        </w:rPr>
        <w:t>Juni</w:t>
      </w:r>
      <w:r w:rsidR="005E4CBC" w:rsidRPr="00ED1172">
        <w:rPr>
          <w:sz w:val="22"/>
          <w:szCs w:val="22"/>
          <w:lang w:val="de-DE"/>
        </w:rPr>
        <w:t xml:space="preserve"> 2026</w:t>
      </w:r>
    </w:p>
    <w:p w14:paraId="6C5C41D2" w14:textId="387ED738" w:rsidR="00F5555A" w:rsidRDefault="00FF7774" w:rsidP="003C0CE4">
      <w:pPr>
        <w:pStyle w:val="NormalWeb"/>
        <w:spacing w:line="252" w:lineRule="auto"/>
        <w:jc w:val="both"/>
        <w:rPr>
          <w:rFonts w:asciiTheme="minorHAnsi" w:hAnsiTheme="minorHAnsi" w:cs="Segoe UI"/>
          <w:color w:val="000000"/>
          <w:sz w:val="21"/>
          <w:szCs w:val="21"/>
          <w:lang w:val="de-DE"/>
        </w:rPr>
      </w:pPr>
      <w:r w:rsidRPr="00ED1172">
        <w:rPr>
          <w:rFonts w:asciiTheme="minorHAnsi" w:hAnsiTheme="minorHAnsi" w:cs="Segoe UI"/>
          <w:color w:val="000000"/>
          <w:sz w:val="21"/>
          <w:szCs w:val="21"/>
          <w:lang w:val="de-DE"/>
        </w:rPr>
        <w:t xml:space="preserve">Deutschland ist die drittgrößte Volkswirtschaft der Welt – und trotz der enormen Bedeutung der Zukunftsfähigkeit der Automobilwirtschaft im Kontext des globalen Wandels hin zur Elektromobilität, droht der Hochlauf öffentlicher Ladeinfrastruktur (LIS) an analogen Prozessen zu scheitern. Laut Szenario-Modellierungen der NOW GmbH werden </w:t>
      </w:r>
      <w:r w:rsidRPr="00ED1172">
        <w:rPr>
          <w:rFonts w:asciiTheme="minorHAnsi" w:hAnsiTheme="minorHAnsi" w:cs="Segoe UI"/>
          <w:b/>
          <w:bCs/>
          <w:color w:val="000000"/>
          <w:sz w:val="21"/>
          <w:szCs w:val="21"/>
          <w:lang w:val="de-DE"/>
        </w:rPr>
        <w:t>bis 2030 zwischen 440.000 und 843.000 öffentliche bzw. halböffentliche Ladepunkte benötigt</w:t>
      </w:r>
      <w:r w:rsidR="00D61BFB" w:rsidRPr="00ED1172">
        <w:rPr>
          <w:rFonts w:asciiTheme="minorHAnsi" w:hAnsiTheme="minorHAnsi" w:cs="Segoe UI"/>
          <w:color w:val="000000"/>
          <w:sz w:val="21"/>
          <w:szCs w:val="21"/>
          <w:vertAlign w:val="superscript"/>
          <w:lang w:val="de-DE"/>
        </w:rPr>
        <w:t>1</w:t>
      </w:r>
      <w:r w:rsidRPr="00ED1172">
        <w:rPr>
          <w:rFonts w:asciiTheme="minorHAnsi" w:hAnsiTheme="minorHAnsi" w:cs="Segoe UI"/>
          <w:color w:val="000000"/>
          <w:sz w:val="21"/>
          <w:szCs w:val="21"/>
          <w:lang w:val="de-DE"/>
        </w:rPr>
        <w:t>; im Mai 2026 jedoch verzeichnete das Ladesäulenregister lediglich rund 200.000</w:t>
      </w:r>
      <w:r w:rsidR="00900F67" w:rsidRPr="00ED1172">
        <w:rPr>
          <w:rFonts w:asciiTheme="minorHAnsi" w:hAnsiTheme="minorHAnsi" w:cs="Segoe UI"/>
          <w:color w:val="000000"/>
          <w:sz w:val="21"/>
          <w:szCs w:val="21"/>
          <w:vertAlign w:val="superscript"/>
          <w:lang w:val="de-DE"/>
        </w:rPr>
        <w:t>2</w:t>
      </w:r>
      <w:r w:rsidRPr="00ED1172">
        <w:rPr>
          <w:rFonts w:asciiTheme="minorHAnsi" w:hAnsiTheme="minorHAnsi" w:cs="Segoe UI"/>
          <w:color w:val="000000"/>
          <w:sz w:val="21"/>
          <w:szCs w:val="21"/>
          <w:lang w:val="de-DE"/>
        </w:rPr>
        <w:t xml:space="preserve">. In nur 3,5 Jahren müssen damit </w:t>
      </w:r>
      <w:r w:rsidRPr="00ED1172">
        <w:rPr>
          <w:rFonts w:asciiTheme="minorHAnsi" w:hAnsiTheme="minorHAnsi" w:cs="Segoe UI"/>
          <w:b/>
          <w:bCs/>
          <w:color w:val="000000"/>
          <w:sz w:val="21"/>
          <w:szCs w:val="21"/>
          <w:lang w:val="de-DE"/>
        </w:rPr>
        <w:t>240.000 bis 643.000 zusätzliche Ladepunkte</w:t>
      </w:r>
      <w:r w:rsidRPr="00ED1172">
        <w:rPr>
          <w:rFonts w:asciiTheme="minorHAnsi" w:hAnsiTheme="minorHAnsi" w:cs="Segoe UI"/>
          <w:color w:val="000000"/>
          <w:sz w:val="21"/>
          <w:szCs w:val="21"/>
          <w:lang w:val="de-DE"/>
        </w:rPr>
        <w:t xml:space="preserve"> ans Netz – mit den heutigen Verfahren zu Planauskunft, Kapazitätsanfrage und Netzanschlussgenehmigung ist das nicht realisierbar. Der Verband </w:t>
      </w:r>
      <w:proofErr w:type="spellStart"/>
      <w:r w:rsidRPr="00ED1172">
        <w:rPr>
          <w:rFonts w:asciiTheme="minorHAnsi" w:hAnsiTheme="minorHAnsi" w:cs="Segoe UI"/>
          <w:color w:val="000000"/>
          <w:sz w:val="21"/>
          <w:szCs w:val="21"/>
          <w:lang w:val="de-DE"/>
        </w:rPr>
        <w:t>charGER</w:t>
      </w:r>
      <w:proofErr w:type="spellEnd"/>
      <w:r w:rsidRPr="00ED1172">
        <w:rPr>
          <w:rFonts w:asciiTheme="minorHAnsi" w:hAnsiTheme="minorHAnsi" w:cs="Segoe UI"/>
          <w:color w:val="000000"/>
          <w:sz w:val="21"/>
          <w:szCs w:val="21"/>
          <w:lang w:val="de-DE"/>
        </w:rPr>
        <w:t xml:space="preserve"> e.V. legt mit dem „Digitalisierungspaket Netzanschluss" </w:t>
      </w:r>
      <w:r w:rsidRPr="0054462E">
        <w:rPr>
          <w:rFonts w:asciiTheme="minorHAnsi" w:hAnsiTheme="minorHAnsi" w:cs="Segoe UI"/>
          <w:b/>
          <w:bCs/>
          <w:color w:val="000000"/>
          <w:sz w:val="21"/>
          <w:szCs w:val="21"/>
          <w:lang w:val="de-DE"/>
        </w:rPr>
        <w:t>vier konkrete, sofort umsetzbare Maßnahmen</w:t>
      </w:r>
      <w:r w:rsidRPr="00ED1172">
        <w:rPr>
          <w:rFonts w:asciiTheme="minorHAnsi" w:hAnsiTheme="minorHAnsi" w:cs="Segoe UI"/>
          <w:color w:val="000000"/>
          <w:sz w:val="21"/>
          <w:szCs w:val="21"/>
          <w:lang w:val="de-DE"/>
        </w:rPr>
        <w:t xml:space="preserve"> vor und bittet Sie, diese in die parlamentarische Beratung des BMWE-Referentenentwurfs „Netzanschlusspaket"</w:t>
      </w:r>
      <w:r w:rsidR="00AD75F4">
        <w:rPr>
          <w:rFonts w:asciiTheme="minorHAnsi" w:hAnsiTheme="minorHAnsi" w:cs="Segoe UI"/>
          <w:color w:val="000000"/>
          <w:sz w:val="21"/>
          <w:szCs w:val="21"/>
          <w:lang w:val="de-DE"/>
        </w:rPr>
        <w:t xml:space="preserve"> (bekannt geworden im Januar 2026)</w:t>
      </w:r>
      <w:r w:rsidRPr="00ED1172">
        <w:rPr>
          <w:rFonts w:asciiTheme="minorHAnsi" w:hAnsiTheme="minorHAnsi" w:cs="Segoe UI"/>
          <w:color w:val="000000"/>
          <w:sz w:val="21"/>
          <w:szCs w:val="21"/>
          <w:lang w:val="de-DE"/>
        </w:rPr>
        <w:t xml:space="preserve"> einzubringen.</w:t>
      </w:r>
      <w:r w:rsidR="00B94CC7">
        <w:rPr>
          <w:rFonts w:asciiTheme="minorHAnsi" w:hAnsiTheme="minorHAnsi" w:cs="Segoe UI"/>
          <w:color w:val="000000"/>
          <w:sz w:val="21"/>
          <w:szCs w:val="21"/>
          <w:lang w:val="de-DE"/>
        </w:rPr>
        <w:t xml:space="preserve"> </w:t>
      </w:r>
      <w:r w:rsidR="003C6FE8">
        <w:rPr>
          <w:rFonts w:asciiTheme="minorHAnsi" w:hAnsiTheme="minorHAnsi" w:cs="Segoe UI"/>
          <w:color w:val="000000"/>
          <w:sz w:val="21"/>
          <w:szCs w:val="21"/>
          <w:lang w:val="de-DE"/>
        </w:rPr>
        <w:t>D</w:t>
      </w:r>
      <w:r w:rsidR="00B80919">
        <w:rPr>
          <w:rFonts w:asciiTheme="minorHAnsi" w:hAnsiTheme="minorHAnsi" w:cs="Segoe UI"/>
          <w:color w:val="000000"/>
          <w:sz w:val="21"/>
          <w:szCs w:val="21"/>
          <w:lang w:val="de-DE"/>
        </w:rPr>
        <w:t xml:space="preserve">iese Maßnahmen gliedern sich </w:t>
      </w:r>
      <w:r w:rsidR="003C6FE8">
        <w:rPr>
          <w:rFonts w:asciiTheme="minorHAnsi" w:hAnsiTheme="minorHAnsi" w:cs="Segoe UI"/>
          <w:color w:val="000000"/>
          <w:sz w:val="21"/>
          <w:szCs w:val="21"/>
          <w:lang w:val="de-DE"/>
        </w:rPr>
        <w:t>darüber hinaus auch</w:t>
      </w:r>
      <w:r w:rsidR="00B80919">
        <w:rPr>
          <w:rFonts w:asciiTheme="minorHAnsi" w:hAnsiTheme="minorHAnsi" w:cs="Segoe UI"/>
          <w:color w:val="000000"/>
          <w:sz w:val="21"/>
          <w:szCs w:val="21"/>
          <w:lang w:val="de-DE"/>
        </w:rPr>
        <w:t xml:space="preserve"> an den im November 2025 vorgestellten </w:t>
      </w:r>
      <w:r w:rsidR="00B80919" w:rsidRPr="00E31BE3">
        <w:rPr>
          <w:rFonts w:asciiTheme="minorHAnsi" w:hAnsiTheme="minorHAnsi" w:cs="Segoe UI"/>
          <w:b/>
          <w:bCs/>
          <w:color w:val="000000"/>
          <w:sz w:val="21"/>
          <w:szCs w:val="21"/>
          <w:lang w:val="de-DE"/>
        </w:rPr>
        <w:t xml:space="preserve">Masterplan Ladeinfrastruktur </w:t>
      </w:r>
      <w:r w:rsidR="00E31BE3" w:rsidRPr="00E31BE3">
        <w:rPr>
          <w:rFonts w:asciiTheme="minorHAnsi" w:hAnsiTheme="minorHAnsi" w:cs="Segoe UI"/>
          <w:b/>
          <w:bCs/>
          <w:color w:val="000000"/>
          <w:sz w:val="21"/>
          <w:szCs w:val="21"/>
          <w:lang w:val="de-DE"/>
        </w:rPr>
        <w:t>2030</w:t>
      </w:r>
      <w:r w:rsidR="00E31BE3">
        <w:rPr>
          <w:rFonts w:asciiTheme="minorHAnsi" w:hAnsiTheme="minorHAnsi" w:cs="Segoe UI"/>
          <w:b/>
          <w:bCs/>
          <w:color w:val="000000"/>
          <w:sz w:val="21"/>
          <w:szCs w:val="21"/>
          <w:lang w:val="de-DE"/>
        </w:rPr>
        <w:t xml:space="preserve"> </w:t>
      </w:r>
      <w:r w:rsidR="00734E01" w:rsidRPr="00734E01">
        <w:rPr>
          <w:rFonts w:asciiTheme="minorHAnsi" w:hAnsiTheme="minorHAnsi" w:cs="Segoe UI"/>
          <w:color w:val="000000"/>
          <w:sz w:val="21"/>
          <w:szCs w:val="21"/>
          <w:lang w:val="de-DE"/>
        </w:rPr>
        <w:t>des BMV</w:t>
      </w:r>
      <w:r w:rsidR="00734E01">
        <w:rPr>
          <w:rFonts w:asciiTheme="minorHAnsi" w:hAnsiTheme="minorHAnsi" w:cs="Segoe UI"/>
          <w:b/>
          <w:bCs/>
          <w:color w:val="000000"/>
          <w:sz w:val="21"/>
          <w:szCs w:val="21"/>
          <w:lang w:val="de-DE"/>
        </w:rPr>
        <w:t xml:space="preserve"> </w:t>
      </w:r>
      <w:r w:rsidR="00E31BE3" w:rsidRPr="00E31BE3">
        <w:rPr>
          <w:rFonts w:asciiTheme="minorHAnsi" w:hAnsiTheme="minorHAnsi" w:cs="Segoe UI"/>
          <w:color w:val="000000"/>
          <w:sz w:val="21"/>
          <w:szCs w:val="21"/>
          <w:lang w:val="de-DE"/>
        </w:rPr>
        <w:t>an</w:t>
      </w:r>
      <w:r w:rsidR="00E31BE3">
        <w:rPr>
          <w:rFonts w:asciiTheme="minorHAnsi" w:hAnsiTheme="minorHAnsi" w:cs="Segoe UI"/>
          <w:color w:val="000000"/>
          <w:sz w:val="21"/>
          <w:szCs w:val="21"/>
          <w:lang w:val="de-DE"/>
        </w:rPr>
        <w:t xml:space="preserve"> – konkret:</w:t>
      </w:r>
      <w:r w:rsidR="00734E01">
        <w:rPr>
          <w:rFonts w:asciiTheme="minorHAnsi" w:hAnsiTheme="minorHAnsi" w:cs="Segoe UI"/>
          <w:color w:val="000000"/>
          <w:sz w:val="21"/>
          <w:szCs w:val="21"/>
          <w:lang w:val="de-DE"/>
        </w:rPr>
        <w:t xml:space="preserve"> </w:t>
      </w:r>
      <w:r w:rsidR="00AA7263">
        <w:rPr>
          <w:rFonts w:asciiTheme="minorHAnsi" w:hAnsiTheme="minorHAnsi" w:cs="Segoe UI"/>
          <w:color w:val="000000"/>
          <w:sz w:val="21"/>
          <w:szCs w:val="21"/>
          <w:lang w:val="de-DE"/>
        </w:rPr>
        <w:t>„</w:t>
      </w:r>
      <w:r w:rsidR="00734E01">
        <w:rPr>
          <w:rFonts w:asciiTheme="minorHAnsi" w:hAnsiTheme="minorHAnsi" w:cs="Segoe UI"/>
          <w:color w:val="000000"/>
          <w:sz w:val="21"/>
          <w:szCs w:val="21"/>
          <w:lang w:val="de-DE"/>
        </w:rPr>
        <w:t xml:space="preserve">Kapitel IV: </w:t>
      </w:r>
      <w:r w:rsidR="00AA7263">
        <w:rPr>
          <w:rFonts w:asciiTheme="minorHAnsi" w:hAnsiTheme="minorHAnsi" w:cs="Segoe UI"/>
          <w:color w:val="000000"/>
          <w:sz w:val="21"/>
          <w:szCs w:val="21"/>
          <w:lang w:val="de-DE"/>
        </w:rPr>
        <w:t>Integration ins Stromnetz verbessern“</w:t>
      </w:r>
      <w:r w:rsidR="00E31BE3">
        <w:rPr>
          <w:rFonts w:asciiTheme="minorHAnsi" w:hAnsiTheme="minorHAnsi" w:cs="Segoe UI"/>
          <w:color w:val="000000"/>
          <w:sz w:val="21"/>
          <w:szCs w:val="21"/>
          <w:lang w:val="de-DE"/>
        </w:rPr>
        <w:t xml:space="preserve"> </w:t>
      </w:r>
      <w:r w:rsidR="00AA7263">
        <w:rPr>
          <w:rFonts w:asciiTheme="minorHAnsi" w:hAnsiTheme="minorHAnsi" w:cs="Segoe UI"/>
          <w:color w:val="000000"/>
          <w:sz w:val="21"/>
          <w:szCs w:val="21"/>
          <w:lang w:val="de-DE"/>
        </w:rPr>
        <w:t xml:space="preserve">Maßnahmen </w:t>
      </w:r>
      <w:r w:rsidR="002E152B">
        <w:rPr>
          <w:rFonts w:asciiTheme="minorHAnsi" w:hAnsiTheme="minorHAnsi" w:cs="Segoe UI"/>
          <w:color w:val="000000"/>
          <w:sz w:val="21"/>
          <w:szCs w:val="21"/>
          <w:lang w:val="de-DE"/>
        </w:rPr>
        <w:t>„</w:t>
      </w:r>
      <w:r w:rsidR="00AA7263">
        <w:rPr>
          <w:rFonts w:asciiTheme="minorHAnsi" w:hAnsiTheme="minorHAnsi" w:cs="Segoe UI"/>
          <w:color w:val="000000"/>
          <w:sz w:val="21"/>
          <w:szCs w:val="21"/>
          <w:lang w:val="de-DE"/>
        </w:rPr>
        <w:t>22</w:t>
      </w:r>
      <w:r w:rsidR="002E152B">
        <w:rPr>
          <w:rFonts w:asciiTheme="minorHAnsi" w:hAnsiTheme="minorHAnsi" w:cs="Segoe UI"/>
          <w:color w:val="000000"/>
          <w:sz w:val="21"/>
          <w:szCs w:val="21"/>
          <w:lang w:val="de-DE"/>
        </w:rPr>
        <w:t xml:space="preserve">. </w:t>
      </w:r>
      <w:r w:rsidR="002E152B" w:rsidRPr="002E152B">
        <w:rPr>
          <w:rFonts w:asciiTheme="minorHAnsi" w:hAnsiTheme="minorHAnsi" w:cs="Segoe UI"/>
          <w:color w:val="000000"/>
          <w:sz w:val="21"/>
          <w:szCs w:val="21"/>
          <w:lang w:val="de-DE"/>
        </w:rPr>
        <w:t>Digitalisierung und Standardisierung des Netzanschlussverfahrens</w:t>
      </w:r>
      <w:r w:rsidR="002E152B">
        <w:rPr>
          <w:rFonts w:asciiTheme="minorHAnsi" w:hAnsiTheme="minorHAnsi" w:cs="Segoe UI"/>
          <w:color w:val="000000"/>
          <w:sz w:val="21"/>
          <w:szCs w:val="21"/>
          <w:lang w:val="de-DE"/>
        </w:rPr>
        <w:t>“</w:t>
      </w:r>
      <w:r w:rsidR="00AA7263">
        <w:rPr>
          <w:rFonts w:asciiTheme="minorHAnsi" w:hAnsiTheme="minorHAnsi" w:cs="Segoe UI"/>
          <w:color w:val="000000"/>
          <w:sz w:val="21"/>
          <w:szCs w:val="21"/>
          <w:lang w:val="de-DE"/>
        </w:rPr>
        <w:t xml:space="preserve">, </w:t>
      </w:r>
      <w:r w:rsidR="002E152B">
        <w:rPr>
          <w:rFonts w:asciiTheme="minorHAnsi" w:hAnsiTheme="minorHAnsi" w:cs="Segoe UI"/>
          <w:color w:val="000000"/>
          <w:sz w:val="21"/>
          <w:szCs w:val="21"/>
          <w:lang w:val="de-DE"/>
        </w:rPr>
        <w:t>„</w:t>
      </w:r>
      <w:r w:rsidR="00AA7263">
        <w:rPr>
          <w:rFonts w:asciiTheme="minorHAnsi" w:hAnsiTheme="minorHAnsi" w:cs="Segoe UI"/>
          <w:color w:val="000000"/>
          <w:sz w:val="21"/>
          <w:szCs w:val="21"/>
          <w:lang w:val="de-DE"/>
        </w:rPr>
        <w:t>23</w:t>
      </w:r>
      <w:r w:rsidR="002E152B">
        <w:rPr>
          <w:rFonts w:asciiTheme="minorHAnsi" w:hAnsiTheme="minorHAnsi" w:cs="Segoe UI"/>
          <w:color w:val="000000"/>
          <w:sz w:val="21"/>
          <w:szCs w:val="21"/>
          <w:lang w:val="de-DE"/>
        </w:rPr>
        <w:t>.</w:t>
      </w:r>
      <w:r w:rsidR="002E152B" w:rsidRPr="002E152B">
        <w:rPr>
          <w:lang w:val="de-DE"/>
        </w:rPr>
        <w:t xml:space="preserve"> </w:t>
      </w:r>
      <w:r w:rsidR="002E152B" w:rsidRPr="002E152B">
        <w:rPr>
          <w:rFonts w:asciiTheme="minorHAnsi" w:hAnsiTheme="minorHAnsi" w:cs="Segoe UI"/>
          <w:color w:val="000000"/>
          <w:sz w:val="21"/>
          <w:szCs w:val="21"/>
          <w:lang w:val="de-DE"/>
        </w:rPr>
        <w:t>Transparenz über und Auskünfte zur Netzanschlusskapazität</w:t>
      </w:r>
      <w:r w:rsidR="002E152B">
        <w:rPr>
          <w:rFonts w:asciiTheme="minorHAnsi" w:hAnsiTheme="minorHAnsi" w:cs="Segoe UI"/>
          <w:color w:val="000000"/>
          <w:sz w:val="21"/>
          <w:szCs w:val="21"/>
          <w:lang w:val="de-DE"/>
        </w:rPr>
        <w:t>“</w:t>
      </w:r>
      <w:r w:rsidR="00AA7263">
        <w:rPr>
          <w:rFonts w:asciiTheme="minorHAnsi" w:hAnsiTheme="minorHAnsi" w:cs="Segoe UI"/>
          <w:color w:val="000000"/>
          <w:sz w:val="21"/>
          <w:szCs w:val="21"/>
          <w:lang w:val="de-DE"/>
        </w:rPr>
        <w:t xml:space="preserve"> sowie </w:t>
      </w:r>
      <w:r w:rsidR="002E152B">
        <w:rPr>
          <w:rFonts w:asciiTheme="minorHAnsi" w:hAnsiTheme="minorHAnsi" w:cs="Segoe UI"/>
          <w:color w:val="000000"/>
          <w:sz w:val="21"/>
          <w:szCs w:val="21"/>
          <w:lang w:val="de-DE"/>
        </w:rPr>
        <w:t>„</w:t>
      </w:r>
      <w:r w:rsidR="00AA7263">
        <w:rPr>
          <w:rFonts w:asciiTheme="minorHAnsi" w:hAnsiTheme="minorHAnsi" w:cs="Segoe UI"/>
          <w:color w:val="000000"/>
          <w:sz w:val="21"/>
          <w:szCs w:val="21"/>
          <w:lang w:val="de-DE"/>
        </w:rPr>
        <w:t xml:space="preserve">24. </w:t>
      </w:r>
      <w:r w:rsidR="002E152B" w:rsidRPr="002E152B">
        <w:rPr>
          <w:rFonts w:asciiTheme="minorHAnsi" w:hAnsiTheme="minorHAnsi" w:cs="Segoe UI"/>
          <w:color w:val="000000"/>
          <w:sz w:val="21"/>
          <w:szCs w:val="21"/>
          <w:lang w:val="de-DE"/>
        </w:rPr>
        <w:t>Rückmeldefristen und -pflichten zum Status des Netzanschluss</w:t>
      </w:r>
      <w:r w:rsidR="00594C2A">
        <w:rPr>
          <w:rFonts w:asciiTheme="minorHAnsi" w:hAnsiTheme="minorHAnsi" w:cs="Segoe UI"/>
          <w:color w:val="000000"/>
          <w:sz w:val="21"/>
          <w:szCs w:val="21"/>
          <w:lang w:val="de-DE"/>
        </w:rPr>
        <w:t>-</w:t>
      </w:r>
      <w:r w:rsidR="002E152B" w:rsidRPr="002E152B">
        <w:rPr>
          <w:rFonts w:asciiTheme="minorHAnsi" w:hAnsiTheme="minorHAnsi" w:cs="Segoe UI"/>
          <w:color w:val="000000"/>
          <w:sz w:val="21"/>
          <w:szCs w:val="21"/>
          <w:lang w:val="de-DE"/>
        </w:rPr>
        <w:t>begehrens</w:t>
      </w:r>
      <w:r w:rsidR="002E152B">
        <w:rPr>
          <w:rFonts w:asciiTheme="minorHAnsi" w:hAnsiTheme="minorHAnsi" w:cs="Segoe UI"/>
          <w:color w:val="000000"/>
          <w:sz w:val="21"/>
          <w:szCs w:val="21"/>
          <w:lang w:val="de-DE"/>
        </w:rPr>
        <w:t>“.</w:t>
      </w:r>
      <w:r w:rsidR="002E152B">
        <w:rPr>
          <w:rFonts w:asciiTheme="minorHAnsi" w:hAnsiTheme="minorHAnsi" w:cs="Segoe UI"/>
          <w:color w:val="000000"/>
          <w:sz w:val="21"/>
          <w:szCs w:val="21"/>
          <w:lang w:val="de-DE"/>
        </w:rPr>
        <w:tab/>
      </w:r>
      <w:r w:rsidR="002A3AC1">
        <w:rPr>
          <w:rFonts w:asciiTheme="minorHAnsi" w:hAnsiTheme="minorHAnsi" w:cs="Segoe UI"/>
          <w:color w:val="000000"/>
          <w:sz w:val="21"/>
          <w:szCs w:val="21"/>
          <w:lang w:val="de-DE"/>
        </w:rPr>
        <w:br/>
      </w:r>
    </w:p>
    <w:p w14:paraId="26ADCA22" w14:textId="77777777" w:rsidR="002E545C" w:rsidRDefault="002E545C" w:rsidP="003C0CE4">
      <w:pPr>
        <w:pStyle w:val="NormalWeb"/>
        <w:spacing w:line="252" w:lineRule="auto"/>
        <w:jc w:val="both"/>
        <w:rPr>
          <w:rFonts w:asciiTheme="minorHAnsi" w:hAnsiTheme="minorHAnsi" w:cs="Segoe UI"/>
          <w:color w:val="000000"/>
          <w:sz w:val="21"/>
          <w:szCs w:val="21"/>
          <w:lang w:val="de-DE"/>
        </w:rPr>
      </w:pPr>
    </w:p>
    <w:p w14:paraId="7A8B4AF5" w14:textId="77777777" w:rsidR="002E545C" w:rsidRDefault="002E545C" w:rsidP="003C0CE4">
      <w:pPr>
        <w:pStyle w:val="NormalWeb"/>
        <w:spacing w:line="252" w:lineRule="auto"/>
        <w:jc w:val="both"/>
        <w:rPr>
          <w:rFonts w:asciiTheme="minorHAnsi" w:hAnsiTheme="minorHAnsi" w:cs="Segoe UI"/>
          <w:color w:val="000000"/>
          <w:sz w:val="21"/>
          <w:szCs w:val="21"/>
          <w:lang w:val="de-DE"/>
        </w:rPr>
      </w:pPr>
    </w:p>
    <w:p w14:paraId="6F1E75EC" w14:textId="643517DD" w:rsidR="003C6FE8" w:rsidRPr="00AB414B" w:rsidRDefault="00AB414B" w:rsidP="003C0CE4">
      <w:pPr>
        <w:pStyle w:val="NormalWeb"/>
        <w:shd w:val="clear" w:color="auto" w:fill="E8E8E8" w:themeFill="background2"/>
        <w:spacing w:line="252" w:lineRule="auto"/>
        <w:jc w:val="both"/>
        <w:rPr>
          <w:rFonts w:asciiTheme="minorHAnsi" w:hAnsiTheme="minorHAnsi" w:cs="Segoe UI"/>
          <w:b/>
          <w:bCs/>
          <w:color w:val="000000"/>
          <w:sz w:val="28"/>
          <w:szCs w:val="28"/>
          <w:lang w:val="de-DE"/>
        </w:rPr>
      </w:pPr>
      <w:r w:rsidRPr="00AB414B">
        <w:rPr>
          <w:rFonts w:asciiTheme="minorHAnsi" w:hAnsiTheme="minorHAnsi" w:cs="Segoe UI"/>
          <w:b/>
          <w:bCs/>
          <w:color w:val="000000"/>
          <w:sz w:val="28"/>
          <w:szCs w:val="28"/>
          <w:lang w:val="de-DE"/>
        </w:rPr>
        <w:lastRenderedPageBreak/>
        <w:t>Handlungsnotwendigkeit</w:t>
      </w:r>
    </w:p>
    <w:p w14:paraId="7EC4DA9C" w14:textId="0BCBCB29" w:rsidR="00594C2A" w:rsidRDefault="00AB414B" w:rsidP="003C0CE4">
      <w:pPr>
        <w:pStyle w:val="NormalWeb"/>
        <w:spacing w:line="252" w:lineRule="auto"/>
        <w:jc w:val="both"/>
        <w:rPr>
          <w:rFonts w:asciiTheme="minorHAnsi" w:hAnsiTheme="minorHAnsi" w:cs="Segoe UI"/>
          <w:color w:val="000000"/>
          <w:sz w:val="21"/>
          <w:szCs w:val="21"/>
          <w:lang w:val="de-DE"/>
        </w:rPr>
      </w:pPr>
      <w:r w:rsidRPr="00AB414B">
        <w:rPr>
          <w:rFonts w:asciiTheme="minorHAnsi" w:hAnsiTheme="minorHAnsi" w:cs="Segoe UI"/>
          <w:color w:val="000000"/>
          <w:sz w:val="21"/>
          <w:szCs w:val="21"/>
          <w:lang w:val="de-DE"/>
        </w:rPr>
        <w:t xml:space="preserve">Der </w:t>
      </w:r>
      <w:proofErr w:type="spellStart"/>
      <w:r w:rsidRPr="00AB414B">
        <w:rPr>
          <w:rFonts w:asciiTheme="minorHAnsi" w:hAnsiTheme="minorHAnsi" w:cs="Segoe UI"/>
          <w:color w:val="000000"/>
          <w:sz w:val="21"/>
          <w:szCs w:val="21"/>
          <w:lang w:val="de-DE"/>
        </w:rPr>
        <w:t>charGER</w:t>
      </w:r>
      <w:proofErr w:type="spellEnd"/>
      <w:r w:rsidRPr="00AB414B">
        <w:rPr>
          <w:rFonts w:asciiTheme="minorHAnsi" w:hAnsiTheme="minorHAnsi" w:cs="Segoe UI"/>
          <w:color w:val="000000"/>
          <w:sz w:val="21"/>
          <w:szCs w:val="21"/>
          <w:lang w:val="de-DE"/>
        </w:rPr>
        <w:t xml:space="preserve"> e.V. begrüßt ausdrücklich, dass das BMWE mit dem </w:t>
      </w:r>
      <w:r w:rsidRPr="00594C2A">
        <w:rPr>
          <w:rFonts w:asciiTheme="minorHAnsi" w:hAnsiTheme="minorHAnsi" w:cs="Segoe UI"/>
          <w:b/>
          <w:bCs/>
          <w:color w:val="000000"/>
          <w:sz w:val="21"/>
          <w:szCs w:val="21"/>
          <w:lang w:val="de-DE"/>
        </w:rPr>
        <w:t xml:space="preserve">Referentenentwurf </w:t>
      </w:r>
      <w:r w:rsidR="00081B5C" w:rsidRPr="00594C2A">
        <w:rPr>
          <w:rFonts w:asciiTheme="minorHAnsi" w:hAnsiTheme="minorHAnsi" w:cs="Segoe UI"/>
          <w:b/>
          <w:bCs/>
          <w:color w:val="000000"/>
          <w:sz w:val="21"/>
          <w:szCs w:val="21"/>
          <w:lang w:val="de-DE"/>
        </w:rPr>
        <w:t>„Entwurf eines Gesetzes zur Änderung des Energiewirtschaftsrechts zur Synchronisierung des Anlagenzubaus mit dem Netzausbau sowie zur Verbesserung des Netzanschlussverfahrens</w:t>
      </w:r>
      <w:r w:rsidR="00081B5C" w:rsidRPr="00081B5C">
        <w:rPr>
          <w:rFonts w:asciiTheme="minorHAnsi" w:hAnsiTheme="minorHAnsi" w:cs="Segoe UI"/>
          <w:color w:val="000000"/>
          <w:sz w:val="21"/>
          <w:szCs w:val="21"/>
          <w:lang w:val="de-DE"/>
        </w:rPr>
        <w:t>"</w:t>
      </w:r>
      <w:r w:rsidR="00081B5C">
        <w:rPr>
          <w:rFonts w:asciiTheme="minorHAnsi" w:hAnsiTheme="minorHAnsi" w:cs="Segoe UI"/>
          <w:color w:val="000000"/>
          <w:sz w:val="21"/>
          <w:szCs w:val="21"/>
          <w:lang w:val="de-DE"/>
        </w:rPr>
        <w:t xml:space="preserve"> </w:t>
      </w:r>
      <w:r w:rsidRPr="00AB414B">
        <w:rPr>
          <w:rFonts w:asciiTheme="minorHAnsi" w:hAnsiTheme="minorHAnsi" w:cs="Segoe UI"/>
          <w:color w:val="000000"/>
          <w:sz w:val="21"/>
          <w:szCs w:val="21"/>
          <w:lang w:val="de-DE"/>
        </w:rPr>
        <w:t xml:space="preserve">vom </w:t>
      </w:r>
      <w:r w:rsidR="00BC16D0">
        <w:rPr>
          <w:rFonts w:asciiTheme="minorHAnsi" w:hAnsiTheme="minorHAnsi" w:cs="Segoe UI"/>
          <w:color w:val="000000"/>
          <w:sz w:val="21"/>
          <w:szCs w:val="21"/>
          <w:lang w:val="de-DE"/>
        </w:rPr>
        <w:t>13</w:t>
      </w:r>
      <w:r w:rsidRPr="00AB414B">
        <w:rPr>
          <w:rFonts w:asciiTheme="minorHAnsi" w:hAnsiTheme="minorHAnsi" w:cs="Segoe UI"/>
          <w:color w:val="000000"/>
          <w:sz w:val="21"/>
          <w:szCs w:val="21"/>
          <w:lang w:val="de-DE"/>
        </w:rPr>
        <w:t xml:space="preserve">. Januar 2026 das Netzanschlussverfahren modernisieren, die Antragsflut spekulativer Begehren ordnen und das überholte Windhundprinzip ablösen will. </w:t>
      </w:r>
    </w:p>
    <w:p w14:paraId="7CD7CAED" w14:textId="6EE1FEB3" w:rsidR="00AB414B" w:rsidRPr="00AB414B" w:rsidRDefault="00BC16D0" w:rsidP="003C0CE4">
      <w:pPr>
        <w:pStyle w:val="NormalWeb"/>
        <w:spacing w:line="252" w:lineRule="auto"/>
        <w:jc w:val="both"/>
        <w:rPr>
          <w:rFonts w:asciiTheme="minorHAnsi" w:hAnsiTheme="minorHAnsi" w:cs="Segoe UI"/>
          <w:color w:val="000000"/>
          <w:sz w:val="21"/>
          <w:szCs w:val="21"/>
          <w:lang w:val="de-DE"/>
        </w:rPr>
      </w:pPr>
      <w:r w:rsidRPr="00C10099">
        <w:rPr>
          <w:rFonts w:asciiTheme="minorHAnsi" w:hAnsiTheme="minorHAnsi" w:cs="Segoe UI"/>
          <w:color w:val="000000"/>
          <w:sz w:val="21"/>
          <w:szCs w:val="21"/>
          <w:lang w:val="de-DE"/>
        </w:rPr>
        <w:t xml:space="preserve">Der Referentenentwurf des BMWE enthält im Grundsatz richtige Ansätze (Digitalisierung, Transparenz, Priorisierung, Reservierungsregime), </w:t>
      </w:r>
      <w:r w:rsidR="00AB414B" w:rsidRPr="00AB414B">
        <w:rPr>
          <w:rFonts w:asciiTheme="minorHAnsi" w:hAnsiTheme="minorHAnsi" w:cs="Segoe UI"/>
          <w:color w:val="000000"/>
          <w:sz w:val="21"/>
          <w:szCs w:val="21"/>
          <w:lang w:val="de-DE"/>
        </w:rPr>
        <w:t xml:space="preserve">adressiert jedoch nahezu ausschließlich die Übertragungs- und Hochspannungsebene sowie Großbatteriespeicher und Rechenzentren. </w:t>
      </w:r>
      <w:r w:rsidR="00AB414B" w:rsidRPr="00081B5C">
        <w:rPr>
          <w:rFonts w:asciiTheme="minorHAnsi" w:hAnsiTheme="minorHAnsi" w:cs="Segoe UI"/>
          <w:b/>
          <w:bCs/>
          <w:color w:val="000000"/>
          <w:sz w:val="21"/>
          <w:szCs w:val="21"/>
          <w:lang w:val="de-DE"/>
        </w:rPr>
        <w:t>Die Niederspannungsebene – das Rückgrat des</w:t>
      </w:r>
      <w:r w:rsidR="00962507">
        <w:rPr>
          <w:rFonts w:asciiTheme="minorHAnsi" w:hAnsiTheme="minorHAnsi" w:cs="Segoe UI"/>
          <w:b/>
          <w:bCs/>
          <w:color w:val="000000"/>
          <w:sz w:val="21"/>
          <w:szCs w:val="21"/>
          <w:lang w:val="de-DE"/>
        </w:rPr>
        <w:t xml:space="preserve"> Hochlaufs von </w:t>
      </w:r>
      <w:r w:rsidR="00AB414B" w:rsidRPr="00081B5C">
        <w:rPr>
          <w:rFonts w:asciiTheme="minorHAnsi" w:hAnsiTheme="minorHAnsi" w:cs="Segoe UI"/>
          <w:b/>
          <w:bCs/>
          <w:color w:val="000000"/>
          <w:sz w:val="21"/>
          <w:szCs w:val="21"/>
          <w:lang w:val="de-DE"/>
        </w:rPr>
        <w:t>L</w:t>
      </w:r>
      <w:r w:rsidR="00D41A21">
        <w:rPr>
          <w:rFonts w:asciiTheme="minorHAnsi" w:hAnsiTheme="minorHAnsi" w:cs="Segoe UI"/>
          <w:b/>
          <w:bCs/>
          <w:color w:val="000000"/>
          <w:sz w:val="21"/>
          <w:szCs w:val="21"/>
          <w:lang w:val="de-DE"/>
        </w:rPr>
        <w:t>adeinfrastruktur</w:t>
      </w:r>
      <w:r w:rsidR="00962507">
        <w:rPr>
          <w:rFonts w:asciiTheme="minorHAnsi" w:hAnsiTheme="minorHAnsi" w:cs="Segoe UI"/>
          <w:b/>
          <w:bCs/>
          <w:color w:val="000000"/>
          <w:sz w:val="21"/>
          <w:szCs w:val="21"/>
          <w:lang w:val="de-DE"/>
        </w:rPr>
        <w:t xml:space="preserve"> </w:t>
      </w:r>
      <w:r w:rsidR="00AB414B" w:rsidRPr="00081B5C">
        <w:rPr>
          <w:rFonts w:asciiTheme="minorHAnsi" w:hAnsiTheme="minorHAnsi" w:cs="Segoe UI"/>
          <w:b/>
          <w:bCs/>
          <w:color w:val="000000"/>
          <w:sz w:val="21"/>
          <w:szCs w:val="21"/>
          <w:lang w:val="de-DE"/>
        </w:rPr>
        <w:t>– bleibt im Entwurf bislang unberücksichtigt</w:t>
      </w:r>
      <w:r w:rsidR="00AB414B" w:rsidRPr="00AB414B">
        <w:rPr>
          <w:rFonts w:asciiTheme="minorHAnsi" w:hAnsiTheme="minorHAnsi" w:cs="Segoe UI"/>
          <w:color w:val="000000"/>
          <w:sz w:val="21"/>
          <w:szCs w:val="21"/>
          <w:lang w:val="de-DE"/>
        </w:rPr>
        <w:t xml:space="preserve">. Genau dort entstehen aber </w:t>
      </w:r>
      <w:r w:rsidR="00232595">
        <w:rPr>
          <w:rFonts w:asciiTheme="minorHAnsi" w:hAnsiTheme="minorHAnsi" w:cs="Segoe UI"/>
          <w:color w:val="000000"/>
          <w:sz w:val="21"/>
          <w:szCs w:val="21"/>
          <w:lang w:val="de-DE"/>
        </w:rPr>
        <w:t>ein Großteil</w:t>
      </w:r>
      <w:r w:rsidR="00115CD0">
        <w:rPr>
          <w:rFonts w:asciiTheme="minorHAnsi" w:hAnsiTheme="minorHAnsi" w:cs="Segoe UI"/>
          <w:color w:val="000000"/>
          <w:sz w:val="21"/>
          <w:szCs w:val="21"/>
          <w:lang w:val="de-DE"/>
        </w:rPr>
        <w:t xml:space="preserve"> der auch Hildegard Müller (Präsidentin des VDA) geforderten</w:t>
      </w:r>
      <w:r w:rsidR="00AB414B" w:rsidRPr="00AB414B">
        <w:rPr>
          <w:rFonts w:asciiTheme="minorHAnsi" w:hAnsiTheme="minorHAnsi" w:cs="Segoe UI"/>
          <w:color w:val="000000"/>
          <w:sz w:val="21"/>
          <w:szCs w:val="21"/>
          <w:lang w:val="de-DE"/>
        </w:rPr>
        <w:t xml:space="preserve"> zusätzlichen Ladepunkte</w:t>
      </w:r>
      <w:r w:rsidR="005C6D2F">
        <w:rPr>
          <w:rFonts w:asciiTheme="minorHAnsi" w:hAnsiTheme="minorHAnsi" w:cs="Segoe UI"/>
          <w:color w:val="000000"/>
          <w:sz w:val="21"/>
          <w:szCs w:val="21"/>
          <w:lang w:val="de-DE"/>
        </w:rPr>
        <w:t xml:space="preserve"> in der Fläche</w:t>
      </w:r>
      <w:r w:rsidR="00F773F8">
        <w:rPr>
          <w:rFonts w:asciiTheme="minorHAnsi" w:hAnsiTheme="minorHAnsi" w:cs="Segoe UI"/>
          <w:color w:val="000000"/>
          <w:sz w:val="21"/>
          <w:szCs w:val="21"/>
          <w:lang w:val="de-DE"/>
        </w:rPr>
        <w:t>, notwendig um den aktuell Hochlauf der E-Mobilität zu begleiten</w:t>
      </w:r>
      <w:r w:rsidR="00315F1A">
        <w:rPr>
          <w:rFonts w:asciiTheme="minorHAnsi" w:hAnsiTheme="minorHAnsi" w:cs="Segoe UI"/>
          <w:color w:val="000000"/>
          <w:sz w:val="21"/>
          <w:szCs w:val="21"/>
          <w:vertAlign w:val="superscript"/>
          <w:lang w:val="de-DE"/>
        </w:rPr>
        <w:t>4</w:t>
      </w:r>
      <w:r w:rsidR="00AB414B" w:rsidRPr="00AB414B">
        <w:rPr>
          <w:rFonts w:asciiTheme="minorHAnsi" w:hAnsiTheme="minorHAnsi" w:cs="Segoe UI"/>
          <w:color w:val="000000"/>
          <w:sz w:val="21"/>
          <w:szCs w:val="21"/>
          <w:lang w:val="de-DE"/>
        </w:rPr>
        <w:t xml:space="preserve">. </w:t>
      </w:r>
      <w:r w:rsidR="00C10099" w:rsidRPr="00C10099">
        <w:rPr>
          <w:rFonts w:asciiTheme="minorHAnsi" w:hAnsiTheme="minorHAnsi" w:cs="Segoe UI"/>
          <w:color w:val="000000"/>
          <w:sz w:val="21"/>
          <w:szCs w:val="21"/>
          <w:lang w:val="de-DE"/>
        </w:rPr>
        <w:t>Insbesondere beschränken sich § 17c und § 17f EnWG-RefE</w:t>
      </w:r>
      <w:r w:rsidR="00987046" w:rsidRPr="00987046">
        <w:rPr>
          <w:rFonts w:asciiTheme="minorHAnsi" w:hAnsiTheme="minorHAnsi" w:cs="Segoe UI"/>
          <w:color w:val="000000"/>
          <w:sz w:val="21"/>
          <w:szCs w:val="21"/>
          <w:vertAlign w:val="superscript"/>
          <w:lang w:val="de-DE"/>
        </w:rPr>
        <w:t>5</w:t>
      </w:r>
      <w:r w:rsidR="00C10099" w:rsidRPr="00C10099">
        <w:rPr>
          <w:rFonts w:asciiTheme="minorHAnsi" w:hAnsiTheme="minorHAnsi" w:cs="Segoe UI"/>
          <w:color w:val="000000"/>
          <w:sz w:val="21"/>
          <w:szCs w:val="21"/>
          <w:lang w:val="de-DE"/>
        </w:rPr>
        <w:t xml:space="preserve"> auf Anlagen ab 135 kW Nennleistung und auf Spannungsebenen oberhalb der Niederspannung. Damit fallen praktisch der gesamte AC-Lademarkt (11–22 kW) und der größte Teil des halböffentlichen DC-Lademarkts (50–1</w:t>
      </w:r>
      <w:r w:rsidR="00F67C23">
        <w:rPr>
          <w:rFonts w:asciiTheme="minorHAnsi" w:hAnsiTheme="minorHAnsi" w:cs="Segoe UI"/>
          <w:color w:val="000000"/>
          <w:sz w:val="21"/>
          <w:szCs w:val="21"/>
          <w:lang w:val="de-DE"/>
        </w:rPr>
        <w:t>50</w:t>
      </w:r>
      <w:r w:rsidR="00C10099" w:rsidRPr="00C10099">
        <w:rPr>
          <w:rFonts w:asciiTheme="minorHAnsi" w:hAnsiTheme="minorHAnsi" w:cs="Segoe UI"/>
          <w:color w:val="000000"/>
          <w:sz w:val="21"/>
          <w:szCs w:val="21"/>
          <w:lang w:val="de-DE"/>
        </w:rPr>
        <w:t xml:space="preserve"> kW) durch das Raster</w:t>
      </w:r>
      <w:r w:rsidR="00F67C23">
        <w:rPr>
          <w:rFonts w:asciiTheme="minorHAnsi" w:hAnsiTheme="minorHAnsi" w:cs="Segoe UI"/>
          <w:color w:val="000000"/>
          <w:sz w:val="21"/>
          <w:szCs w:val="21"/>
          <w:lang w:val="de-DE"/>
        </w:rPr>
        <w:t>, welcher i.d.R. ausschließlich Anschluss an die Niederspannung findet</w:t>
      </w:r>
      <w:r w:rsidR="00C10099" w:rsidRPr="00C10099">
        <w:rPr>
          <w:rFonts w:asciiTheme="minorHAnsi" w:hAnsiTheme="minorHAnsi" w:cs="Segoe UI"/>
          <w:color w:val="000000"/>
          <w:sz w:val="21"/>
          <w:szCs w:val="21"/>
          <w:lang w:val="de-DE"/>
        </w:rPr>
        <w:t xml:space="preserve">. </w:t>
      </w:r>
      <w:r w:rsidR="00AB414B" w:rsidRPr="00AB414B">
        <w:rPr>
          <w:rFonts w:asciiTheme="minorHAnsi" w:hAnsiTheme="minorHAnsi" w:cs="Segoe UI"/>
          <w:color w:val="000000"/>
          <w:sz w:val="21"/>
          <w:szCs w:val="21"/>
          <w:lang w:val="de-DE"/>
        </w:rPr>
        <w:t>Ohne Nachsteuerung droht ein regulatorischer Blindfleck mit gravierenden Folgen</w:t>
      </w:r>
      <w:r w:rsidR="005902B3">
        <w:rPr>
          <w:rFonts w:asciiTheme="minorHAnsi" w:hAnsiTheme="minorHAnsi" w:cs="Segoe UI"/>
          <w:color w:val="000000"/>
          <w:sz w:val="21"/>
          <w:szCs w:val="21"/>
          <w:lang w:val="de-DE"/>
        </w:rPr>
        <w:t xml:space="preserve"> und</w:t>
      </w:r>
      <w:r w:rsidR="0042492A">
        <w:rPr>
          <w:rFonts w:asciiTheme="minorHAnsi" w:hAnsiTheme="minorHAnsi" w:cs="Segoe UI"/>
          <w:color w:val="000000"/>
          <w:sz w:val="21"/>
          <w:szCs w:val="21"/>
          <w:lang w:val="de-DE"/>
        </w:rPr>
        <w:t xml:space="preserve"> </w:t>
      </w:r>
      <w:r>
        <w:rPr>
          <w:rFonts w:asciiTheme="minorHAnsi" w:hAnsiTheme="minorHAnsi" w:cs="Segoe UI"/>
          <w:color w:val="000000"/>
          <w:sz w:val="21"/>
          <w:szCs w:val="21"/>
          <w:lang w:val="de-DE"/>
        </w:rPr>
        <w:t>eines langjährigen Fortbestehenden</w:t>
      </w:r>
      <w:r w:rsidR="0042492A">
        <w:rPr>
          <w:rFonts w:asciiTheme="minorHAnsi" w:hAnsiTheme="minorHAnsi" w:cs="Segoe UI"/>
          <w:color w:val="000000"/>
          <w:sz w:val="21"/>
          <w:szCs w:val="21"/>
          <w:lang w:val="de-DE"/>
        </w:rPr>
        <w:t xml:space="preserve"> unnötiger</w:t>
      </w:r>
      <w:r w:rsidR="005902B3">
        <w:rPr>
          <w:rFonts w:asciiTheme="minorHAnsi" w:hAnsiTheme="minorHAnsi" w:cs="Segoe UI"/>
          <w:color w:val="000000"/>
          <w:sz w:val="21"/>
          <w:szCs w:val="21"/>
          <w:lang w:val="de-DE"/>
        </w:rPr>
        <w:t xml:space="preserve"> bürokratischen </w:t>
      </w:r>
      <w:r w:rsidR="00962507">
        <w:rPr>
          <w:rFonts w:asciiTheme="minorHAnsi" w:hAnsiTheme="minorHAnsi" w:cs="Segoe UI"/>
          <w:color w:val="000000"/>
          <w:sz w:val="21"/>
          <w:szCs w:val="21"/>
          <w:lang w:val="de-DE"/>
        </w:rPr>
        <w:t>Hürden</w:t>
      </w:r>
      <w:r w:rsidR="0042492A">
        <w:rPr>
          <w:rFonts w:asciiTheme="minorHAnsi" w:hAnsiTheme="minorHAnsi" w:cs="Segoe UI"/>
          <w:color w:val="000000"/>
          <w:sz w:val="21"/>
          <w:szCs w:val="21"/>
          <w:lang w:val="de-DE"/>
        </w:rPr>
        <w:t xml:space="preserve"> und Ineffizienzen</w:t>
      </w:r>
      <w:r w:rsidR="00962507">
        <w:rPr>
          <w:rFonts w:asciiTheme="minorHAnsi" w:hAnsiTheme="minorHAnsi" w:cs="Segoe UI"/>
          <w:color w:val="000000"/>
          <w:sz w:val="21"/>
          <w:szCs w:val="21"/>
          <w:lang w:val="de-DE"/>
        </w:rPr>
        <w:t>,</w:t>
      </w:r>
      <w:r w:rsidR="005902B3">
        <w:rPr>
          <w:rFonts w:asciiTheme="minorHAnsi" w:hAnsiTheme="minorHAnsi" w:cs="Segoe UI"/>
          <w:color w:val="000000"/>
          <w:sz w:val="21"/>
          <w:szCs w:val="21"/>
          <w:lang w:val="de-DE"/>
        </w:rPr>
        <w:t xml:space="preserve"> die den Hochlauf der Elektromobilität unnötig bremsen und den Ausbau notwendiger Ladeinfrastruktur erschweren</w:t>
      </w:r>
      <w:r w:rsidR="00AB414B" w:rsidRPr="00AB414B">
        <w:rPr>
          <w:rFonts w:asciiTheme="minorHAnsi" w:hAnsiTheme="minorHAnsi" w:cs="Segoe UI"/>
          <w:color w:val="000000"/>
          <w:sz w:val="21"/>
          <w:szCs w:val="21"/>
          <w:lang w:val="de-DE"/>
        </w:rPr>
        <w:t>:</w:t>
      </w:r>
    </w:p>
    <w:p w14:paraId="7D90E001" w14:textId="1B5EDDDB" w:rsidR="00AB414B" w:rsidRPr="00AB414B" w:rsidRDefault="00AB414B" w:rsidP="003C0CE4">
      <w:pPr>
        <w:pStyle w:val="NormalWeb"/>
        <w:numPr>
          <w:ilvl w:val="0"/>
          <w:numId w:val="13"/>
        </w:numPr>
        <w:spacing w:line="252" w:lineRule="auto"/>
        <w:jc w:val="both"/>
        <w:rPr>
          <w:rFonts w:asciiTheme="minorHAnsi" w:hAnsiTheme="minorHAnsi" w:cs="Segoe UI"/>
          <w:color w:val="000000"/>
          <w:sz w:val="21"/>
          <w:szCs w:val="21"/>
          <w:lang w:val="de-DE"/>
        </w:rPr>
      </w:pPr>
      <w:r w:rsidRPr="00AB414B">
        <w:rPr>
          <w:rFonts w:asciiTheme="minorHAnsi" w:hAnsiTheme="minorHAnsi" w:cs="Segoe UI"/>
          <w:color w:val="000000"/>
          <w:sz w:val="21"/>
          <w:szCs w:val="21"/>
          <w:lang w:val="de-DE"/>
        </w:rPr>
        <w:t>keine digitalisierte, bundesweit einheitliche Planauskunft und Kapazitätsabfrage in der Niederspannung;</w:t>
      </w:r>
    </w:p>
    <w:p w14:paraId="39EE7495" w14:textId="75FE0FB2" w:rsidR="00AB414B" w:rsidRPr="00AB414B" w:rsidRDefault="00AB414B" w:rsidP="003C0CE4">
      <w:pPr>
        <w:pStyle w:val="NormalWeb"/>
        <w:numPr>
          <w:ilvl w:val="0"/>
          <w:numId w:val="13"/>
        </w:numPr>
        <w:spacing w:line="252" w:lineRule="auto"/>
        <w:jc w:val="both"/>
        <w:rPr>
          <w:rFonts w:asciiTheme="minorHAnsi" w:hAnsiTheme="minorHAnsi" w:cs="Segoe UI"/>
          <w:color w:val="000000"/>
          <w:sz w:val="21"/>
          <w:szCs w:val="21"/>
          <w:lang w:val="de-DE"/>
        </w:rPr>
      </w:pPr>
      <w:r w:rsidRPr="00AB414B">
        <w:rPr>
          <w:rFonts w:asciiTheme="minorHAnsi" w:hAnsiTheme="minorHAnsi" w:cs="Segoe UI"/>
          <w:color w:val="000000"/>
          <w:sz w:val="21"/>
          <w:szCs w:val="21"/>
          <w:lang w:val="de-DE"/>
        </w:rPr>
        <w:t>keine Genehmigungsfiktion für kleine Anschlussbegehren;</w:t>
      </w:r>
    </w:p>
    <w:p w14:paraId="0BFB5977" w14:textId="015A8F66" w:rsidR="00AB414B" w:rsidRPr="00AB414B" w:rsidRDefault="00AB414B" w:rsidP="003C0CE4">
      <w:pPr>
        <w:pStyle w:val="NormalWeb"/>
        <w:numPr>
          <w:ilvl w:val="0"/>
          <w:numId w:val="13"/>
        </w:numPr>
        <w:spacing w:line="252" w:lineRule="auto"/>
        <w:jc w:val="both"/>
        <w:rPr>
          <w:rFonts w:asciiTheme="minorHAnsi" w:hAnsiTheme="minorHAnsi" w:cs="Segoe UI"/>
          <w:color w:val="000000"/>
          <w:sz w:val="21"/>
          <w:szCs w:val="21"/>
          <w:lang w:val="de-DE"/>
        </w:rPr>
      </w:pPr>
      <w:r w:rsidRPr="00AB414B">
        <w:rPr>
          <w:rFonts w:asciiTheme="minorHAnsi" w:hAnsiTheme="minorHAnsi" w:cs="Segoe UI"/>
          <w:color w:val="000000"/>
          <w:sz w:val="21"/>
          <w:szCs w:val="21"/>
          <w:lang w:val="de-DE"/>
        </w:rPr>
        <w:t>keine Vereinheitlichung der TAB-Praxis der rund 850 VNBs.</w:t>
      </w:r>
    </w:p>
    <w:p w14:paraId="582F282B" w14:textId="7351BD25" w:rsidR="003C6FE8" w:rsidRDefault="00265565" w:rsidP="003C0CE4">
      <w:pPr>
        <w:pStyle w:val="NormalWeb"/>
        <w:spacing w:line="252" w:lineRule="auto"/>
        <w:jc w:val="both"/>
        <w:rPr>
          <w:rFonts w:asciiTheme="minorHAnsi" w:hAnsiTheme="minorHAnsi" w:cs="Segoe UI"/>
          <w:color w:val="000000"/>
          <w:sz w:val="21"/>
          <w:szCs w:val="21"/>
          <w:lang w:val="de-DE"/>
        </w:rPr>
      </w:pPr>
      <w:r w:rsidRPr="00563B84">
        <w:rPr>
          <w:noProof/>
          <w:sz w:val="21"/>
          <w:szCs w:val="21"/>
          <w:lang w:val="de-DE"/>
        </w:rPr>
        <mc:AlternateContent>
          <mc:Choice Requires="wps">
            <w:drawing>
              <wp:anchor distT="45720" distB="45720" distL="114300" distR="114300" simplePos="0" relativeHeight="251659264" behindDoc="0" locked="0" layoutInCell="1" allowOverlap="1" wp14:anchorId="64C12A3F" wp14:editId="18FB34D3">
                <wp:simplePos x="0" y="0"/>
                <wp:positionH relativeFrom="margin">
                  <wp:posOffset>-76200</wp:posOffset>
                </wp:positionH>
                <wp:positionV relativeFrom="margin">
                  <wp:posOffset>6634269</wp:posOffset>
                </wp:positionV>
                <wp:extent cx="64973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320" cy="1404620"/>
                        </a:xfrm>
                        <a:prstGeom prst="rect">
                          <a:avLst/>
                        </a:prstGeom>
                        <a:solidFill>
                          <a:srgbClr val="FFFFFF"/>
                        </a:solidFill>
                        <a:ln w="9525">
                          <a:noFill/>
                          <a:miter lim="800000"/>
                          <a:headEnd/>
                          <a:tailEnd/>
                        </a:ln>
                      </wps:spPr>
                      <wps:txbx>
                        <w:txbxContent>
                          <w:p w14:paraId="4C59F83B" w14:textId="53AE61DD" w:rsidR="00987046" w:rsidRPr="00636687" w:rsidRDefault="00315F1A" w:rsidP="00315F1A">
                            <w:pPr>
                              <w:rPr>
                                <w:sz w:val="14"/>
                                <w:szCs w:val="14"/>
                                <w:lang w:val="de-DE"/>
                              </w:rPr>
                            </w:pPr>
                            <w:r w:rsidRPr="00636687">
                              <w:rPr>
                                <w:sz w:val="14"/>
                                <w:szCs w:val="14"/>
                                <w:lang w:val="de-DE"/>
                              </w:rPr>
                              <w:t>---------</w:t>
                            </w:r>
                            <w:r w:rsidRPr="00636687">
                              <w:rPr>
                                <w:sz w:val="14"/>
                                <w:szCs w:val="14"/>
                                <w:lang w:val="de-DE"/>
                              </w:rPr>
                              <w:br/>
                            </w:r>
                            <w:r>
                              <w:rPr>
                                <w:sz w:val="14"/>
                                <w:szCs w:val="14"/>
                                <w:lang w:val="de-DE"/>
                              </w:rPr>
                              <w:t>3</w:t>
                            </w:r>
                            <w:r w:rsidR="00FE22F9">
                              <w:rPr>
                                <w:sz w:val="14"/>
                                <w:szCs w:val="14"/>
                                <w:lang w:val="de-DE"/>
                              </w:rPr>
                              <w:t xml:space="preserve"> Hildegard Müller, VDA</w:t>
                            </w:r>
                            <w:r w:rsidR="00C41D1A">
                              <w:rPr>
                                <w:sz w:val="14"/>
                                <w:szCs w:val="14"/>
                                <w:lang w:val="de-DE"/>
                              </w:rPr>
                              <w:t xml:space="preserve">-Kommentierung zum Masterplan 2030; </w:t>
                            </w:r>
                            <w:r w:rsidR="00C41D1A">
                              <w:fldChar w:fldCharType="begin"/>
                            </w:r>
                            <w:r w:rsidR="00C41D1A" w:rsidRPr="00E60B78">
                              <w:rPr>
                                <w:lang w:val="de-DE"/>
                              </w:rPr>
                              <w:instrText>HYPERLINK "https://www.vda.de/de/presse/Pressemeldungen/2025/251024_Kommentierung_Masterplan_Ladeinfrastruktur"</w:instrText>
                            </w:r>
                            <w:r w:rsidR="00C41D1A">
                              <w:fldChar w:fldCharType="separate"/>
                            </w:r>
                            <w:r w:rsidR="00C41D1A" w:rsidRPr="00C41D1A">
                              <w:rPr>
                                <w:rStyle w:val="Hyperlink"/>
                                <w:sz w:val="14"/>
                                <w:szCs w:val="14"/>
                                <w:lang w:val="de-DE"/>
                              </w:rPr>
                              <w:t>LINK</w:t>
                            </w:r>
                            <w:r w:rsidR="00C41D1A">
                              <w:fldChar w:fldCharType="end"/>
                            </w:r>
                            <w:r>
                              <w:rPr>
                                <w:sz w:val="14"/>
                                <w:szCs w:val="14"/>
                                <w:lang w:val="de-DE"/>
                              </w:rPr>
                              <w:br/>
                              <w:t>4</w:t>
                            </w:r>
                            <w:r w:rsidRPr="00636687">
                              <w:rPr>
                                <w:sz w:val="14"/>
                                <w:szCs w:val="14"/>
                                <w:lang w:val="de-DE"/>
                              </w:rPr>
                              <w:t xml:space="preserve"> Aktuelle Zulassung</w:t>
                            </w:r>
                            <w:r>
                              <w:rPr>
                                <w:sz w:val="14"/>
                                <w:szCs w:val="14"/>
                                <w:lang w:val="de-DE"/>
                              </w:rPr>
                              <w:t>s</w:t>
                            </w:r>
                            <w:r w:rsidRPr="00636687">
                              <w:rPr>
                                <w:sz w:val="14"/>
                                <w:szCs w:val="14"/>
                                <w:lang w:val="de-DE"/>
                              </w:rPr>
                              <w:t>kennzahlen des KBA im Mai 2026:</w:t>
                            </w:r>
                            <w:r w:rsidRPr="00C73C16">
                              <w:rPr>
                                <w:lang w:val="de-DE"/>
                              </w:rPr>
                              <w:t xml:space="preserve"> </w:t>
                            </w:r>
                            <w:r w:rsidRPr="00C73C16">
                              <w:rPr>
                                <w:sz w:val="14"/>
                                <w:szCs w:val="14"/>
                                <w:lang w:val="de-DE"/>
                              </w:rPr>
                              <w:t>Jedes vierte im Mai neu zugelassene Auto hat einen reinen Elektroantrieb (BEV)</w:t>
                            </w:r>
                            <w:r>
                              <w:rPr>
                                <w:sz w:val="14"/>
                                <w:szCs w:val="14"/>
                                <w:lang w:val="de-DE"/>
                              </w:rPr>
                              <w:t xml:space="preserve">; </w:t>
                            </w:r>
                            <w:r w:rsidRPr="00636687">
                              <w:rPr>
                                <w:sz w:val="14"/>
                                <w:szCs w:val="14"/>
                                <w:lang w:val="de-DE"/>
                              </w:rPr>
                              <w:t xml:space="preserve"> </w:t>
                            </w:r>
                            <w:r>
                              <w:fldChar w:fldCharType="begin"/>
                            </w:r>
                            <w:r w:rsidRPr="00E60B78">
                              <w:rPr>
                                <w:lang w:val="de-DE"/>
                              </w:rPr>
                              <w:instrText>HYPERLINK "https://www.adac.de/news/neuzulassungen-kba/"</w:instrText>
                            </w:r>
                            <w:r>
                              <w:fldChar w:fldCharType="separate"/>
                            </w:r>
                            <w:r w:rsidRPr="00636687">
                              <w:rPr>
                                <w:rStyle w:val="Hyperlink"/>
                                <w:sz w:val="14"/>
                                <w:szCs w:val="14"/>
                                <w:lang w:val="de-DE"/>
                              </w:rPr>
                              <w:t>LINK</w:t>
                            </w:r>
                            <w:r>
                              <w:fldChar w:fldCharType="end"/>
                            </w:r>
                            <w:r w:rsidRPr="00636687">
                              <w:rPr>
                                <w:sz w:val="14"/>
                                <w:szCs w:val="14"/>
                                <w:lang w:val="de-DE"/>
                              </w:rPr>
                              <w:t xml:space="preserve"> </w:t>
                            </w:r>
                            <w:r w:rsidR="00987046">
                              <w:rPr>
                                <w:sz w:val="14"/>
                                <w:szCs w:val="14"/>
                                <w:lang w:val="de-DE"/>
                              </w:rPr>
                              <w:br/>
                              <w:t xml:space="preserve">5 </w:t>
                            </w:r>
                            <w:proofErr w:type="spellStart"/>
                            <w:r w:rsidR="00987046">
                              <w:rPr>
                                <w:sz w:val="14"/>
                                <w:szCs w:val="14"/>
                                <w:lang w:val="de-DE"/>
                              </w:rPr>
                              <w:t>RefE</w:t>
                            </w:r>
                            <w:proofErr w:type="spellEnd"/>
                            <w:r w:rsidR="00987046">
                              <w:rPr>
                                <w:sz w:val="14"/>
                                <w:szCs w:val="14"/>
                                <w:lang w:val="de-DE"/>
                              </w:rPr>
                              <w:t xml:space="preserve"> - Referentenentwurf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C12A3F" id="_x0000_t202" coordsize="21600,21600" o:spt="202" path="m,l,21600r21600,l21600,xe">
                <v:stroke joinstyle="miter"/>
                <v:path gradientshapeok="t" o:connecttype="rect"/>
              </v:shapetype>
              <v:shape id="Text Box 2" o:spid="_x0000_s1026" type="#_x0000_t202" style="position:absolute;left:0;text-align:left;margin-left:-6pt;margin-top:522.4pt;width:511.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" stroked="f">
                <v:textbox style="mso-fit-shape-to-text:t">
                  <w:txbxContent>
                    <w:p w14:paraId="4C59F83B" w14:textId="53AE61DD" w:rsidR="00987046" w:rsidRPr="00636687" w:rsidRDefault="00315F1A" w:rsidP="00315F1A">
                      <w:pPr>
                        <w:rPr>
                          <w:sz w:val="14"/>
                          <w:szCs w:val="14"/>
                          <w:lang w:val="de-DE"/>
                        </w:rPr>
                      </w:pPr>
                      <w:r w:rsidRPr="00636687">
                        <w:rPr>
                          <w:sz w:val="14"/>
                          <w:szCs w:val="14"/>
                          <w:lang w:val="de-DE"/>
                        </w:rPr>
                        <w:t>---------</w:t>
                      </w:r>
                      <w:r w:rsidRPr="00636687">
                        <w:rPr>
                          <w:sz w:val="14"/>
                          <w:szCs w:val="14"/>
                          <w:lang w:val="de-DE"/>
                        </w:rPr>
                        <w:br/>
                      </w:r>
                      <w:r>
                        <w:rPr>
                          <w:sz w:val="14"/>
                          <w:szCs w:val="14"/>
                          <w:lang w:val="de-DE"/>
                        </w:rPr>
                        <w:t>3</w:t>
                      </w:r>
                      <w:r w:rsidR="00FE22F9">
                        <w:rPr>
                          <w:sz w:val="14"/>
                          <w:szCs w:val="14"/>
                          <w:lang w:val="de-DE"/>
                        </w:rPr>
                        <w:t xml:space="preserve"> Hildegard Müller, VDA</w:t>
                      </w:r>
                      <w:r w:rsidR="00C41D1A">
                        <w:rPr>
                          <w:sz w:val="14"/>
                          <w:szCs w:val="14"/>
                          <w:lang w:val="de-DE"/>
                        </w:rPr>
                        <w:t xml:space="preserve">-Kommentierung zum Masterplan 2030; </w:t>
                      </w:r>
                      <w:r w:rsidR="00C41D1A">
                        <w:fldChar w:fldCharType="begin"/>
                      </w:r>
                      <w:r w:rsidR="00C41D1A" w:rsidRPr="00E60B78">
                        <w:rPr>
                          <w:lang w:val="de-DE"/>
                        </w:rPr>
                        <w:instrText>HYPERLINK "https://www.vda.de/de/presse/Pressemeldungen/2025/251024_Kommentierung_Masterplan_Ladeinfrastruktur"</w:instrText>
                      </w:r>
                      <w:r w:rsidR="00C41D1A">
                        <w:fldChar w:fldCharType="separate"/>
                      </w:r>
                      <w:r w:rsidR="00C41D1A" w:rsidRPr="00C41D1A">
                        <w:rPr>
                          <w:rStyle w:val="Hyperlink"/>
                          <w:sz w:val="14"/>
                          <w:szCs w:val="14"/>
                          <w:lang w:val="de-DE"/>
                        </w:rPr>
                        <w:t>LINK</w:t>
                      </w:r>
                      <w:r w:rsidR="00C41D1A">
                        <w:fldChar w:fldCharType="end"/>
                      </w:r>
                      <w:r>
                        <w:rPr>
                          <w:sz w:val="14"/>
                          <w:szCs w:val="14"/>
                          <w:lang w:val="de-DE"/>
                        </w:rPr>
                        <w:br/>
                        <w:t>4</w:t>
                      </w:r>
                      <w:r w:rsidRPr="00636687">
                        <w:rPr>
                          <w:sz w:val="14"/>
                          <w:szCs w:val="14"/>
                          <w:lang w:val="de-DE"/>
                        </w:rPr>
                        <w:t xml:space="preserve"> Aktuelle Zulassung</w:t>
                      </w:r>
                      <w:r>
                        <w:rPr>
                          <w:sz w:val="14"/>
                          <w:szCs w:val="14"/>
                          <w:lang w:val="de-DE"/>
                        </w:rPr>
                        <w:t>s</w:t>
                      </w:r>
                      <w:r w:rsidRPr="00636687">
                        <w:rPr>
                          <w:sz w:val="14"/>
                          <w:szCs w:val="14"/>
                          <w:lang w:val="de-DE"/>
                        </w:rPr>
                        <w:t>kennzahlen des KBA im Mai 2026:</w:t>
                      </w:r>
                      <w:r w:rsidRPr="00C73C16">
                        <w:rPr>
                          <w:lang w:val="de-DE"/>
                        </w:rPr>
                        <w:t xml:space="preserve"> </w:t>
                      </w:r>
                      <w:r w:rsidRPr="00C73C16">
                        <w:rPr>
                          <w:sz w:val="14"/>
                          <w:szCs w:val="14"/>
                          <w:lang w:val="de-DE"/>
                        </w:rPr>
                        <w:t>Jedes vierte im Mai neu zugelassene Auto hat einen reinen Elektroantrieb (BEV)</w:t>
                      </w:r>
                      <w:r>
                        <w:rPr>
                          <w:sz w:val="14"/>
                          <w:szCs w:val="14"/>
                          <w:lang w:val="de-DE"/>
                        </w:rPr>
                        <w:t xml:space="preserve">; </w:t>
                      </w:r>
                      <w:r w:rsidRPr="00636687">
                        <w:rPr>
                          <w:sz w:val="14"/>
                          <w:szCs w:val="14"/>
                          <w:lang w:val="de-DE"/>
                        </w:rPr>
                        <w:t xml:space="preserve"> </w:t>
                      </w:r>
                      <w:r>
                        <w:fldChar w:fldCharType="begin"/>
                      </w:r>
                      <w:r w:rsidRPr="00E60B78">
                        <w:rPr>
                          <w:lang w:val="de-DE"/>
                        </w:rPr>
                        <w:instrText>HYPERLINK "https://www.adac.de/news/neuzulassungen-kba/"</w:instrText>
                      </w:r>
                      <w:r>
                        <w:fldChar w:fldCharType="separate"/>
                      </w:r>
                      <w:r w:rsidRPr="00636687">
                        <w:rPr>
                          <w:rStyle w:val="Hyperlink"/>
                          <w:sz w:val="14"/>
                          <w:szCs w:val="14"/>
                          <w:lang w:val="de-DE"/>
                        </w:rPr>
                        <w:t>LINK</w:t>
                      </w:r>
                      <w:r>
                        <w:fldChar w:fldCharType="end"/>
                      </w:r>
                      <w:r w:rsidRPr="00636687">
                        <w:rPr>
                          <w:sz w:val="14"/>
                          <w:szCs w:val="14"/>
                          <w:lang w:val="de-DE"/>
                        </w:rPr>
                        <w:t xml:space="preserve"> </w:t>
                      </w:r>
                      <w:r w:rsidR="00987046">
                        <w:rPr>
                          <w:sz w:val="14"/>
                          <w:szCs w:val="14"/>
                          <w:lang w:val="de-DE"/>
                        </w:rPr>
                        <w:br/>
                        <w:t xml:space="preserve">5 </w:t>
                      </w:r>
                      <w:proofErr w:type="spellStart"/>
                      <w:r w:rsidR="00987046">
                        <w:rPr>
                          <w:sz w:val="14"/>
                          <w:szCs w:val="14"/>
                          <w:lang w:val="de-DE"/>
                        </w:rPr>
                        <w:t>RefE</w:t>
                      </w:r>
                      <w:proofErr w:type="spellEnd"/>
                      <w:r w:rsidR="00987046">
                        <w:rPr>
                          <w:sz w:val="14"/>
                          <w:szCs w:val="14"/>
                          <w:lang w:val="de-DE"/>
                        </w:rPr>
                        <w:t xml:space="preserve"> - Referentenentwurf</w:t>
                      </w:r>
                    </w:p>
                  </w:txbxContent>
                </v:textbox>
                <w10:wrap type="square" anchorx="margin" anchory="margin"/>
              </v:shape>
            </w:pict>
          </mc:Fallback>
        </mc:AlternateContent>
      </w:r>
      <w:r w:rsidR="00AB414B" w:rsidRPr="00AB414B">
        <w:rPr>
          <w:rFonts w:asciiTheme="minorHAnsi" w:hAnsiTheme="minorHAnsi" w:cs="Segoe UI"/>
          <w:color w:val="000000"/>
          <w:sz w:val="21"/>
          <w:szCs w:val="21"/>
          <w:lang w:val="de-DE"/>
        </w:rPr>
        <w:t xml:space="preserve">Wir bitten Sie daher, sich im Ausschuss für Wirtschaft und Energie für eine explizite Aufnahme der Niederspannungsebene in das Netzanschlusspaket sowie für </w:t>
      </w:r>
      <w:r w:rsidR="00B7572C">
        <w:rPr>
          <w:rFonts w:asciiTheme="minorHAnsi" w:hAnsiTheme="minorHAnsi" w:cs="Segoe UI"/>
          <w:color w:val="000000"/>
          <w:sz w:val="21"/>
          <w:szCs w:val="21"/>
          <w:lang w:val="de-DE"/>
        </w:rPr>
        <w:t xml:space="preserve">Aufnahme der </w:t>
      </w:r>
      <w:r w:rsidR="00992A93">
        <w:rPr>
          <w:rFonts w:asciiTheme="minorHAnsi" w:hAnsiTheme="minorHAnsi" w:cs="Segoe UI"/>
          <w:color w:val="000000"/>
          <w:sz w:val="21"/>
          <w:szCs w:val="21"/>
          <w:lang w:val="de-DE"/>
        </w:rPr>
        <w:t>unten</w:t>
      </w:r>
      <w:r w:rsidR="00AB414B" w:rsidRPr="00AB414B">
        <w:rPr>
          <w:rFonts w:asciiTheme="minorHAnsi" w:hAnsiTheme="minorHAnsi" w:cs="Segoe UI"/>
          <w:color w:val="000000"/>
          <w:sz w:val="21"/>
          <w:szCs w:val="21"/>
          <w:lang w:val="de-DE"/>
        </w:rPr>
        <w:t xml:space="preserve"> genannten vier Maßnahmen einzusetzen.</w:t>
      </w:r>
    </w:p>
    <w:p w14:paraId="70757F2A" w14:textId="0B8A997B" w:rsidR="00ED1172" w:rsidRPr="00C91283" w:rsidRDefault="00C91283" w:rsidP="003C0CE4">
      <w:pPr>
        <w:pStyle w:val="Heading2"/>
        <w:shd w:val="clear" w:color="auto" w:fill="EAEAEA"/>
        <w:spacing w:line="252" w:lineRule="auto"/>
        <w:jc w:val="both"/>
        <w:rPr>
          <w:rStyle w:val="Strong"/>
          <w:rFonts w:asciiTheme="minorHAnsi" w:hAnsiTheme="minorHAnsi" w:cs="Segoe UI"/>
          <w:color w:val="000000"/>
          <w:sz w:val="28"/>
          <w:szCs w:val="28"/>
          <w:lang w:val="de-DE"/>
        </w:rPr>
      </w:pPr>
      <w:r>
        <w:rPr>
          <w:rStyle w:val="Strong"/>
          <w:rFonts w:asciiTheme="minorHAnsi" w:hAnsiTheme="minorHAnsi" w:cs="Segoe UI"/>
          <w:color w:val="000000"/>
          <w:sz w:val="28"/>
          <w:szCs w:val="28"/>
          <w:lang w:val="de-DE"/>
        </w:rPr>
        <w:lastRenderedPageBreak/>
        <w:t xml:space="preserve">GEMEINSAME </w:t>
      </w:r>
      <w:r w:rsidR="00ED1172" w:rsidRPr="00C91283">
        <w:rPr>
          <w:rStyle w:val="Strong"/>
          <w:rFonts w:asciiTheme="minorHAnsi" w:hAnsiTheme="minorHAnsi" w:cs="Segoe UI"/>
          <w:color w:val="000000"/>
          <w:sz w:val="28"/>
          <w:szCs w:val="28"/>
          <w:lang w:val="de-DE"/>
        </w:rPr>
        <w:t xml:space="preserve">VISION: „Im Jahr 2027 dauert es maximal 5 Werktage von der </w:t>
      </w:r>
      <w:r w:rsidR="002A3AC1">
        <w:rPr>
          <w:rStyle w:val="Strong"/>
          <w:rFonts w:asciiTheme="minorHAnsi" w:hAnsiTheme="minorHAnsi" w:cs="Segoe UI"/>
          <w:color w:val="000000"/>
          <w:sz w:val="28"/>
          <w:szCs w:val="28"/>
          <w:lang w:val="de-DE"/>
        </w:rPr>
        <w:t>Leitungsp</w:t>
      </w:r>
      <w:r w:rsidR="00ED1172" w:rsidRPr="00C91283">
        <w:rPr>
          <w:rStyle w:val="Strong"/>
          <w:rFonts w:asciiTheme="minorHAnsi" w:hAnsiTheme="minorHAnsi" w:cs="Segoe UI"/>
          <w:color w:val="000000"/>
          <w:sz w:val="28"/>
          <w:szCs w:val="28"/>
          <w:lang w:val="de-DE"/>
        </w:rPr>
        <w:t>lanauskunft über die Netzanschlusskapazitätsanfrage bis zur Netzanschlussgenehmigung."</w:t>
      </w:r>
    </w:p>
    <w:p w14:paraId="0738BC9A" w14:textId="1D8D030C" w:rsidR="00AF0954" w:rsidRPr="00ED1172" w:rsidRDefault="00ED1172" w:rsidP="003C0CE4">
      <w:pPr>
        <w:pStyle w:val="Heading2"/>
        <w:spacing w:line="252" w:lineRule="auto"/>
        <w:jc w:val="both"/>
        <w:rPr>
          <w:rFonts w:asciiTheme="minorHAnsi" w:eastAsia="Times New Roman" w:hAnsiTheme="minorHAnsi" w:cs="Segoe UI"/>
          <w:color w:val="000000" w:themeColor="text1"/>
          <w:kern w:val="0"/>
          <w:sz w:val="21"/>
          <w:szCs w:val="21"/>
          <w:lang w:val="de-DE"/>
          <w14:ligatures w14:val="none"/>
        </w:rPr>
      </w:pPr>
      <w:r w:rsidRPr="00ED1172">
        <w:rPr>
          <w:rFonts w:eastAsia="Times New Roman"/>
          <w:color w:val="000000" w:themeColor="text1"/>
          <w:kern w:val="0"/>
          <w:sz w:val="21"/>
          <w:szCs w:val="21"/>
          <w:lang w:val="de-DE"/>
          <w14:ligatures w14:val="none"/>
        </w:rPr>
        <w:t>Diese Vision ist ambitioniert, aber technisch und organisatorisch erreichbar – wenn die folgenden vier Hebel jetzt regulatorisch verankert werden.</w:t>
      </w:r>
      <w:r w:rsidR="000F5D4B">
        <w:rPr>
          <w:rFonts w:eastAsia="Times New Roman"/>
          <w:color w:val="000000" w:themeColor="text1"/>
          <w:kern w:val="0"/>
          <w:sz w:val="21"/>
          <w:szCs w:val="21"/>
          <w:lang w:val="de-DE"/>
          <w14:ligatures w14:val="none"/>
        </w:rPr>
        <w:t xml:space="preserve"> </w:t>
      </w:r>
    </w:p>
    <w:p w14:paraId="5A2EED03" w14:textId="68ADEC5E" w:rsidR="005902B3" w:rsidRDefault="005902B3" w:rsidP="003C0CE4">
      <w:pPr>
        <w:spacing w:line="252" w:lineRule="auto"/>
        <w:jc w:val="both"/>
        <w:rPr>
          <w:rFonts w:cs="Segoe UI"/>
          <w:color w:val="000000"/>
          <w:sz w:val="21"/>
          <w:szCs w:val="21"/>
          <w:lang w:val="de-DE"/>
        </w:rPr>
      </w:pPr>
    </w:p>
    <w:p w14:paraId="10C092DE" w14:textId="54C2CA50" w:rsidR="005902B3" w:rsidRDefault="005902B3" w:rsidP="003C0CE4">
      <w:pPr>
        <w:spacing w:line="252" w:lineRule="auto"/>
        <w:jc w:val="both"/>
        <w:rPr>
          <w:rFonts w:cs="Segoe UI"/>
          <w:color w:val="000000"/>
          <w:sz w:val="21"/>
          <w:szCs w:val="21"/>
          <w:lang w:val="de-DE"/>
        </w:rPr>
      </w:pPr>
      <w:r>
        <w:rPr>
          <w:rFonts w:cs="Segoe UI"/>
          <w:color w:val="000000"/>
          <w:sz w:val="21"/>
          <w:szCs w:val="21"/>
          <w:lang w:val="de-DE"/>
        </w:rPr>
        <w:t>Zu den Maßnahmen:</w:t>
      </w:r>
    </w:p>
    <w:p w14:paraId="208C73F5" w14:textId="3B183B62" w:rsidR="00AF0954" w:rsidRPr="00AB414B" w:rsidRDefault="00D308F9" w:rsidP="003C0CE4">
      <w:pPr>
        <w:pStyle w:val="Heading2"/>
        <w:shd w:val="clear" w:color="auto" w:fill="EAEAEA"/>
        <w:spacing w:line="252" w:lineRule="auto"/>
        <w:jc w:val="both"/>
        <w:rPr>
          <w:rStyle w:val="Strong"/>
          <w:rFonts w:asciiTheme="minorHAnsi" w:hAnsiTheme="minorHAnsi" w:cs="Segoe UI"/>
          <w:color w:val="000000"/>
          <w:sz w:val="28"/>
          <w:szCs w:val="28"/>
          <w:lang w:val="de-DE"/>
        </w:rPr>
      </w:pPr>
      <w:r w:rsidRPr="00AB414B">
        <w:rPr>
          <w:rStyle w:val="Strong"/>
          <w:rFonts w:asciiTheme="minorHAnsi" w:hAnsiTheme="minorHAnsi" w:cs="Segoe UI"/>
          <w:b w:val="0"/>
          <w:bCs w:val="0"/>
          <w:color w:val="000000"/>
          <w:sz w:val="28"/>
          <w:szCs w:val="28"/>
          <w:lang w:val="de-DE"/>
        </w:rPr>
        <w:t>Maßnahme 1:</w:t>
      </w:r>
      <w:r w:rsidRPr="00AB414B">
        <w:rPr>
          <w:rStyle w:val="Strong"/>
          <w:rFonts w:asciiTheme="minorHAnsi" w:hAnsiTheme="minorHAnsi" w:cs="Segoe UI"/>
          <w:color w:val="000000"/>
          <w:sz w:val="28"/>
          <w:szCs w:val="28"/>
          <w:lang w:val="de-DE"/>
        </w:rPr>
        <w:t xml:space="preserve"> </w:t>
      </w:r>
      <w:r w:rsidR="00B94CC7" w:rsidRPr="00AB414B">
        <w:rPr>
          <w:rStyle w:val="Strong"/>
          <w:rFonts w:asciiTheme="minorHAnsi" w:hAnsiTheme="minorHAnsi" w:cs="Segoe UI"/>
          <w:color w:val="000000"/>
          <w:sz w:val="28"/>
          <w:szCs w:val="28"/>
          <w:lang w:val="de-DE"/>
        </w:rPr>
        <w:t xml:space="preserve">Bundesweit einheitliche, digitale Planauskunft auf Basis des </w:t>
      </w:r>
      <w:r w:rsidR="00403A19">
        <w:rPr>
          <w:rStyle w:val="Strong"/>
          <w:rFonts w:asciiTheme="minorHAnsi" w:hAnsiTheme="minorHAnsi" w:cs="Segoe UI"/>
          <w:color w:val="000000"/>
          <w:sz w:val="28"/>
          <w:szCs w:val="28"/>
          <w:lang w:val="de-DE"/>
        </w:rPr>
        <w:br/>
      </w:r>
      <w:r w:rsidR="00B94CC7" w:rsidRPr="00AB414B">
        <w:rPr>
          <w:rStyle w:val="Strong"/>
          <w:rFonts w:asciiTheme="minorHAnsi" w:hAnsiTheme="minorHAnsi" w:cs="Segoe UI"/>
          <w:color w:val="000000"/>
          <w:sz w:val="28"/>
          <w:szCs w:val="28"/>
          <w:lang w:val="de-DE"/>
        </w:rPr>
        <w:t>BIL-Portals</w:t>
      </w:r>
    </w:p>
    <w:p w14:paraId="5C5AE4CF" w14:textId="3E6950A5" w:rsidR="00AE271C" w:rsidRDefault="00CB7739" w:rsidP="00CB7739">
      <w:pPr>
        <w:spacing w:line="252" w:lineRule="auto"/>
        <w:jc w:val="both"/>
        <w:rPr>
          <w:sz w:val="21"/>
          <w:szCs w:val="21"/>
          <w:lang w:val="de-DE"/>
        </w:rPr>
      </w:pPr>
      <w:r w:rsidRPr="00DA1CB8">
        <w:rPr>
          <w:b/>
          <w:bCs/>
          <w:sz w:val="21"/>
          <w:szCs w:val="21"/>
          <w:lang w:val="de-DE"/>
        </w:rPr>
        <w:t>Niederspannungsnetzpläne</w:t>
      </w:r>
      <w:r w:rsidRPr="00CB7739">
        <w:rPr>
          <w:sz w:val="21"/>
          <w:szCs w:val="21"/>
          <w:lang w:val="de-DE"/>
        </w:rPr>
        <w:t xml:space="preserve"> sind bundesweit einheitlich, digital und über einen verifizierten, </w:t>
      </w:r>
      <w:proofErr w:type="spellStart"/>
      <w:r w:rsidRPr="00CB7739">
        <w:rPr>
          <w:sz w:val="21"/>
          <w:szCs w:val="21"/>
          <w:lang w:val="de-DE"/>
        </w:rPr>
        <w:t>marktakteursbezogenen</w:t>
      </w:r>
      <w:proofErr w:type="spellEnd"/>
      <w:r w:rsidRPr="00CB7739">
        <w:rPr>
          <w:sz w:val="21"/>
          <w:szCs w:val="21"/>
          <w:lang w:val="de-DE"/>
        </w:rPr>
        <w:t xml:space="preserve"> Zugang abrufbar zu machen.</w:t>
      </w:r>
      <w:r w:rsidR="008342CB">
        <w:rPr>
          <w:sz w:val="21"/>
          <w:szCs w:val="21"/>
          <w:lang w:val="de-DE"/>
        </w:rPr>
        <w:t xml:space="preserve"> Leitungspläne sind notwendig für die Bauplanung von Ladeinfrastruktur an den Standorten, Erstellung von Lageplänen für die Netzanschlussanträge sowie notwendige A</w:t>
      </w:r>
      <w:r w:rsidR="00994024">
        <w:rPr>
          <w:sz w:val="21"/>
          <w:szCs w:val="21"/>
          <w:lang w:val="de-DE"/>
        </w:rPr>
        <w:t>b</w:t>
      </w:r>
      <w:r w:rsidR="008342CB">
        <w:rPr>
          <w:sz w:val="21"/>
          <w:szCs w:val="21"/>
          <w:lang w:val="de-DE"/>
        </w:rPr>
        <w:t xml:space="preserve">schätzung der Tiefbau- sowie </w:t>
      </w:r>
      <w:r w:rsidR="009A7988">
        <w:rPr>
          <w:sz w:val="21"/>
          <w:szCs w:val="21"/>
          <w:lang w:val="de-DE"/>
        </w:rPr>
        <w:t>Auf</w:t>
      </w:r>
      <w:r w:rsidR="008342CB">
        <w:rPr>
          <w:sz w:val="21"/>
          <w:szCs w:val="21"/>
          <w:lang w:val="de-DE"/>
        </w:rPr>
        <w:t>bau</w:t>
      </w:r>
      <w:r w:rsidR="009A7988">
        <w:rPr>
          <w:sz w:val="21"/>
          <w:szCs w:val="21"/>
          <w:lang w:val="de-DE"/>
        </w:rPr>
        <w:t>investitions</w:t>
      </w:r>
      <w:r w:rsidR="008342CB">
        <w:rPr>
          <w:sz w:val="21"/>
          <w:szCs w:val="21"/>
          <w:lang w:val="de-DE"/>
        </w:rPr>
        <w:t>kosten am Standort.</w:t>
      </w:r>
      <w:r w:rsidR="009A7988">
        <w:rPr>
          <w:sz w:val="21"/>
          <w:szCs w:val="21"/>
          <w:lang w:val="de-DE"/>
        </w:rPr>
        <w:t xml:space="preserve"> Bisher erfolgt die </w:t>
      </w:r>
      <w:r w:rsidR="00CC4982">
        <w:rPr>
          <w:sz w:val="21"/>
          <w:szCs w:val="21"/>
          <w:lang w:val="de-DE"/>
        </w:rPr>
        <w:t>zwingend</w:t>
      </w:r>
      <w:r w:rsidR="00C721AA">
        <w:rPr>
          <w:sz w:val="21"/>
          <w:szCs w:val="21"/>
          <w:lang w:val="de-DE"/>
        </w:rPr>
        <w:t xml:space="preserve"> </w:t>
      </w:r>
      <w:r w:rsidR="00CC4982">
        <w:rPr>
          <w:sz w:val="21"/>
          <w:szCs w:val="21"/>
          <w:lang w:val="de-DE"/>
        </w:rPr>
        <w:t xml:space="preserve">notwendige </w:t>
      </w:r>
      <w:r w:rsidR="009A7988">
        <w:rPr>
          <w:sz w:val="21"/>
          <w:szCs w:val="21"/>
          <w:lang w:val="de-DE"/>
        </w:rPr>
        <w:t>Abfrage dieser Pläne weitgehend manuell und</w:t>
      </w:r>
      <w:r w:rsidR="00CC4982">
        <w:rPr>
          <w:sz w:val="21"/>
          <w:szCs w:val="21"/>
          <w:lang w:val="de-DE"/>
        </w:rPr>
        <w:t xml:space="preserve"> im individuellen Austausch mit den jeweiligen Verteilnetzbetreibern (VNB)</w:t>
      </w:r>
      <w:r w:rsidR="00B73B22">
        <w:rPr>
          <w:sz w:val="21"/>
          <w:szCs w:val="21"/>
          <w:lang w:val="de-DE"/>
        </w:rPr>
        <w:t xml:space="preserve">. </w:t>
      </w:r>
      <w:r w:rsidRPr="00CB7739">
        <w:rPr>
          <w:sz w:val="21"/>
          <w:szCs w:val="21"/>
          <w:lang w:val="de-DE"/>
        </w:rPr>
        <w:t xml:space="preserve">Das </w:t>
      </w:r>
      <w:r w:rsidRPr="00CB7739">
        <w:rPr>
          <w:sz w:val="21"/>
          <w:szCs w:val="21"/>
          <w:u w:val="single"/>
          <w:lang w:val="de-DE"/>
        </w:rPr>
        <w:t>bestehende BIL-Portal</w:t>
      </w:r>
      <w:r w:rsidRPr="00CB7739">
        <w:rPr>
          <w:sz w:val="21"/>
          <w:szCs w:val="21"/>
          <w:lang w:val="de-DE"/>
        </w:rPr>
        <w:t xml:space="preserve"> (Bundesweites Informationssystem zur Leitungsrecherche) bietet hierfür die ideale Basis</w:t>
      </w:r>
      <w:r w:rsidR="00A339A8">
        <w:rPr>
          <w:sz w:val="21"/>
          <w:szCs w:val="21"/>
          <w:lang w:val="de-DE"/>
        </w:rPr>
        <w:t xml:space="preserve"> ohne hohe Aufwendungen für eine Neukonzeption/-entwicklung</w:t>
      </w:r>
      <w:r w:rsidRPr="00CB7739">
        <w:rPr>
          <w:sz w:val="21"/>
          <w:szCs w:val="21"/>
          <w:lang w:val="de-DE"/>
        </w:rPr>
        <w:t xml:space="preserve">; alle Verteilnetzbetreiber, Stadtwerke und Versorger sollten zur Nutzung dieses Portals verpflichtet werden. Datenschutz- und Cybersicherheitsanforderungen (DSGVO, KRITIS-Dachgesetz) werden über ISO- und TÜV-zertifizierte Rechenzentren erfüllt. </w:t>
      </w:r>
      <w:r w:rsidR="009E4D8D">
        <w:rPr>
          <w:sz w:val="21"/>
          <w:szCs w:val="21"/>
          <w:lang w:val="de-DE"/>
        </w:rPr>
        <w:t>Auskunft</w:t>
      </w:r>
      <w:r w:rsidR="00A40690">
        <w:rPr>
          <w:sz w:val="21"/>
          <w:szCs w:val="21"/>
          <w:lang w:val="de-DE"/>
        </w:rPr>
        <w:t>s</w:t>
      </w:r>
      <w:r w:rsidR="009E4D8D">
        <w:rPr>
          <w:sz w:val="21"/>
          <w:szCs w:val="21"/>
          <w:lang w:val="de-DE"/>
        </w:rPr>
        <w:t>suchende</w:t>
      </w:r>
      <w:r w:rsidR="00A40690">
        <w:rPr>
          <w:sz w:val="21"/>
          <w:szCs w:val="21"/>
          <w:lang w:val="de-DE"/>
        </w:rPr>
        <w:t xml:space="preserve"> sind solche Unternehmen oder registrierter Personen</w:t>
      </w:r>
      <w:r w:rsidR="009E4D8D" w:rsidRPr="009E4D8D">
        <w:rPr>
          <w:sz w:val="21"/>
          <w:szCs w:val="21"/>
          <w:lang w:val="de-DE"/>
        </w:rPr>
        <w:t xml:space="preserve"> mit berechtigtem Interesse</w:t>
      </w:r>
      <w:r w:rsidR="00A40690">
        <w:rPr>
          <w:sz w:val="21"/>
          <w:szCs w:val="21"/>
          <w:lang w:val="de-DE"/>
        </w:rPr>
        <w:t xml:space="preserve"> – </w:t>
      </w:r>
      <w:r w:rsidR="00DA1CB8">
        <w:rPr>
          <w:sz w:val="21"/>
          <w:szCs w:val="21"/>
          <w:lang w:val="de-DE"/>
        </w:rPr>
        <w:t>das BIL Portal könnte für</w:t>
      </w:r>
      <w:r w:rsidR="00A40690">
        <w:rPr>
          <w:sz w:val="21"/>
          <w:szCs w:val="21"/>
          <w:lang w:val="de-DE"/>
        </w:rPr>
        <w:t xml:space="preserve"> Abfrage</w:t>
      </w:r>
      <w:r w:rsidR="00DA1CB8">
        <w:rPr>
          <w:sz w:val="21"/>
          <w:szCs w:val="21"/>
          <w:lang w:val="de-DE"/>
        </w:rPr>
        <w:t>n</w:t>
      </w:r>
      <w:r w:rsidR="00A40690">
        <w:rPr>
          <w:sz w:val="21"/>
          <w:szCs w:val="21"/>
          <w:lang w:val="de-DE"/>
        </w:rPr>
        <w:t xml:space="preserve"> </w:t>
      </w:r>
      <w:r w:rsidR="00EA774D">
        <w:rPr>
          <w:sz w:val="21"/>
          <w:szCs w:val="21"/>
          <w:lang w:val="de-DE"/>
        </w:rPr>
        <w:t>ausschließlich</w:t>
      </w:r>
      <w:r w:rsidR="00A40690">
        <w:rPr>
          <w:sz w:val="21"/>
          <w:szCs w:val="21"/>
          <w:lang w:val="de-DE"/>
        </w:rPr>
        <w:t xml:space="preserve"> mittels „</w:t>
      </w:r>
      <w:r w:rsidR="00EA774D">
        <w:rPr>
          <w:sz w:val="21"/>
          <w:szCs w:val="21"/>
          <w:lang w:val="de-DE"/>
        </w:rPr>
        <w:t xml:space="preserve">ELSTER – Mein </w:t>
      </w:r>
      <w:r w:rsidR="00A40690">
        <w:rPr>
          <w:sz w:val="21"/>
          <w:szCs w:val="21"/>
          <w:lang w:val="de-DE"/>
        </w:rPr>
        <w:t>Unternehmenskonto“</w:t>
      </w:r>
      <w:r w:rsidR="00EA774D">
        <w:rPr>
          <w:sz w:val="21"/>
          <w:szCs w:val="21"/>
          <w:lang w:val="de-DE"/>
        </w:rPr>
        <w:t xml:space="preserve"> Account </w:t>
      </w:r>
      <w:r w:rsidR="00DA1CB8">
        <w:rPr>
          <w:sz w:val="21"/>
          <w:szCs w:val="21"/>
          <w:lang w:val="de-DE"/>
        </w:rPr>
        <w:t xml:space="preserve">erweitert </w:t>
      </w:r>
      <w:r w:rsidR="00276F34">
        <w:rPr>
          <w:sz w:val="21"/>
          <w:szCs w:val="21"/>
          <w:lang w:val="de-DE"/>
        </w:rPr>
        <w:t>werden,</w:t>
      </w:r>
      <w:r w:rsidR="00DA1CB8">
        <w:rPr>
          <w:sz w:val="21"/>
          <w:szCs w:val="21"/>
          <w:lang w:val="de-DE"/>
        </w:rPr>
        <w:t xml:space="preserve"> welcher bereits heute für behördliche, offizielle Anfragen verwendet wird</w:t>
      </w:r>
      <w:r w:rsidR="00A40690">
        <w:rPr>
          <w:sz w:val="21"/>
          <w:szCs w:val="21"/>
          <w:lang w:val="de-DE"/>
        </w:rPr>
        <w:t xml:space="preserve">. </w:t>
      </w:r>
    </w:p>
    <w:p w14:paraId="38B4E231" w14:textId="7698E8C8" w:rsidR="00AE271C" w:rsidRDefault="00AE271C" w:rsidP="00CB7739">
      <w:pPr>
        <w:spacing w:line="252" w:lineRule="auto"/>
        <w:jc w:val="both"/>
        <w:rPr>
          <w:sz w:val="21"/>
          <w:szCs w:val="21"/>
          <w:lang w:val="de-DE"/>
        </w:rPr>
      </w:pPr>
      <w:r w:rsidRPr="00AE271C">
        <w:rPr>
          <w:b/>
          <w:bCs/>
          <w:sz w:val="21"/>
          <w:szCs w:val="21"/>
          <w:lang w:val="de-DE"/>
        </w:rPr>
        <w:t>Änderungsvorschlag § 14e EnWG (Ergänzung Absatz 3 neu)</w:t>
      </w:r>
      <w:r w:rsidRPr="00AE271C">
        <w:rPr>
          <w:sz w:val="21"/>
          <w:szCs w:val="21"/>
          <w:lang w:val="de-DE"/>
        </w:rPr>
        <w:t>: „</w:t>
      </w:r>
      <w:r w:rsidRPr="0024436C">
        <w:rPr>
          <w:i/>
          <w:iCs/>
          <w:sz w:val="21"/>
          <w:szCs w:val="21"/>
          <w:lang w:val="de-DE"/>
        </w:rPr>
        <w:t xml:space="preserve">Die Betreiber von Elektrizitätsverteilernetzen sind verpflichtet, bis spätestens 1. Januar 2028 sämtliche Bestands- und Planunterlagen ihrer Niederspannungsnetze in standardisiertem, maschinenlesbarem Format in das BIL-Portal </w:t>
      </w:r>
      <w:r w:rsidR="0024436C">
        <w:rPr>
          <w:i/>
          <w:iCs/>
          <w:sz w:val="21"/>
          <w:szCs w:val="21"/>
          <w:lang w:val="de-DE"/>
        </w:rPr>
        <w:t>als</w:t>
      </w:r>
      <w:r w:rsidRPr="0024436C">
        <w:rPr>
          <w:i/>
          <w:iCs/>
          <w:sz w:val="21"/>
          <w:szCs w:val="21"/>
          <w:lang w:val="de-DE"/>
        </w:rPr>
        <w:t xml:space="preserve"> bundesweit</w:t>
      </w:r>
      <w:r w:rsidR="0024436C">
        <w:rPr>
          <w:i/>
          <w:iCs/>
          <w:sz w:val="21"/>
          <w:szCs w:val="21"/>
          <w:lang w:val="de-DE"/>
        </w:rPr>
        <w:t xml:space="preserve"> einheitliche</w:t>
      </w:r>
      <w:r w:rsidRPr="0024436C">
        <w:rPr>
          <w:i/>
          <w:iCs/>
          <w:sz w:val="21"/>
          <w:szCs w:val="21"/>
          <w:lang w:val="de-DE"/>
        </w:rPr>
        <w:t xml:space="preserve"> Plattform einzuspeisen und für verifizierte Marktakteure rollenbasiert abrufbar zu machen. Die Bundesnetzagentur überwacht die Einhaltung.</w:t>
      </w:r>
      <w:r w:rsidRPr="00AE271C">
        <w:rPr>
          <w:sz w:val="21"/>
          <w:szCs w:val="21"/>
          <w:lang w:val="de-DE"/>
        </w:rPr>
        <w:t>"</w:t>
      </w:r>
    </w:p>
    <w:p w14:paraId="022DBA08" w14:textId="37397D10" w:rsidR="00C91283" w:rsidRDefault="00CB7739" w:rsidP="00CB7739">
      <w:pPr>
        <w:spacing w:line="252" w:lineRule="auto"/>
        <w:jc w:val="both"/>
        <w:rPr>
          <w:sz w:val="21"/>
          <w:szCs w:val="21"/>
          <w:lang w:val="de-DE"/>
        </w:rPr>
      </w:pPr>
      <w:r w:rsidRPr="00AE271C">
        <w:rPr>
          <w:b/>
          <w:bCs/>
          <w:sz w:val="21"/>
          <w:szCs w:val="21"/>
          <w:lang w:val="de-DE"/>
        </w:rPr>
        <w:t>Wirkung:</w:t>
      </w:r>
      <w:r w:rsidRPr="00CB7739">
        <w:rPr>
          <w:sz w:val="21"/>
          <w:szCs w:val="21"/>
          <w:lang w:val="de-DE"/>
        </w:rPr>
        <w:t xml:space="preserve"> drastische Beschleunigung von Standort- und Investitionsentscheidungen, spürbare Entlastung der VNBs.</w:t>
      </w:r>
    </w:p>
    <w:p w14:paraId="335381AE" w14:textId="7518ACEC" w:rsidR="00B73B22" w:rsidRDefault="00B73B22" w:rsidP="00CB7739">
      <w:pPr>
        <w:spacing w:line="252" w:lineRule="auto"/>
        <w:jc w:val="both"/>
        <w:rPr>
          <w:lang w:val="de-DE"/>
        </w:rPr>
      </w:pPr>
    </w:p>
    <w:p w14:paraId="515A223C" w14:textId="1AD45CE8" w:rsidR="00D2136E" w:rsidRPr="00AB414B" w:rsidRDefault="00D2136E" w:rsidP="00D2136E">
      <w:pPr>
        <w:pStyle w:val="Heading2"/>
        <w:shd w:val="clear" w:color="auto" w:fill="EAEAEA"/>
        <w:spacing w:line="252" w:lineRule="auto"/>
        <w:jc w:val="both"/>
        <w:rPr>
          <w:rStyle w:val="Strong"/>
          <w:rFonts w:asciiTheme="minorHAnsi" w:hAnsiTheme="minorHAnsi" w:cs="Segoe UI"/>
          <w:color w:val="000000"/>
          <w:sz w:val="28"/>
          <w:szCs w:val="28"/>
          <w:lang w:val="de-DE"/>
        </w:rPr>
      </w:pPr>
      <w:r w:rsidRPr="00AB414B">
        <w:rPr>
          <w:rStyle w:val="Strong"/>
          <w:rFonts w:asciiTheme="minorHAnsi" w:hAnsiTheme="minorHAnsi" w:cs="Segoe UI"/>
          <w:b w:val="0"/>
          <w:bCs w:val="0"/>
          <w:color w:val="000000"/>
          <w:sz w:val="28"/>
          <w:szCs w:val="28"/>
          <w:lang w:val="de-DE"/>
        </w:rPr>
        <w:lastRenderedPageBreak/>
        <w:t xml:space="preserve">Maßnahme </w:t>
      </w:r>
      <w:r>
        <w:rPr>
          <w:rStyle w:val="Strong"/>
          <w:rFonts w:asciiTheme="minorHAnsi" w:hAnsiTheme="minorHAnsi" w:cs="Segoe UI"/>
          <w:b w:val="0"/>
          <w:bCs w:val="0"/>
          <w:color w:val="000000"/>
          <w:sz w:val="28"/>
          <w:szCs w:val="28"/>
          <w:lang w:val="de-DE"/>
        </w:rPr>
        <w:t>2</w:t>
      </w:r>
      <w:r w:rsidRPr="00AB414B">
        <w:rPr>
          <w:rStyle w:val="Strong"/>
          <w:rFonts w:asciiTheme="minorHAnsi" w:hAnsiTheme="minorHAnsi" w:cs="Segoe UI"/>
          <w:b w:val="0"/>
          <w:bCs w:val="0"/>
          <w:color w:val="000000"/>
          <w:sz w:val="28"/>
          <w:szCs w:val="28"/>
          <w:lang w:val="de-DE"/>
        </w:rPr>
        <w:t>:</w:t>
      </w:r>
      <w:r w:rsidRPr="00AB414B">
        <w:rPr>
          <w:rStyle w:val="Strong"/>
          <w:rFonts w:asciiTheme="minorHAnsi" w:hAnsiTheme="minorHAnsi" w:cs="Segoe UI"/>
          <w:color w:val="000000"/>
          <w:sz w:val="28"/>
          <w:szCs w:val="28"/>
          <w:lang w:val="de-DE"/>
        </w:rPr>
        <w:t xml:space="preserve"> </w:t>
      </w:r>
      <w:r w:rsidR="00E25BF4" w:rsidRPr="00E25BF4">
        <w:rPr>
          <w:rStyle w:val="Strong"/>
          <w:rFonts w:asciiTheme="minorHAnsi" w:hAnsiTheme="minorHAnsi" w:cs="Segoe UI"/>
          <w:color w:val="000000"/>
          <w:sz w:val="28"/>
          <w:szCs w:val="28"/>
          <w:lang w:val="de-DE"/>
        </w:rPr>
        <w:t>Echtzeit-Auskunft zu Netzanschlusskapazitäten in der Niederspannung</w:t>
      </w:r>
    </w:p>
    <w:p w14:paraId="6FA7E1FA" w14:textId="22937E15" w:rsidR="00D2136E" w:rsidRPr="005861DE" w:rsidRDefault="00A71485" w:rsidP="00CB7739">
      <w:pPr>
        <w:spacing w:line="252" w:lineRule="auto"/>
        <w:jc w:val="both"/>
        <w:rPr>
          <w:sz w:val="21"/>
          <w:szCs w:val="21"/>
          <w:lang w:val="de-DE"/>
        </w:rPr>
      </w:pPr>
      <w:r w:rsidRPr="00A71485">
        <w:rPr>
          <w:sz w:val="21"/>
          <w:szCs w:val="21"/>
          <w:lang w:val="de-DE"/>
        </w:rPr>
        <w:t>§ 17c EnWG-</w:t>
      </w:r>
      <w:proofErr w:type="spellStart"/>
      <w:r w:rsidRPr="00A71485">
        <w:rPr>
          <w:sz w:val="21"/>
          <w:szCs w:val="21"/>
          <w:lang w:val="de-DE"/>
        </w:rPr>
        <w:t>RefE</w:t>
      </w:r>
      <w:proofErr w:type="spellEnd"/>
      <w:r w:rsidRPr="00A71485">
        <w:rPr>
          <w:sz w:val="21"/>
          <w:szCs w:val="21"/>
          <w:lang w:val="de-DE"/>
        </w:rPr>
        <w:t xml:space="preserve"> verpflichtet die Netzbetreiber zur Veröffentlichung verfügbarer Netzanschlusskapazitäten </w:t>
      </w:r>
      <w:r w:rsidRPr="005861DE">
        <w:rPr>
          <w:sz w:val="21"/>
          <w:szCs w:val="21"/>
          <w:lang w:val="de-DE"/>
        </w:rPr>
        <w:t xml:space="preserve">ausschließlich auf der Umspannebene </w:t>
      </w:r>
      <w:proofErr w:type="spellStart"/>
      <w:r w:rsidRPr="005861DE">
        <w:rPr>
          <w:sz w:val="21"/>
          <w:szCs w:val="21"/>
          <w:lang w:val="de-DE"/>
        </w:rPr>
        <w:t>HöS</w:t>
      </w:r>
      <w:proofErr w:type="spellEnd"/>
      <w:r w:rsidRPr="005861DE">
        <w:rPr>
          <w:sz w:val="21"/>
          <w:szCs w:val="21"/>
          <w:lang w:val="de-DE"/>
        </w:rPr>
        <w:t>/HS und HS/MS sowie zu unverbindlichen Netzanschlussauskünften erst ab 135 kW Nennleistung</w:t>
      </w:r>
      <w:r w:rsidR="00036796" w:rsidRPr="005861DE">
        <w:rPr>
          <w:sz w:val="21"/>
          <w:szCs w:val="21"/>
          <w:lang w:val="de-DE"/>
        </w:rPr>
        <w:t>.</w:t>
      </w:r>
    </w:p>
    <w:p w14:paraId="13CAB5FB" w14:textId="04D1B158" w:rsidR="005861DE" w:rsidRPr="005861DE" w:rsidRDefault="005861DE" w:rsidP="005861DE">
      <w:pPr>
        <w:spacing w:line="252" w:lineRule="auto"/>
        <w:jc w:val="both"/>
        <w:rPr>
          <w:sz w:val="21"/>
          <w:szCs w:val="21"/>
          <w:lang w:val="de-DE"/>
        </w:rPr>
      </w:pPr>
      <w:r w:rsidRPr="005861DE">
        <w:rPr>
          <w:sz w:val="21"/>
          <w:szCs w:val="21"/>
          <w:lang w:val="de-DE"/>
        </w:rPr>
        <w:t xml:space="preserve">Damit bleibt die Niederspannungsebene – das Rückgrat des LIS-Hochlaufs – vollständig ausgeklammert. Die Begründung des BMWE (es bestünde unterhalb von 135 kW „kein vergleichbares Informationsbedürfnis", da diese Anlagen „eine geringe Flexibilität hinsichtlich ihres Standorts" aufwiesen) trifft auf öffentliche und halböffentliche Ladeinfrastruktur </w:t>
      </w:r>
      <w:r w:rsidRPr="002D79C3">
        <w:rPr>
          <w:b/>
          <w:bCs/>
          <w:sz w:val="21"/>
          <w:szCs w:val="21"/>
          <w:lang w:val="de-DE"/>
        </w:rPr>
        <w:t>erkennbar nicht zu</w:t>
      </w:r>
      <w:r w:rsidR="002D79C3">
        <w:rPr>
          <w:b/>
          <w:bCs/>
          <w:sz w:val="21"/>
          <w:szCs w:val="21"/>
          <w:lang w:val="de-DE"/>
        </w:rPr>
        <w:t xml:space="preserve"> </w:t>
      </w:r>
      <w:r w:rsidR="002D79C3">
        <w:rPr>
          <w:sz w:val="21"/>
          <w:szCs w:val="21"/>
          <w:lang w:val="de-DE"/>
        </w:rPr>
        <w:t>und ist falsch dargestellt</w:t>
      </w:r>
      <w:r w:rsidRPr="005861DE">
        <w:rPr>
          <w:sz w:val="21"/>
          <w:szCs w:val="21"/>
          <w:lang w:val="de-DE"/>
        </w:rPr>
        <w:t>: AC-Ladepunkte (11/22 kW) und DC-</w:t>
      </w:r>
      <w:r w:rsidR="00BC6163">
        <w:rPr>
          <w:sz w:val="21"/>
          <w:szCs w:val="21"/>
          <w:lang w:val="de-DE"/>
        </w:rPr>
        <w:t>Ladepunkte</w:t>
      </w:r>
      <w:r w:rsidRPr="005861DE">
        <w:rPr>
          <w:sz w:val="21"/>
          <w:szCs w:val="21"/>
          <w:lang w:val="de-DE"/>
        </w:rPr>
        <w:t xml:space="preserve"> </w:t>
      </w:r>
      <w:r w:rsidR="002D79C3">
        <w:rPr>
          <w:sz w:val="21"/>
          <w:szCs w:val="21"/>
          <w:lang w:val="de-DE"/>
        </w:rPr>
        <w:t xml:space="preserve">(50kw – 150kW) </w:t>
      </w:r>
      <w:r w:rsidRPr="005861DE">
        <w:rPr>
          <w:sz w:val="21"/>
          <w:szCs w:val="21"/>
          <w:lang w:val="de-DE"/>
        </w:rPr>
        <w:t>werden gerade nicht standortgebunden hinter bestehenden Hausanschlüssen errichtet, sondern an netztechnisch optimalen Punkten geplant</w:t>
      </w:r>
      <w:r w:rsidR="002D79C3">
        <w:rPr>
          <w:sz w:val="21"/>
          <w:szCs w:val="21"/>
          <w:lang w:val="de-DE"/>
        </w:rPr>
        <w:t xml:space="preserve"> und i.d.R. mit neuen Hausanschlüssen versehen</w:t>
      </w:r>
      <w:r w:rsidRPr="005861DE">
        <w:rPr>
          <w:sz w:val="21"/>
          <w:szCs w:val="21"/>
          <w:lang w:val="de-DE"/>
        </w:rPr>
        <w:t>. Eine standortspezifische Kapazitätsauskunft ist hier zwingend.</w:t>
      </w:r>
    </w:p>
    <w:p w14:paraId="62B42331" w14:textId="7317F9F5" w:rsidR="005861DE" w:rsidRPr="005861DE" w:rsidRDefault="005861DE" w:rsidP="005861DE">
      <w:pPr>
        <w:spacing w:line="252" w:lineRule="auto"/>
        <w:jc w:val="both"/>
        <w:rPr>
          <w:sz w:val="21"/>
          <w:szCs w:val="21"/>
          <w:lang w:val="de-DE"/>
        </w:rPr>
      </w:pPr>
      <w:r w:rsidRPr="005861DE">
        <w:rPr>
          <w:b/>
          <w:bCs/>
          <w:sz w:val="21"/>
          <w:szCs w:val="21"/>
          <w:lang w:val="de-DE"/>
        </w:rPr>
        <w:t xml:space="preserve">Änderungsvorschlag </w:t>
      </w:r>
      <w:r w:rsidR="005F2045">
        <w:rPr>
          <w:b/>
          <w:bCs/>
          <w:sz w:val="21"/>
          <w:szCs w:val="21"/>
          <w:lang w:val="de-DE"/>
        </w:rPr>
        <w:t>Refer</w:t>
      </w:r>
      <w:r w:rsidR="00A408A8">
        <w:rPr>
          <w:b/>
          <w:bCs/>
          <w:sz w:val="21"/>
          <w:szCs w:val="21"/>
          <w:lang w:val="de-DE"/>
        </w:rPr>
        <w:t>e</w:t>
      </w:r>
      <w:r w:rsidR="005F2045">
        <w:rPr>
          <w:b/>
          <w:bCs/>
          <w:sz w:val="21"/>
          <w:szCs w:val="21"/>
          <w:lang w:val="de-DE"/>
        </w:rPr>
        <w:t>ntenentwurf</w:t>
      </w:r>
      <w:r w:rsidR="005F2045" w:rsidRPr="005861DE">
        <w:rPr>
          <w:b/>
          <w:bCs/>
          <w:sz w:val="21"/>
          <w:szCs w:val="21"/>
          <w:lang w:val="de-DE"/>
        </w:rPr>
        <w:t xml:space="preserve"> </w:t>
      </w:r>
      <w:r w:rsidRPr="005861DE">
        <w:rPr>
          <w:b/>
          <w:bCs/>
          <w:sz w:val="21"/>
          <w:szCs w:val="21"/>
          <w:lang w:val="de-DE"/>
        </w:rPr>
        <w:t>§ 17c Absatz 1 Satz 1 EnWG:</w:t>
      </w:r>
      <w:r w:rsidRPr="005861DE">
        <w:rPr>
          <w:sz w:val="21"/>
          <w:szCs w:val="21"/>
          <w:lang w:val="de-DE"/>
        </w:rPr>
        <w:t xml:space="preserve"> </w:t>
      </w:r>
      <w:r w:rsidRPr="005F2045">
        <w:rPr>
          <w:i/>
          <w:iCs/>
          <w:sz w:val="21"/>
          <w:szCs w:val="21"/>
          <w:lang w:val="de-DE"/>
        </w:rPr>
        <w:t>Erweiterung um „sowie auf der Umspannebene von Mittelspannung zu Niederspannung und auf Niederspannungsebene".</w:t>
      </w:r>
    </w:p>
    <w:p w14:paraId="33B6F3CE" w14:textId="6A8107E0" w:rsidR="005861DE" w:rsidRPr="005F2045" w:rsidRDefault="005861DE" w:rsidP="005861DE">
      <w:pPr>
        <w:spacing w:line="252" w:lineRule="auto"/>
        <w:jc w:val="both"/>
        <w:rPr>
          <w:i/>
          <w:iCs/>
          <w:sz w:val="21"/>
          <w:szCs w:val="21"/>
          <w:lang w:val="de-DE"/>
        </w:rPr>
      </w:pPr>
      <w:r w:rsidRPr="005861DE">
        <w:rPr>
          <w:b/>
          <w:bCs/>
          <w:sz w:val="21"/>
          <w:szCs w:val="21"/>
          <w:lang w:val="de-DE"/>
        </w:rPr>
        <w:t>Änderungsvorschlag</w:t>
      </w:r>
      <w:r w:rsidR="005F2045">
        <w:rPr>
          <w:b/>
          <w:bCs/>
          <w:sz w:val="21"/>
          <w:szCs w:val="21"/>
          <w:lang w:val="de-DE"/>
        </w:rPr>
        <w:t xml:space="preserve"> </w:t>
      </w:r>
      <w:r w:rsidR="00A408A8">
        <w:rPr>
          <w:b/>
          <w:bCs/>
          <w:sz w:val="21"/>
          <w:szCs w:val="21"/>
          <w:lang w:val="de-DE"/>
        </w:rPr>
        <w:t>Referentenentwurf</w:t>
      </w:r>
      <w:r w:rsidRPr="005861DE">
        <w:rPr>
          <w:b/>
          <w:bCs/>
          <w:sz w:val="21"/>
          <w:szCs w:val="21"/>
          <w:lang w:val="de-DE"/>
        </w:rPr>
        <w:t xml:space="preserve"> § 17c Absatz 2 Satz 1 EnWG:</w:t>
      </w:r>
      <w:r w:rsidRPr="005861DE">
        <w:rPr>
          <w:sz w:val="21"/>
          <w:szCs w:val="21"/>
          <w:lang w:val="de-DE"/>
        </w:rPr>
        <w:t xml:space="preserve"> </w:t>
      </w:r>
      <w:r w:rsidRPr="005F2045">
        <w:rPr>
          <w:i/>
          <w:iCs/>
          <w:sz w:val="21"/>
          <w:szCs w:val="21"/>
          <w:lang w:val="de-DE"/>
        </w:rPr>
        <w:t xml:space="preserve">Absenkung der Schwelle von „mindestens 135 Kilowatt" auf „mindestens 11 Kilowatt", sofern es sich um Ladeinfrastruktur im Sinne der Ladesäulenverordnung handelt; entsprechend Erweiterung des Anwendungsbereichs auf die Niederspannungsebene. Vorbild: </w:t>
      </w:r>
      <w:proofErr w:type="gramStart"/>
      <w:r w:rsidRPr="005F2045">
        <w:rPr>
          <w:i/>
          <w:iCs/>
          <w:sz w:val="21"/>
          <w:szCs w:val="21"/>
          <w:lang w:val="de-DE"/>
        </w:rPr>
        <w:t>ENA Connection</w:t>
      </w:r>
      <w:proofErr w:type="gramEnd"/>
      <w:r w:rsidRPr="005F2045">
        <w:rPr>
          <w:i/>
          <w:iCs/>
          <w:sz w:val="21"/>
          <w:szCs w:val="21"/>
          <w:lang w:val="de-DE"/>
        </w:rPr>
        <w:t xml:space="preserve"> Data Hub (Großbritannien).</w:t>
      </w:r>
    </w:p>
    <w:p w14:paraId="2DBA60DD" w14:textId="0CB3F9FC" w:rsidR="005861DE" w:rsidRPr="005861DE" w:rsidRDefault="005861DE" w:rsidP="005861DE">
      <w:pPr>
        <w:spacing w:line="252" w:lineRule="auto"/>
        <w:jc w:val="both"/>
        <w:rPr>
          <w:sz w:val="21"/>
          <w:szCs w:val="21"/>
          <w:lang w:val="de-DE"/>
        </w:rPr>
      </w:pPr>
      <w:r w:rsidRPr="005861DE">
        <w:rPr>
          <w:sz w:val="21"/>
          <w:szCs w:val="21"/>
          <w:lang w:val="de-DE"/>
        </w:rPr>
        <w:t>Wirkung: manuelle Einzelanfragen entfallen, Behörden und Netzbetreiber werden entlastet, Investitionsentscheidungen werden um Monate beschleunigt.</w:t>
      </w:r>
    </w:p>
    <w:p w14:paraId="0EE0116A" w14:textId="77777777" w:rsidR="00BA187D" w:rsidRDefault="00BA187D" w:rsidP="003C0CE4">
      <w:pPr>
        <w:spacing w:line="252" w:lineRule="auto"/>
        <w:rPr>
          <w:sz w:val="21"/>
          <w:szCs w:val="21"/>
          <w:lang w:val="de-DE"/>
        </w:rPr>
      </w:pPr>
    </w:p>
    <w:p w14:paraId="4508C72E" w14:textId="42A78591" w:rsidR="00BA187D" w:rsidRPr="00AB414B" w:rsidRDefault="00BA187D" w:rsidP="00BA187D">
      <w:pPr>
        <w:pStyle w:val="Heading2"/>
        <w:shd w:val="clear" w:color="auto" w:fill="EAEAEA"/>
        <w:spacing w:line="252" w:lineRule="auto"/>
        <w:jc w:val="both"/>
        <w:rPr>
          <w:rStyle w:val="Strong"/>
          <w:rFonts w:asciiTheme="minorHAnsi" w:hAnsiTheme="minorHAnsi" w:cs="Segoe UI"/>
          <w:color w:val="000000"/>
          <w:sz w:val="28"/>
          <w:szCs w:val="28"/>
          <w:lang w:val="de-DE"/>
        </w:rPr>
      </w:pPr>
      <w:r w:rsidRPr="00AB414B">
        <w:rPr>
          <w:rStyle w:val="Strong"/>
          <w:rFonts w:asciiTheme="minorHAnsi" w:hAnsiTheme="minorHAnsi" w:cs="Segoe UI"/>
          <w:b w:val="0"/>
          <w:bCs w:val="0"/>
          <w:color w:val="000000"/>
          <w:sz w:val="28"/>
          <w:szCs w:val="28"/>
          <w:lang w:val="de-DE"/>
        </w:rPr>
        <w:t xml:space="preserve">Maßnahme </w:t>
      </w:r>
      <w:r>
        <w:rPr>
          <w:rStyle w:val="Strong"/>
          <w:rFonts w:asciiTheme="minorHAnsi" w:hAnsiTheme="minorHAnsi" w:cs="Segoe UI"/>
          <w:b w:val="0"/>
          <w:bCs w:val="0"/>
          <w:color w:val="000000"/>
          <w:sz w:val="28"/>
          <w:szCs w:val="28"/>
          <w:lang w:val="de-DE"/>
        </w:rPr>
        <w:t>3</w:t>
      </w:r>
      <w:r w:rsidRPr="00AB414B">
        <w:rPr>
          <w:rStyle w:val="Strong"/>
          <w:rFonts w:asciiTheme="minorHAnsi" w:hAnsiTheme="minorHAnsi" w:cs="Segoe UI"/>
          <w:b w:val="0"/>
          <w:bCs w:val="0"/>
          <w:color w:val="000000"/>
          <w:sz w:val="28"/>
          <w:szCs w:val="28"/>
          <w:lang w:val="de-DE"/>
        </w:rPr>
        <w:t>:</w:t>
      </w:r>
      <w:r w:rsidRPr="00AB414B">
        <w:rPr>
          <w:rStyle w:val="Strong"/>
          <w:rFonts w:asciiTheme="minorHAnsi" w:hAnsiTheme="minorHAnsi" w:cs="Segoe UI"/>
          <w:color w:val="000000"/>
          <w:sz w:val="28"/>
          <w:szCs w:val="28"/>
          <w:lang w:val="de-DE"/>
        </w:rPr>
        <w:t xml:space="preserve"> </w:t>
      </w:r>
      <w:r w:rsidR="007933AB" w:rsidRPr="007933AB">
        <w:rPr>
          <w:rStyle w:val="Strong"/>
          <w:rFonts w:asciiTheme="minorHAnsi" w:hAnsiTheme="minorHAnsi" w:cs="Segoe UI"/>
          <w:color w:val="000000"/>
          <w:sz w:val="28"/>
          <w:szCs w:val="28"/>
          <w:lang w:val="de-DE"/>
        </w:rPr>
        <w:t>Genehmigungsfiktion für Netzanschlussbegehren von Ladeinfrastruktur bis 55 kW</w:t>
      </w:r>
    </w:p>
    <w:p w14:paraId="1B69090F" w14:textId="07EA73B3" w:rsidR="00875F36" w:rsidRPr="00875F36" w:rsidRDefault="00875F36" w:rsidP="00875F36">
      <w:pPr>
        <w:spacing w:line="252" w:lineRule="auto"/>
        <w:jc w:val="both"/>
        <w:rPr>
          <w:sz w:val="21"/>
          <w:szCs w:val="21"/>
          <w:lang w:val="de-DE"/>
        </w:rPr>
      </w:pPr>
      <w:r w:rsidRPr="00875F36">
        <w:rPr>
          <w:sz w:val="21"/>
          <w:szCs w:val="21"/>
          <w:lang w:val="de-DE"/>
        </w:rPr>
        <w:t>Der Referentenentwurf führt mit § 17d EnWG-</w:t>
      </w:r>
      <w:proofErr w:type="spellStart"/>
      <w:r w:rsidRPr="00875F36">
        <w:rPr>
          <w:sz w:val="21"/>
          <w:szCs w:val="21"/>
          <w:lang w:val="de-DE"/>
        </w:rPr>
        <w:t>RefE</w:t>
      </w:r>
      <w:proofErr w:type="spellEnd"/>
      <w:r w:rsidRPr="00875F36">
        <w:rPr>
          <w:sz w:val="21"/>
          <w:szCs w:val="21"/>
          <w:lang w:val="de-DE"/>
        </w:rPr>
        <w:t xml:space="preserve"> eine dreimonatige Informationspflicht ein, schafft aber keine harte Fristbindung mit Rechtsfolge. Für den Massenhochlauf von AC-Ladeinfrastruktur in Quartieren, an Arbeitsstätten und im halböffentlichen Raum ist eine echte Genehmigungsfiktion zwingend. Innerhalb dieser Leistungsklasse sind Netzanschlüsse technisch in aller Regel unkritisch; das Risiko einer Netzgefährdung ist gering und durch standardisierte Schutzkonzepte (VDE-AR-N 4100, FNN-Hinweise) beherrschbar.</w:t>
      </w:r>
    </w:p>
    <w:p w14:paraId="278D579F" w14:textId="65449E22" w:rsidR="00875F36" w:rsidRDefault="00875F36" w:rsidP="00875F36">
      <w:pPr>
        <w:spacing w:line="252" w:lineRule="auto"/>
        <w:jc w:val="both"/>
        <w:rPr>
          <w:sz w:val="21"/>
          <w:szCs w:val="21"/>
          <w:lang w:val="de-DE"/>
        </w:rPr>
      </w:pPr>
      <w:r w:rsidRPr="00875F36">
        <w:rPr>
          <w:sz w:val="21"/>
          <w:szCs w:val="21"/>
          <w:lang w:val="de-DE"/>
        </w:rPr>
        <w:t>Änderungsvorschlag § 17d EnWG (neuer Absatz 5): „</w:t>
      </w:r>
      <w:r w:rsidRPr="00875F36">
        <w:rPr>
          <w:i/>
          <w:iCs/>
          <w:sz w:val="21"/>
          <w:szCs w:val="21"/>
          <w:lang w:val="de-DE"/>
        </w:rPr>
        <w:t xml:space="preserve">Für Netzanschlussbegehren von Ladeinfrastruktur an die Niederspannung </w:t>
      </w:r>
      <w:r w:rsidR="005C614E">
        <w:rPr>
          <w:i/>
          <w:iCs/>
          <w:sz w:val="21"/>
          <w:szCs w:val="21"/>
          <w:lang w:val="de-DE"/>
        </w:rPr>
        <w:t>mit e</w:t>
      </w:r>
      <w:r w:rsidRPr="00875F36">
        <w:rPr>
          <w:i/>
          <w:iCs/>
          <w:sz w:val="21"/>
          <w:szCs w:val="21"/>
          <w:lang w:val="de-DE"/>
        </w:rPr>
        <w:t xml:space="preserve">iner Anschlussleistung von </w:t>
      </w:r>
      <w:r w:rsidR="002E4373">
        <w:rPr>
          <w:i/>
          <w:iCs/>
          <w:sz w:val="21"/>
          <w:szCs w:val="21"/>
          <w:lang w:val="de-DE"/>
        </w:rPr>
        <w:t xml:space="preserve">bis zu </w:t>
      </w:r>
      <w:r w:rsidR="0085709B">
        <w:rPr>
          <w:i/>
          <w:iCs/>
          <w:sz w:val="21"/>
          <w:szCs w:val="21"/>
          <w:lang w:val="de-DE"/>
        </w:rPr>
        <w:t>50</w:t>
      </w:r>
      <w:r w:rsidRPr="00875F36">
        <w:rPr>
          <w:i/>
          <w:iCs/>
          <w:sz w:val="21"/>
          <w:szCs w:val="21"/>
          <w:lang w:val="de-DE"/>
        </w:rPr>
        <w:t xml:space="preserve"> Kilowatt</w:t>
      </w:r>
      <w:r w:rsidR="00C464C1">
        <w:rPr>
          <w:i/>
          <w:iCs/>
          <w:sz w:val="21"/>
          <w:szCs w:val="21"/>
          <w:lang w:val="de-DE"/>
        </w:rPr>
        <w:t xml:space="preserve"> (Normalladepunkte)</w:t>
      </w:r>
      <w:r w:rsidR="002E4373">
        <w:rPr>
          <w:i/>
          <w:iCs/>
          <w:sz w:val="21"/>
          <w:szCs w:val="21"/>
          <w:lang w:val="de-DE"/>
        </w:rPr>
        <w:t xml:space="preserve"> </w:t>
      </w:r>
      <w:r w:rsidR="002E4373" w:rsidRPr="00FA42FD">
        <w:rPr>
          <w:i/>
          <w:iCs/>
          <w:sz w:val="21"/>
          <w:szCs w:val="21"/>
          <w:lang w:val="de-DE"/>
        </w:rPr>
        <w:t>sowie bis zu 150kW (Low-DC und DC-Ladepunkte im Destination Charging Bereich)</w:t>
      </w:r>
      <w:r w:rsidRPr="00FA42FD">
        <w:rPr>
          <w:i/>
          <w:iCs/>
          <w:sz w:val="21"/>
          <w:szCs w:val="21"/>
          <w:lang w:val="de-DE"/>
        </w:rPr>
        <w:t xml:space="preserve"> gilt:</w:t>
      </w:r>
      <w:r w:rsidRPr="00875F36">
        <w:rPr>
          <w:i/>
          <w:iCs/>
          <w:sz w:val="21"/>
          <w:szCs w:val="21"/>
          <w:lang w:val="de-DE"/>
        </w:rPr>
        <w:t xml:space="preserve"> Erfolgt innerhalb von </w:t>
      </w:r>
      <w:r w:rsidR="00FA42FD">
        <w:rPr>
          <w:i/>
          <w:iCs/>
          <w:sz w:val="21"/>
          <w:szCs w:val="21"/>
          <w:lang w:val="de-DE"/>
        </w:rPr>
        <w:t>acht (</w:t>
      </w:r>
      <w:r w:rsidRPr="00875F36">
        <w:rPr>
          <w:i/>
          <w:iCs/>
          <w:sz w:val="21"/>
          <w:szCs w:val="21"/>
          <w:lang w:val="de-DE"/>
        </w:rPr>
        <w:t>8</w:t>
      </w:r>
      <w:r w:rsidR="00FA42FD">
        <w:rPr>
          <w:i/>
          <w:iCs/>
          <w:sz w:val="21"/>
          <w:szCs w:val="21"/>
          <w:lang w:val="de-DE"/>
        </w:rPr>
        <w:t>)</w:t>
      </w:r>
      <w:r w:rsidRPr="00875F36">
        <w:rPr>
          <w:i/>
          <w:iCs/>
          <w:sz w:val="21"/>
          <w:szCs w:val="21"/>
          <w:lang w:val="de-DE"/>
        </w:rPr>
        <w:t xml:space="preserve"> Wochen nach Eingang des vollständigen Begehrens keine schriftliche, technisch begründete Ablehnung des Betreibers des Elektrizitätsverteilernetzes, gilt der Netzanschluss als genehmigt (Genehmigungsfiktion). Die Bundesnetzagentur kann durch Festlegung weitere Konkretisierungen vornehmen</w:t>
      </w:r>
      <w:r w:rsidRPr="00875F36">
        <w:rPr>
          <w:sz w:val="21"/>
          <w:szCs w:val="21"/>
          <w:lang w:val="de-DE"/>
        </w:rPr>
        <w:t>."</w:t>
      </w:r>
    </w:p>
    <w:p w14:paraId="05F35722" w14:textId="696B1FE1" w:rsidR="00204D69" w:rsidRPr="00875F36" w:rsidRDefault="00204D69" w:rsidP="00875F36">
      <w:pPr>
        <w:spacing w:line="252" w:lineRule="auto"/>
        <w:jc w:val="both"/>
        <w:rPr>
          <w:sz w:val="21"/>
          <w:szCs w:val="21"/>
          <w:lang w:val="de-DE"/>
        </w:rPr>
      </w:pPr>
      <w:r w:rsidRPr="00204D69">
        <w:rPr>
          <w:sz w:val="21"/>
          <w:szCs w:val="21"/>
          <w:lang w:val="de-DE"/>
        </w:rPr>
        <w:lastRenderedPageBreak/>
        <w:t xml:space="preserve">Dass durch dieses Verfahren ein unkontrollierter Zubau </w:t>
      </w:r>
      <w:r w:rsidR="0085709B" w:rsidRPr="00204D69">
        <w:rPr>
          <w:sz w:val="21"/>
          <w:szCs w:val="21"/>
          <w:lang w:val="de-DE"/>
        </w:rPr>
        <w:t>erfolgen könnte,</w:t>
      </w:r>
      <w:r w:rsidRPr="00204D69">
        <w:rPr>
          <w:sz w:val="21"/>
          <w:szCs w:val="21"/>
          <w:lang w:val="de-DE"/>
        </w:rPr>
        <w:t xml:space="preserve"> wie dies von Verteilnetzbetreibern stets behauptet wird, ist im Kontext der Forderung gemäß Punkt 2 nicht nachvollziehbar. Die Möglichkeit einer deutschlandweiten Kapazitätsabfrage in Echtzeit schafft </w:t>
      </w:r>
      <w:proofErr w:type="gramStart"/>
      <w:r w:rsidRPr="00204D69">
        <w:rPr>
          <w:sz w:val="21"/>
          <w:szCs w:val="21"/>
          <w:lang w:val="de-DE"/>
        </w:rPr>
        <w:t>ja gerade</w:t>
      </w:r>
      <w:proofErr w:type="gramEnd"/>
      <w:r w:rsidRPr="00204D69">
        <w:rPr>
          <w:sz w:val="21"/>
          <w:szCs w:val="21"/>
          <w:lang w:val="de-DE"/>
        </w:rPr>
        <w:t xml:space="preserve"> erst die Voraussetzung dafür, dass nur dort Netzanschlussbegehren gestellt werden, wo freie Kapazitäten vorhanden sind.</w:t>
      </w:r>
    </w:p>
    <w:p w14:paraId="47E5B5FA" w14:textId="77777777" w:rsidR="00204D69" w:rsidRDefault="00875F36" w:rsidP="00875F36">
      <w:pPr>
        <w:spacing w:line="252" w:lineRule="auto"/>
        <w:jc w:val="both"/>
        <w:rPr>
          <w:sz w:val="21"/>
          <w:szCs w:val="21"/>
          <w:lang w:val="de-DE"/>
        </w:rPr>
      </w:pPr>
      <w:r w:rsidRPr="00204D69">
        <w:rPr>
          <w:b/>
          <w:bCs/>
          <w:sz w:val="21"/>
          <w:szCs w:val="21"/>
          <w:lang w:val="de-DE"/>
        </w:rPr>
        <w:t>Wirkung:</w:t>
      </w:r>
      <w:r w:rsidRPr="00875F36">
        <w:rPr>
          <w:sz w:val="21"/>
          <w:szCs w:val="21"/>
          <w:lang w:val="de-DE"/>
        </w:rPr>
        <w:t xml:space="preserve"> Investitionssicherheit, planbare Roll-out-Zyklen, Entfesselung des Massenhochlaufs.</w:t>
      </w:r>
    </w:p>
    <w:p w14:paraId="07C54387" w14:textId="77777777" w:rsidR="00204D69" w:rsidRDefault="00204D69" w:rsidP="00875F36">
      <w:pPr>
        <w:spacing w:line="252" w:lineRule="auto"/>
        <w:jc w:val="both"/>
        <w:rPr>
          <w:sz w:val="21"/>
          <w:szCs w:val="21"/>
          <w:lang w:val="de-DE"/>
        </w:rPr>
      </w:pPr>
    </w:p>
    <w:p w14:paraId="302DEE4A" w14:textId="07207008" w:rsidR="007C5DE3" w:rsidRPr="00AB414B" w:rsidRDefault="007C5DE3" w:rsidP="007C5DE3">
      <w:pPr>
        <w:pStyle w:val="Heading2"/>
        <w:shd w:val="clear" w:color="auto" w:fill="EAEAEA"/>
        <w:spacing w:line="252" w:lineRule="auto"/>
        <w:jc w:val="both"/>
        <w:rPr>
          <w:rStyle w:val="Strong"/>
          <w:rFonts w:asciiTheme="minorHAnsi" w:hAnsiTheme="minorHAnsi" w:cs="Segoe UI"/>
          <w:color w:val="000000"/>
          <w:sz w:val="28"/>
          <w:szCs w:val="28"/>
          <w:lang w:val="de-DE"/>
        </w:rPr>
      </w:pPr>
      <w:r w:rsidRPr="00AB414B">
        <w:rPr>
          <w:rStyle w:val="Strong"/>
          <w:rFonts w:asciiTheme="minorHAnsi" w:hAnsiTheme="minorHAnsi" w:cs="Segoe UI"/>
          <w:b w:val="0"/>
          <w:bCs w:val="0"/>
          <w:color w:val="000000"/>
          <w:sz w:val="28"/>
          <w:szCs w:val="28"/>
          <w:lang w:val="de-DE"/>
        </w:rPr>
        <w:t xml:space="preserve">Maßnahme </w:t>
      </w:r>
      <w:r>
        <w:rPr>
          <w:rStyle w:val="Strong"/>
          <w:rFonts w:asciiTheme="minorHAnsi" w:hAnsiTheme="minorHAnsi" w:cs="Segoe UI"/>
          <w:b w:val="0"/>
          <w:bCs w:val="0"/>
          <w:color w:val="000000"/>
          <w:sz w:val="28"/>
          <w:szCs w:val="28"/>
          <w:lang w:val="de-DE"/>
        </w:rPr>
        <w:t>4</w:t>
      </w:r>
      <w:r w:rsidRPr="00AB414B">
        <w:rPr>
          <w:rStyle w:val="Strong"/>
          <w:rFonts w:asciiTheme="minorHAnsi" w:hAnsiTheme="minorHAnsi" w:cs="Segoe UI"/>
          <w:b w:val="0"/>
          <w:bCs w:val="0"/>
          <w:color w:val="000000"/>
          <w:sz w:val="28"/>
          <w:szCs w:val="28"/>
          <w:lang w:val="de-DE"/>
        </w:rPr>
        <w:t>:</w:t>
      </w:r>
      <w:r w:rsidRPr="00AB414B">
        <w:rPr>
          <w:rStyle w:val="Strong"/>
          <w:rFonts w:asciiTheme="minorHAnsi" w:hAnsiTheme="minorHAnsi" w:cs="Segoe UI"/>
          <w:color w:val="000000"/>
          <w:sz w:val="28"/>
          <w:szCs w:val="28"/>
          <w:lang w:val="de-DE"/>
        </w:rPr>
        <w:t xml:space="preserve"> </w:t>
      </w:r>
      <w:r w:rsidR="000655B5" w:rsidRPr="000655B5">
        <w:rPr>
          <w:rStyle w:val="Strong"/>
          <w:rFonts w:asciiTheme="minorHAnsi" w:hAnsiTheme="minorHAnsi" w:cs="Segoe UI"/>
          <w:color w:val="000000"/>
          <w:sz w:val="28"/>
          <w:szCs w:val="28"/>
          <w:lang w:val="de-DE"/>
        </w:rPr>
        <w:t xml:space="preserve">Bundesweit einheitliche, konsequente Umsetzung der </w:t>
      </w:r>
      <w:r w:rsidR="000655B5">
        <w:rPr>
          <w:rStyle w:val="Strong"/>
          <w:rFonts w:asciiTheme="minorHAnsi" w:hAnsiTheme="minorHAnsi" w:cs="Segoe UI"/>
          <w:color w:val="000000"/>
          <w:sz w:val="28"/>
          <w:szCs w:val="28"/>
          <w:lang w:val="de-DE"/>
        </w:rPr>
        <w:br/>
      </w:r>
      <w:r w:rsidR="000655B5" w:rsidRPr="000655B5">
        <w:rPr>
          <w:rStyle w:val="Strong"/>
          <w:rFonts w:asciiTheme="minorHAnsi" w:hAnsiTheme="minorHAnsi" w:cs="Segoe UI"/>
          <w:color w:val="000000"/>
          <w:sz w:val="28"/>
          <w:szCs w:val="28"/>
          <w:lang w:val="de-DE"/>
        </w:rPr>
        <w:t>VDE-AR-N 4100</w:t>
      </w:r>
    </w:p>
    <w:p w14:paraId="0019B835" w14:textId="5980CA95" w:rsidR="00925FE6" w:rsidRDefault="00925FE6" w:rsidP="00925FE6">
      <w:pPr>
        <w:spacing w:line="252" w:lineRule="auto"/>
        <w:jc w:val="both"/>
        <w:rPr>
          <w:sz w:val="21"/>
          <w:szCs w:val="21"/>
          <w:lang w:val="de-DE"/>
        </w:rPr>
      </w:pPr>
      <w:r w:rsidRPr="00925FE6">
        <w:rPr>
          <w:sz w:val="21"/>
          <w:szCs w:val="21"/>
          <w:lang w:val="de-DE"/>
        </w:rPr>
        <w:t>Die VDE-AR-N 4100 ist anerkannte Regel der Technik für Zähleranschlusskästen</w:t>
      </w:r>
      <w:r>
        <w:rPr>
          <w:sz w:val="21"/>
          <w:szCs w:val="21"/>
          <w:lang w:val="de-DE"/>
        </w:rPr>
        <w:t xml:space="preserve"> und </w:t>
      </w:r>
      <w:proofErr w:type="spellStart"/>
      <w:r w:rsidR="006D6387">
        <w:rPr>
          <w:sz w:val="21"/>
          <w:szCs w:val="21"/>
          <w:lang w:val="de-DE"/>
        </w:rPr>
        <w:t>Messw</w:t>
      </w:r>
      <w:r>
        <w:rPr>
          <w:sz w:val="21"/>
          <w:szCs w:val="21"/>
          <w:lang w:val="de-DE"/>
        </w:rPr>
        <w:t>andler</w:t>
      </w:r>
      <w:r w:rsidR="006D6387">
        <w:rPr>
          <w:sz w:val="21"/>
          <w:szCs w:val="21"/>
          <w:lang w:val="de-DE"/>
        </w:rPr>
        <w:t>schränken</w:t>
      </w:r>
      <w:proofErr w:type="spellEnd"/>
      <w:r w:rsidR="006D6387">
        <w:rPr>
          <w:sz w:val="21"/>
          <w:szCs w:val="21"/>
          <w:lang w:val="de-DE"/>
        </w:rPr>
        <w:t xml:space="preserve"> für </w:t>
      </w:r>
      <w:r w:rsidR="00B25437">
        <w:rPr>
          <w:sz w:val="21"/>
          <w:szCs w:val="21"/>
          <w:lang w:val="de-DE"/>
        </w:rPr>
        <w:t>Anschlusssituationen in der Niederspannung</w:t>
      </w:r>
      <w:r w:rsidRPr="00925FE6">
        <w:rPr>
          <w:sz w:val="21"/>
          <w:szCs w:val="21"/>
          <w:lang w:val="de-DE"/>
        </w:rPr>
        <w:t xml:space="preserve">. </w:t>
      </w:r>
      <w:r w:rsidR="00E37985">
        <w:rPr>
          <w:sz w:val="21"/>
          <w:szCs w:val="21"/>
          <w:lang w:val="de-DE"/>
        </w:rPr>
        <w:t>Der</w:t>
      </w:r>
      <w:r w:rsidR="006836C6">
        <w:rPr>
          <w:sz w:val="21"/>
          <w:szCs w:val="21"/>
          <w:lang w:val="de-DE"/>
        </w:rPr>
        <w:t xml:space="preserve"> anerkannter Bundesmuster</w:t>
      </w:r>
      <w:r w:rsidR="001C4773">
        <w:rPr>
          <w:sz w:val="21"/>
          <w:szCs w:val="21"/>
          <w:lang w:val="de-DE"/>
        </w:rPr>
        <w:t>wortlaut des BDEW</w:t>
      </w:r>
      <w:r w:rsidR="00E37985">
        <w:rPr>
          <w:sz w:val="21"/>
          <w:szCs w:val="21"/>
          <w:lang w:val="de-DE"/>
        </w:rPr>
        <w:t xml:space="preserve"> zu den Technischen Anschlussbedingungen (TAB)</w:t>
      </w:r>
      <w:r w:rsidR="001C4773">
        <w:rPr>
          <w:sz w:val="21"/>
          <w:szCs w:val="21"/>
          <w:lang w:val="de-DE"/>
        </w:rPr>
        <w:t xml:space="preserve"> (</w:t>
      </w:r>
      <w:hyperlink r:id="rId11" w:history="1">
        <w:r w:rsidR="001C4773" w:rsidRPr="00E37985">
          <w:rPr>
            <w:rStyle w:val="Hyperlink"/>
            <w:sz w:val="21"/>
            <w:szCs w:val="21"/>
            <w:lang w:val="de-DE"/>
          </w:rPr>
          <w:t>aktuelle Fassung 2023</w:t>
        </w:r>
      </w:hyperlink>
      <w:r w:rsidR="001C4773">
        <w:rPr>
          <w:sz w:val="21"/>
          <w:szCs w:val="21"/>
          <w:lang w:val="de-DE"/>
        </w:rPr>
        <w:t>)</w:t>
      </w:r>
      <w:r w:rsidR="00E37985">
        <w:rPr>
          <w:sz w:val="21"/>
          <w:szCs w:val="21"/>
          <w:lang w:val="de-DE"/>
        </w:rPr>
        <w:t xml:space="preserve"> bildet eine standardisierte Grundlage auf deren Basis und nach den anerkannten Regeln der Technik </w:t>
      </w:r>
      <w:r w:rsidR="00874ABC">
        <w:rPr>
          <w:sz w:val="21"/>
          <w:szCs w:val="21"/>
          <w:lang w:val="de-DE"/>
        </w:rPr>
        <w:t>Zählanschlusssäulen konfiguriert werden sollen.</w:t>
      </w:r>
      <w:r w:rsidR="001C4773">
        <w:rPr>
          <w:sz w:val="21"/>
          <w:szCs w:val="21"/>
          <w:lang w:val="de-DE"/>
        </w:rPr>
        <w:t xml:space="preserve"> </w:t>
      </w:r>
      <w:r w:rsidRPr="00925FE6">
        <w:rPr>
          <w:sz w:val="21"/>
          <w:szCs w:val="21"/>
          <w:lang w:val="de-DE"/>
        </w:rPr>
        <w:t>Nach § 20 Abs. 1 NAV dürfen VNBs nur dann</w:t>
      </w:r>
      <w:r w:rsidR="00874ABC">
        <w:rPr>
          <w:sz w:val="21"/>
          <w:szCs w:val="21"/>
          <w:lang w:val="de-DE"/>
        </w:rPr>
        <w:t xml:space="preserve"> </w:t>
      </w:r>
      <w:r w:rsidR="00B33041">
        <w:rPr>
          <w:sz w:val="21"/>
          <w:szCs w:val="21"/>
          <w:lang w:val="de-DE"/>
        </w:rPr>
        <w:t>vom o.g. Standard</w:t>
      </w:r>
      <w:r w:rsidRPr="00925FE6">
        <w:rPr>
          <w:sz w:val="21"/>
          <w:szCs w:val="21"/>
          <w:lang w:val="de-DE"/>
        </w:rPr>
        <w:t xml:space="preserve"> abweichende Anforderungen in ihren </w:t>
      </w:r>
      <w:r w:rsidR="00874ABC">
        <w:rPr>
          <w:sz w:val="21"/>
          <w:szCs w:val="21"/>
          <w:lang w:val="de-DE"/>
        </w:rPr>
        <w:t>TABs</w:t>
      </w:r>
      <w:r w:rsidRPr="00925FE6">
        <w:rPr>
          <w:sz w:val="21"/>
          <w:szCs w:val="21"/>
          <w:lang w:val="de-DE"/>
        </w:rPr>
        <w:t xml:space="preserve"> festlegen, wenn dies aus Gründen der sicheren und störungsfreien Versorgung zwingend notwendig ist. Praxis heute: In mindestens </w:t>
      </w:r>
      <w:r w:rsidR="0012771F">
        <w:rPr>
          <w:sz w:val="21"/>
          <w:szCs w:val="21"/>
          <w:lang w:val="de-DE"/>
        </w:rPr>
        <w:t>ein Drittel</w:t>
      </w:r>
      <w:r w:rsidRPr="00925FE6">
        <w:rPr>
          <w:sz w:val="21"/>
          <w:szCs w:val="21"/>
          <w:lang w:val="de-DE"/>
        </w:rPr>
        <w:t xml:space="preserve"> aller Freigabe</w:t>
      </w:r>
      <w:r w:rsidR="0012771F">
        <w:rPr>
          <w:sz w:val="21"/>
          <w:szCs w:val="21"/>
          <w:lang w:val="de-DE"/>
        </w:rPr>
        <w:t>fällen</w:t>
      </w:r>
      <w:r w:rsidRPr="00925FE6">
        <w:rPr>
          <w:sz w:val="21"/>
          <w:szCs w:val="21"/>
          <w:lang w:val="de-DE"/>
        </w:rPr>
        <w:t xml:space="preserve"> halbindirekt messender Zählerschränke verlangen VNBs nicht nachvollziehbare Sonderlösungen – etwa Festlegungen auf bestimmte Komponentenhersteller, obwohl Funktion und Stand der Technik in der Norm klar geregelt sind. Die Folgen: höhere Kosten, längere Freigabezeiten, Variantenflut bei Herstellern</w:t>
      </w:r>
      <w:r w:rsidR="00DF0328">
        <w:rPr>
          <w:sz w:val="21"/>
          <w:szCs w:val="21"/>
          <w:lang w:val="de-DE"/>
        </w:rPr>
        <w:t xml:space="preserve"> („Manufakturproduktion statt skalierbarer Serienfertigung“)</w:t>
      </w:r>
      <w:r w:rsidRPr="00925FE6">
        <w:rPr>
          <w:sz w:val="21"/>
          <w:szCs w:val="21"/>
          <w:lang w:val="de-DE"/>
        </w:rPr>
        <w:t xml:space="preserve"> und CPOs sowie eine erhebliche Bremswirkung auf den Hochlauf.</w:t>
      </w:r>
    </w:p>
    <w:p w14:paraId="60D67482" w14:textId="29A9D593" w:rsidR="00DF0328" w:rsidRDefault="00DF0328" w:rsidP="00DF0328">
      <w:pPr>
        <w:spacing w:line="252" w:lineRule="auto"/>
        <w:jc w:val="both"/>
        <w:rPr>
          <w:sz w:val="21"/>
          <w:szCs w:val="21"/>
          <w:lang w:val="de-DE"/>
        </w:rPr>
      </w:pPr>
      <w:r w:rsidRPr="00DF0328">
        <w:rPr>
          <w:b/>
          <w:bCs/>
          <w:sz w:val="21"/>
          <w:szCs w:val="21"/>
          <w:lang w:val="de-DE"/>
        </w:rPr>
        <w:t>Beispiele:</w:t>
      </w:r>
      <w:r>
        <w:rPr>
          <w:sz w:val="21"/>
          <w:szCs w:val="21"/>
          <w:lang w:val="de-DE"/>
        </w:rPr>
        <w:t xml:space="preserve"> </w:t>
      </w:r>
      <w:r w:rsidRPr="00DF0328">
        <w:rPr>
          <w:b/>
          <w:bCs/>
          <w:sz w:val="21"/>
          <w:szCs w:val="21"/>
          <w:lang w:val="de-DE"/>
        </w:rPr>
        <w:t>Stromnetz Berlin &amp; Hamburger Energienetze</w:t>
      </w:r>
      <w:r w:rsidRPr="00DF0328">
        <w:rPr>
          <w:sz w:val="21"/>
          <w:szCs w:val="21"/>
          <w:lang w:val="de-DE"/>
        </w:rPr>
        <w:t xml:space="preserve"> verwenden nicht den BDEW-Bundesmusterwortlaut, sondern eine eigene regionale Variante von den BDEW-Landesgruppen Norddeutschland und Berlin/Brandenburg</w:t>
      </w:r>
      <w:r>
        <w:rPr>
          <w:sz w:val="21"/>
          <w:szCs w:val="21"/>
          <w:lang w:val="de-DE"/>
        </w:rPr>
        <w:t xml:space="preserve">. </w:t>
      </w:r>
      <w:r w:rsidRPr="00DF0328">
        <w:rPr>
          <w:b/>
          <w:bCs/>
          <w:sz w:val="21"/>
          <w:szCs w:val="21"/>
          <w:lang w:val="de-DE"/>
        </w:rPr>
        <w:t>Stadtwerke Ostmünsterland TAB</w:t>
      </w:r>
      <w:r w:rsidRPr="00DF0328">
        <w:rPr>
          <w:sz w:val="21"/>
          <w:szCs w:val="21"/>
          <w:lang w:val="de-DE"/>
        </w:rPr>
        <w:t xml:space="preserve"> (orientiert sich am </w:t>
      </w:r>
      <w:r w:rsidR="0074735E">
        <w:rPr>
          <w:sz w:val="21"/>
          <w:szCs w:val="21"/>
          <w:lang w:val="de-DE"/>
        </w:rPr>
        <w:t>M</w:t>
      </w:r>
      <w:r w:rsidRPr="00DF0328">
        <w:rPr>
          <w:sz w:val="21"/>
          <w:szCs w:val="21"/>
          <w:lang w:val="de-DE"/>
        </w:rPr>
        <w:t>usterwortlauf BDEW von 2019 und nicht der aktuellen 2023)</w:t>
      </w:r>
      <w:r>
        <w:rPr>
          <w:sz w:val="21"/>
          <w:szCs w:val="21"/>
          <w:lang w:val="de-DE"/>
        </w:rPr>
        <w:t>.</w:t>
      </w:r>
    </w:p>
    <w:p w14:paraId="75BC869F" w14:textId="77777777" w:rsidR="00925FE6" w:rsidRPr="00925FE6" w:rsidRDefault="00925FE6" w:rsidP="00925FE6">
      <w:pPr>
        <w:spacing w:line="252" w:lineRule="auto"/>
        <w:jc w:val="both"/>
        <w:rPr>
          <w:sz w:val="21"/>
          <w:szCs w:val="21"/>
          <w:lang w:val="de-DE"/>
        </w:rPr>
      </w:pPr>
      <w:r w:rsidRPr="00865F93">
        <w:rPr>
          <w:b/>
          <w:bCs/>
          <w:sz w:val="21"/>
          <w:szCs w:val="21"/>
          <w:lang w:val="de-DE"/>
        </w:rPr>
        <w:t>Änderungsvorschlag § 17e EnWG (neuer Absatz 4):</w:t>
      </w:r>
      <w:r w:rsidRPr="00925FE6">
        <w:rPr>
          <w:sz w:val="21"/>
          <w:szCs w:val="21"/>
          <w:lang w:val="de-DE"/>
        </w:rPr>
        <w:t xml:space="preserve"> „</w:t>
      </w:r>
      <w:r w:rsidRPr="00B230DC">
        <w:rPr>
          <w:i/>
          <w:iCs/>
          <w:sz w:val="21"/>
          <w:szCs w:val="21"/>
          <w:lang w:val="de-DE"/>
        </w:rPr>
        <w:t>Die Betreiber von Elektrizitätsverteilernetzen sind verpflichtet, ihre Technischen Anschlussbedingungen (TAB) für Niederspannung strikt an der VDE-AR-N 4100 in der jeweils geltenden Fassung sowie an den Mustervorgaben des BDEW auszurichten. Abweichungen sind nur zulässig, soweit sie aus Gründen der sicheren und störungsfreien Versorgung zwingend notwendig sind, transparent online zu veröffentlichen und der Bundesnetzagentur anzuzeigen. Die Bundesnetzagentur prüft die Einhaltung im Rahmen ihrer Aufsicht.</w:t>
      </w:r>
      <w:r w:rsidRPr="00925FE6">
        <w:rPr>
          <w:sz w:val="21"/>
          <w:szCs w:val="21"/>
          <w:lang w:val="de-DE"/>
        </w:rPr>
        <w:t>"</w:t>
      </w:r>
    </w:p>
    <w:p w14:paraId="5C856988" w14:textId="77777777" w:rsidR="00925FE6" w:rsidRPr="00925FE6" w:rsidRDefault="00925FE6" w:rsidP="00925FE6">
      <w:pPr>
        <w:spacing w:line="252" w:lineRule="auto"/>
        <w:jc w:val="both"/>
        <w:rPr>
          <w:sz w:val="21"/>
          <w:szCs w:val="21"/>
          <w:lang w:val="de-DE"/>
        </w:rPr>
      </w:pPr>
      <w:r w:rsidRPr="00925FE6">
        <w:rPr>
          <w:sz w:val="21"/>
          <w:szCs w:val="21"/>
          <w:lang w:val="de-DE"/>
        </w:rPr>
        <w:t xml:space="preserve">Ergänzend schlagen wir vor, in </w:t>
      </w:r>
      <w:r w:rsidRPr="00865F93">
        <w:rPr>
          <w:b/>
          <w:bCs/>
          <w:sz w:val="21"/>
          <w:szCs w:val="21"/>
          <w:lang w:val="de-DE"/>
        </w:rPr>
        <w:t>§ 17e Absatz 3 EnWG-</w:t>
      </w:r>
      <w:proofErr w:type="spellStart"/>
      <w:r w:rsidRPr="00865F93">
        <w:rPr>
          <w:b/>
          <w:bCs/>
          <w:sz w:val="21"/>
          <w:szCs w:val="21"/>
          <w:lang w:val="de-DE"/>
        </w:rPr>
        <w:t>RefE</w:t>
      </w:r>
      <w:proofErr w:type="spellEnd"/>
      <w:r w:rsidRPr="00925FE6">
        <w:rPr>
          <w:sz w:val="21"/>
          <w:szCs w:val="21"/>
          <w:lang w:val="de-DE"/>
        </w:rPr>
        <w:t xml:space="preserve"> die Standardisierungspflicht der digitalen Netzanschlussportale (Prozesse, Datensätze, Rollen) explizit auf Ladeinfrastruktur in der Niederspannung zu erstrecken und die Frist für Niederspannungsverfahren auf den 1. Januar 2027 vorzuziehen.</w:t>
      </w:r>
    </w:p>
    <w:p w14:paraId="3482EB07" w14:textId="77777777" w:rsidR="00317C0E" w:rsidRDefault="00925FE6" w:rsidP="00925FE6">
      <w:pPr>
        <w:spacing w:line="252" w:lineRule="auto"/>
        <w:jc w:val="both"/>
        <w:rPr>
          <w:sz w:val="21"/>
          <w:szCs w:val="21"/>
          <w:lang w:val="de-DE"/>
        </w:rPr>
      </w:pPr>
      <w:r w:rsidRPr="00865F93">
        <w:rPr>
          <w:b/>
          <w:bCs/>
          <w:sz w:val="21"/>
          <w:szCs w:val="21"/>
          <w:lang w:val="de-DE"/>
        </w:rPr>
        <w:t>Wirkung:</w:t>
      </w:r>
      <w:r w:rsidRPr="00925FE6">
        <w:rPr>
          <w:sz w:val="21"/>
          <w:szCs w:val="21"/>
          <w:lang w:val="de-DE"/>
        </w:rPr>
        <w:t xml:space="preserve"> standardisierte Fertigung von Zähleranschlusskästen, deutliche Reduktion der Variantenvielfalt, Beschleunigung des Prüf- und Freigabeprozesses sowie der gesamten Transaktionskosten – mit positiven Effekten insbesondere auf Seiten der VNBs.</w:t>
      </w:r>
    </w:p>
    <w:p w14:paraId="3C786B65" w14:textId="43204EA1" w:rsidR="00CE17CB" w:rsidRPr="000C69E2" w:rsidRDefault="00CE17CB" w:rsidP="00925FE6">
      <w:pPr>
        <w:spacing w:line="252" w:lineRule="auto"/>
        <w:jc w:val="both"/>
        <w:rPr>
          <w:b/>
          <w:bCs/>
          <w:sz w:val="21"/>
          <w:szCs w:val="21"/>
          <w:lang w:val="de-DE"/>
        </w:rPr>
      </w:pPr>
      <w:r w:rsidRPr="00CE17CB">
        <w:rPr>
          <w:b/>
          <w:bCs/>
          <w:sz w:val="21"/>
          <w:szCs w:val="21"/>
          <w:lang w:val="de-DE"/>
        </w:rPr>
        <w:lastRenderedPageBreak/>
        <w:t>Hinweis:</w:t>
      </w:r>
      <w:r>
        <w:rPr>
          <w:b/>
          <w:bCs/>
          <w:sz w:val="21"/>
          <w:szCs w:val="21"/>
          <w:lang w:val="de-DE"/>
        </w:rPr>
        <w:t xml:space="preserve"> </w:t>
      </w:r>
      <w:r w:rsidRPr="000C69E2">
        <w:rPr>
          <w:sz w:val="21"/>
          <w:szCs w:val="21"/>
          <w:lang w:val="de-DE"/>
        </w:rPr>
        <w:t xml:space="preserve"> </w:t>
      </w:r>
      <w:r w:rsidR="000C69E2" w:rsidRPr="000C69E2">
        <w:rPr>
          <w:sz w:val="21"/>
          <w:szCs w:val="21"/>
          <w:lang w:val="de-DE"/>
        </w:rPr>
        <w:t>In diesem Teil wird lediglich die VDE-AR-N 4100, der zentralen Technischen Anschlussregel (TAR) für den Anschluss von Kundenanlagen an das Niederspannungsnetz</w:t>
      </w:r>
      <w:r w:rsidR="000C69E2">
        <w:rPr>
          <w:sz w:val="21"/>
          <w:szCs w:val="21"/>
          <w:lang w:val="de-DE"/>
        </w:rPr>
        <w:t xml:space="preserve"> umfasst. Oben genannten Vorschläge lassen sich selbstredend auch auf </w:t>
      </w:r>
      <w:r w:rsidR="00F0209A">
        <w:rPr>
          <w:sz w:val="21"/>
          <w:szCs w:val="21"/>
          <w:lang w:val="de-DE"/>
        </w:rPr>
        <w:t>Kundenanlagen zum Anschluss an die Mittelspannung (</w:t>
      </w:r>
      <w:r w:rsidR="00D506F3">
        <w:rPr>
          <w:sz w:val="21"/>
          <w:szCs w:val="21"/>
          <w:lang w:val="de-DE"/>
        </w:rPr>
        <w:t xml:space="preserve">VDE-AR-N 4110) übertragen. </w:t>
      </w:r>
      <w:r w:rsidR="000E79D4">
        <w:rPr>
          <w:sz w:val="21"/>
          <w:szCs w:val="21"/>
          <w:lang w:val="de-DE"/>
        </w:rPr>
        <w:t>Übergeordnetes</w:t>
      </w:r>
      <w:r w:rsidR="00D506F3">
        <w:rPr>
          <w:sz w:val="21"/>
          <w:szCs w:val="21"/>
          <w:lang w:val="de-DE"/>
        </w:rPr>
        <w:t xml:space="preserve"> Ziel ist die Schaffung standardisierter Anschlussbedingungen, Abschaffung von Komplexität, Ineffizienzen sowie Bürokratie- und Aufwandstreibern.</w:t>
      </w:r>
      <w:r w:rsidR="000E79D4">
        <w:rPr>
          <w:sz w:val="21"/>
          <w:szCs w:val="21"/>
          <w:lang w:val="de-DE"/>
        </w:rPr>
        <w:t xml:space="preserve"> </w:t>
      </w:r>
    </w:p>
    <w:p w14:paraId="140FC9A3" w14:textId="77777777" w:rsidR="00B33041" w:rsidRDefault="00B33041" w:rsidP="00925FE6">
      <w:pPr>
        <w:spacing w:line="252" w:lineRule="auto"/>
        <w:jc w:val="both"/>
        <w:rPr>
          <w:sz w:val="21"/>
          <w:szCs w:val="21"/>
          <w:lang w:val="de-DE"/>
        </w:rPr>
      </w:pPr>
    </w:p>
    <w:p w14:paraId="5FFEB867" w14:textId="29732843" w:rsidR="000234D9" w:rsidRPr="00450002" w:rsidRDefault="000234D9" w:rsidP="000234D9">
      <w:pPr>
        <w:pStyle w:val="Heading2"/>
        <w:shd w:val="clear" w:color="auto" w:fill="EAEAEA"/>
        <w:spacing w:line="252" w:lineRule="auto"/>
        <w:jc w:val="both"/>
        <w:rPr>
          <w:rStyle w:val="Strong"/>
          <w:rFonts w:asciiTheme="minorHAnsi" w:hAnsiTheme="minorHAnsi" w:cs="Segoe UI"/>
          <w:color w:val="000000"/>
          <w:sz w:val="28"/>
          <w:szCs w:val="28"/>
          <w:lang w:val="de-DE"/>
        </w:rPr>
      </w:pPr>
      <w:r w:rsidRPr="00450002">
        <w:rPr>
          <w:rStyle w:val="Strong"/>
          <w:rFonts w:asciiTheme="minorHAnsi" w:hAnsiTheme="minorHAnsi" w:cs="Segoe UI"/>
          <w:color w:val="000000"/>
          <w:sz w:val="28"/>
          <w:szCs w:val="28"/>
          <w:lang w:val="de-DE"/>
        </w:rPr>
        <w:t xml:space="preserve">Angebot </w:t>
      </w:r>
      <w:r w:rsidR="00450002" w:rsidRPr="00450002">
        <w:rPr>
          <w:rStyle w:val="Strong"/>
          <w:rFonts w:asciiTheme="minorHAnsi" w:hAnsiTheme="minorHAnsi" w:cs="Segoe UI"/>
          <w:color w:val="000000"/>
          <w:sz w:val="28"/>
          <w:szCs w:val="28"/>
          <w:lang w:val="de-DE"/>
        </w:rPr>
        <w:t>zur weiteren fachlichen Beteiligung</w:t>
      </w:r>
    </w:p>
    <w:p w14:paraId="04F39772" w14:textId="0C356129" w:rsidR="00B33041" w:rsidRDefault="00317C0E" w:rsidP="002A50A6">
      <w:pPr>
        <w:spacing w:line="252" w:lineRule="auto"/>
        <w:jc w:val="both"/>
        <w:rPr>
          <w:sz w:val="21"/>
          <w:szCs w:val="21"/>
          <w:lang w:val="de-DE"/>
        </w:rPr>
      </w:pPr>
      <w:r w:rsidRPr="00317C0E">
        <w:rPr>
          <w:sz w:val="21"/>
          <w:szCs w:val="21"/>
          <w:lang w:val="de-DE"/>
        </w:rPr>
        <w:t xml:space="preserve">Als Bundesverband der Ladeinfrastrukturbranche </w:t>
      </w:r>
      <w:r w:rsidR="00CE17CB">
        <w:rPr>
          <w:sz w:val="21"/>
          <w:szCs w:val="21"/>
          <w:lang w:val="de-DE"/>
        </w:rPr>
        <w:t>vertritt</w:t>
      </w:r>
      <w:r w:rsidRPr="00317C0E">
        <w:rPr>
          <w:sz w:val="21"/>
          <w:szCs w:val="21"/>
          <w:lang w:val="de-DE"/>
        </w:rPr>
        <w:t xml:space="preserve"> der </w:t>
      </w:r>
      <w:proofErr w:type="spellStart"/>
      <w:r w:rsidRPr="00317C0E">
        <w:rPr>
          <w:sz w:val="21"/>
          <w:szCs w:val="21"/>
          <w:lang w:val="de-DE"/>
        </w:rPr>
        <w:t>charGER</w:t>
      </w:r>
      <w:proofErr w:type="spellEnd"/>
      <w:r w:rsidRPr="00317C0E">
        <w:rPr>
          <w:sz w:val="21"/>
          <w:szCs w:val="21"/>
          <w:lang w:val="de-DE"/>
        </w:rPr>
        <w:t xml:space="preserve"> e.V. die operative, technische und regulatorische Expertise der zentralen Marktakteure. Wir bieten Ihnen und Ihrem Team unsere Unterstützung bei der weiteren Beratung des Netzanschlusspakets ausdrücklich an – in Form von Hintergrundgesprächen, Fachworkshops, schriftlichen Stellungnahmen oder Datenbeiträgen aus der Praxis. Ein persönlicher, vertiefender Austausch in Berlin oder in Ihrem Wahlkreis Mettmann I steht jederzeit auf unserer Tagesordnung.</w:t>
      </w:r>
    </w:p>
    <w:p w14:paraId="3BF6118D" w14:textId="4E0492F1" w:rsidR="002A50A6" w:rsidRPr="00B33041" w:rsidRDefault="00EE3C5B" w:rsidP="002A50A6">
      <w:pPr>
        <w:spacing w:line="252" w:lineRule="auto"/>
        <w:jc w:val="both"/>
        <w:rPr>
          <w:sz w:val="21"/>
          <w:szCs w:val="21"/>
          <w:lang w:val="de-DE"/>
        </w:rPr>
      </w:pPr>
      <w:r>
        <w:rPr>
          <w:b/>
          <w:bCs/>
          <w:sz w:val="21"/>
          <w:szCs w:val="21"/>
          <w:lang w:val="de-DE"/>
        </w:rPr>
        <w:br/>
      </w:r>
      <w:proofErr w:type="spellStart"/>
      <w:r>
        <w:rPr>
          <w:b/>
          <w:bCs/>
          <w:sz w:val="21"/>
          <w:szCs w:val="21"/>
          <w:lang w:val="de-DE"/>
        </w:rPr>
        <w:t>ch</w:t>
      </w:r>
      <w:r w:rsidR="002A50A6" w:rsidRPr="002A50A6">
        <w:rPr>
          <w:b/>
          <w:bCs/>
          <w:sz w:val="21"/>
          <w:szCs w:val="21"/>
          <w:lang w:val="de-DE"/>
        </w:rPr>
        <w:t>arGER</w:t>
      </w:r>
      <w:proofErr w:type="spellEnd"/>
      <w:r w:rsidR="002A50A6" w:rsidRPr="002A50A6">
        <w:rPr>
          <w:b/>
          <w:bCs/>
          <w:sz w:val="21"/>
          <w:szCs w:val="21"/>
          <w:lang w:val="de-DE"/>
        </w:rPr>
        <w:t xml:space="preserve"> e.V. –Ladeinfrastruktur für Deutschland</w:t>
      </w:r>
    </w:p>
    <w:p w14:paraId="4544E225" w14:textId="3A779587" w:rsidR="007855A7" w:rsidRDefault="00315F1A" w:rsidP="00B33041">
      <w:pPr>
        <w:spacing w:line="252" w:lineRule="auto"/>
        <w:jc w:val="both"/>
        <w:rPr>
          <w:sz w:val="21"/>
          <w:szCs w:val="21"/>
          <w:lang w:val="de-DE"/>
        </w:rPr>
      </w:pPr>
      <w:r>
        <w:rPr>
          <w:sz w:val="21"/>
          <w:szCs w:val="21"/>
          <w:lang w:val="de-DE"/>
        </w:rPr>
        <w:t xml:space="preserve">gez.: </w:t>
      </w:r>
      <w:r w:rsidR="002A50A6" w:rsidRPr="002A50A6">
        <w:rPr>
          <w:sz w:val="21"/>
          <w:szCs w:val="21"/>
          <w:lang w:val="de-DE"/>
        </w:rPr>
        <w:t>Der Vorstand</w:t>
      </w:r>
    </w:p>
    <w:p w14:paraId="06EA87E2" w14:textId="77777777" w:rsidR="007855A7" w:rsidRDefault="007855A7" w:rsidP="001D7E29">
      <w:pPr>
        <w:spacing w:after="0" w:line="240" w:lineRule="auto"/>
        <w:jc w:val="both"/>
        <w:rPr>
          <w:sz w:val="21"/>
          <w:szCs w:val="21"/>
          <w:lang w:val="de-DE"/>
        </w:rPr>
      </w:pPr>
    </w:p>
    <w:p w14:paraId="412FD6E4" w14:textId="77777777" w:rsidR="00EE3C5B" w:rsidRDefault="00EE3C5B" w:rsidP="001D7E29">
      <w:pPr>
        <w:spacing w:after="0" w:line="240" w:lineRule="auto"/>
        <w:jc w:val="both"/>
        <w:rPr>
          <w:sz w:val="21"/>
          <w:szCs w:val="21"/>
          <w:lang w:val="de-DE"/>
        </w:rPr>
      </w:pPr>
    </w:p>
    <w:p w14:paraId="216EA577" w14:textId="273CB3BE" w:rsidR="00F370B5" w:rsidRDefault="007855A7" w:rsidP="001D7E29">
      <w:pPr>
        <w:spacing w:after="0" w:line="240" w:lineRule="auto"/>
        <w:jc w:val="both"/>
        <w:rPr>
          <w:sz w:val="21"/>
          <w:szCs w:val="21"/>
          <w:lang w:val="de-DE"/>
        </w:rPr>
      </w:pPr>
      <w:r>
        <w:rPr>
          <w:sz w:val="21"/>
          <w:szCs w:val="21"/>
          <w:lang w:val="de-DE"/>
        </w:rPr>
        <w:t>Autoren:</w:t>
      </w:r>
      <w:r w:rsidR="001D7E29">
        <w:rPr>
          <w:sz w:val="21"/>
          <w:szCs w:val="21"/>
          <w:lang w:val="de-DE"/>
        </w:rPr>
        <w:br/>
      </w:r>
    </w:p>
    <w:p w14:paraId="633AB46A" w14:textId="1969DF35" w:rsidR="007855A7" w:rsidRPr="001D7E29" w:rsidRDefault="007855A7" w:rsidP="001D7E29">
      <w:pPr>
        <w:spacing w:after="0" w:line="240" w:lineRule="auto"/>
        <w:jc w:val="both"/>
        <w:rPr>
          <w:b/>
          <w:bCs/>
          <w:sz w:val="21"/>
          <w:szCs w:val="21"/>
          <w:lang w:val="de-DE"/>
        </w:rPr>
      </w:pPr>
      <w:r w:rsidRPr="001D7E29">
        <w:rPr>
          <w:b/>
          <w:bCs/>
          <w:sz w:val="21"/>
          <w:szCs w:val="21"/>
          <w:lang w:val="de-DE"/>
        </w:rPr>
        <w:t>Constantin Schwaab</w:t>
      </w:r>
      <w:r w:rsidR="001D7E29" w:rsidRPr="001D7E29">
        <w:rPr>
          <w:b/>
          <w:bCs/>
          <w:sz w:val="21"/>
          <w:szCs w:val="21"/>
          <w:lang w:val="de-DE"/>
        </w:rPr>
        <w:tab/>
      </w:r>
      <w:r w:rsidR="001D7E29">
        <w:rPr>
          <w:b/>
          <w:bCs/>
          <w:sz w:val="21"/>
          <w:szCs w:val="21"/>
          <w:lang w:val="de-DE"/>
        </w:rPr>
        <w:tab/>
      </w:r>
      <w:r w:rsidR="001D7E29">
        <w:rPr>
          <w:b/>
          <w:bCs/>
          <w:sz w:val="21"/>
          <w:szCs w:val="21"/>
          <w:lang w:val="de-DE"/>
        </w:rPr>
        <w:tab/>
      </w:r>
      <w:r w:rsidR="001D7E29">
        <w:rPr>
          <w:b/>
          <w:bCs/>
          <w:sz w:val="21"/>
          <w:szCs w:val="21"/>
          <w:lang w:val="de-DE"/>
        </w:rPr>
        <w:tab/>
      </w:r>
      <w:r w:rsidR="001D7E29">
        <w:rPr>
          <w:b/>
          <w:bCs/>
          <w:sz w:val="21"/>
          <w:szCs w:val="21"/>
          <w:lang w:val="de-DE"/>
        </w:rPr>
        <w:tab/>
        <w:t>Sebastian Bott</w:t>
      </w:r>
      <w:r w:rsidR="001D7E29" w:rsidRPr="001D7E29">
        <w:rPr>
          <w:b/>
          <w:bCs/>
          <w:sz w:val="21"/>
          <w:szCs w:val="21"/>
          <w:lang w:val="de-DE"/>
        </w:rPr>
        <w:tab/>
      </w:r>
      <w:r w:rsidR="001D7E29" w:rsidRPr="001D7E29">
        <w:rPr>
          <w:b/>
          <w:bCs/>
          <w:sz w:val="21"/>
          <w:szCs w:val="21"/>
          <w:lang w:val="de-DE"/>
        </w:rPr>
        <w:tab/>
      </w:r>
      <w:r w:rsidR="001D7E29" w:rsidRPr="001D7E29">
        <w:rPr>
          <w:b/>
          <w:bCs/>
          <w:sz w:val="21"/>
          <w:szCs w:val="21"/>
          <w:lang w:val="de-DE"/>
        </w:rPr>
        <w:tab/>
      </w:r>
    </w:p>
    <w:p w14:paraId="3EAD14D2" w14:textId="2C3E51A6" w:rsidR="007855A7" w:rsidRDefault="007855A7" w:rsidP="001D7E29">
      <w:pPr>
        <w:spacing w:after="0" w:line="240" w:lineRule="auto"/>
        <w:jc w:val="both"/>
        <w:rPr>
          <w:sz w:val="21"/>
          <w:szCs w:val="21"/>
          <w:lang w:val="de-DE"/>
        </w:rPr>
      </w:pPr>
      <w:r>
        <w:rPr>
          <w:sz w:val="21"/>
          <w:szCs w:val="21"/>
          <w:lang w:val="de-DE"/>
        </w:rPr>
        <w:t>Vorstandsvorsitzender</w:t>
      </w:r>
      <w:r w:rsidR="001D7E29">
        <w:rPr>
          <w:sz w:val="21"/>
          <w:szCs w:val="21"/>
          <w:lang w:val="de-DE"/>
        </w:rPr>
        <w:tab/>
      </w:r>
      <w:r w:rsidR="001D7E29">
        <w:rPr>
          <w:sz w:val="21"/>
          <w:szCs w:val="21"/>
          <w:lang w:val="de-DE"/>
        </w:rPr>
        <w:tab/>
      </w:r>
      <w:r w:rsidR="001D7E29">
        <w:rPr>
          <w:sz w:val="21"/>
          <w:szCs w:val="21"/>
          <w:lang w:val="de-DE"/>
        </w:rPr>
        <w:tab/>
      </w:r>
      <w:r w:rsidR="001D7E29">
        <w:rPr>
          <w:sz w:val="21"/>
          <w:szCs w:val="21"/>
          <w:lang w:val="de-DE"/>
        </w:rPr>
        <w:tab/>
      </w:r>
      <w:r w:rsidR="001D7E29">
        <w:rPr>
          <w:sz w:val="21"/>
          <w:szCs w:val="21"/>
          <w:lang w:val="de-DE"/>
        </w:rPr>
        <w:tab/>
        <w:t>Leiter Regulatorik &amp; Marktkommunikation</w:t>
      </w:r>
    </w:p>
    <w:p w14:paraId="147DAEE1" w14:textId="684AFCFC" w:rsidR="007855A7" w:rsidRPr="00EE3C5B" w:rsidRDefault="007855A7" w:rsidP="001D7E29">
      <w:pPr>
        <w:spacing w:after="0" w:line="240" w:lineRule="auto"/>
        <w:jc w:val="both"/>
        <w:rPr>
          <w:sz w:val="21"/>
          <w:szCs w:val="21"/>
          <w:lang w:val="de-DE"/>
        </w:rPr>
      </w:pPr>
      <w:r w:rsidRPr="00EE3C5B">
        <w:rPr>
          <w:sz w:val="21"/>
          <w:szCs w:val="21"/>
          <w:lang w:val="de-DE"/>
        </w:rPr>
        <w:t xml:space="preserve">M: </w:t>
      </w:r>
      <w:r w:rsidRPr="00E96E80">
        <w:rPr>
          <w:sz w:val="21"/>
          <w:szCs w:val="21"/>
          <w:lang w:val="de-DE"/>
        </w:rPr>
        <w:t>c.schwaab@charger-verband.de</w:t>
      </w:r>
      <w:r w:rsidR="00EE3C5B" w:rsidRPr="00EE3C5B">
        <w:rPr>
          <w:sz w:val="21"/>
          <w:szCs w:val="21"/>
          <w:lang w:val="de-DE"/>
        </w:rPr>
        <w:tab/>
      </w:r>
      <w:r w:rsidR="00EE3C5B" w:rsidRPr="00EE3C5B">
        <w:rPr>
          <w:sz w:val="21"/>
          <w:szCs w:val="21"/>
          <w:lang w:val="de-DE"/>
        </w:rPr>
        <w:tab/>
      </w:r>
      <w:r w:rsidR="00EE3C5B" w:rsidRPr="00EE3C5B">
        <w:rPr>
          <w:sz w:val="21"/>
          <w:szCs w:val="21"/>
          <w:lang w:val="de-DE"/>
        </w:rPr>
        <w:tab/>
        <w:t>M: s.bott@</w:t>
      </w:r>
      <w:r w:rsidR="00EE3C5B">
        <w:rPr>
          <w:sz w:val="21"/>
          <w:szCs w:val="21"/>
          <w:lang w:val="de-DE"/>
        </w:rPr>
        <w:t>charger-verband.de</w:t>
      </w:r>
    </w:p>
    <w:p w14:paraId="7B6E8C02" w14:textId="7B2E42EB" w:rsidR="007855A7" w:rsidRPr="007855A7" w:rsidRDefault="007855A7" w:rsidP="001D7E29">
      <w:pPr>
        <w:spacing w:after="0" w:line="240" w:lineRule="auto"/>
        <w:jc w:val="both"/>
        <w:rPr>
          <w:sz w:val="21"/>
          <w:szCs w:val="21"/>
          <w:lang w:val="de-DE"/>
        </w:rPr>
      </w:pPr>
      <w:r>
        <w:rPr>
          <w:sz w:val="21"/>
          <w:szCs w:val="21"/>
          <w:lang w:val="de-DE"/>
        </w:rPr>
        <w:t xml:space="preserve">T: </w:t>
      </w:r>
      <w:r w:rsidR="001D7E29">
        <w:rPr>
          <w:sz w:val="21"/>
          <w:szCs w:val="21"/>
          <w:lang w:val="de-DE"/>
        </w:rPr>
        <w:t>01512 – 23 07 305</w:t>
      </w:r>
      <w:r w:rsidR="00EE3C5B">
        <w:rPr>
          <w:sz w:val="21"/>
          <w:szCs w:val="21"/>
          <w:lang w:val="de-DE"/>
        </w:rPr>
        <w:tab/>
      </w:r>
      <w:r w:rsidR="00EE3C5B">
        <w:rPr>
          <w:sz w:val="21"/>
          <w:szCs w:val="21"/>
          <w:lang w:val="de-DE"/>
        </w:rPr>
        <w:tab/>
      </w:r>
      <w:r w:rsidR="00EE3C5B">
        <w:rPr>
          <w:sz w:val="21"/>
          <w:szCs w:val="21"/>
          <w:lang w:val="de-DE"/>
        </w:rPr>
        <w:tab/>
      </w:r>
      <w:r w:rsidR="00EE3C5B">
        <w:rPr>
          <w:sz w:val="21"/>
          <w:szCs w:val="21"/>
          <w:lang w:val="de-DE"/>
        </w:rPr>
        <w:tab/>
      </w:r>
      <w:r w:rsidR="00EE3C5B">
        <w:rPr>
          <w:sz w:val="21"/>
          <w:szCs w:val="21"/>
          <w:lang w:val="de-DE"/>
        </w:rPr>
        <w:tab/>
        <w:t>T: 0162 – 431 29 80</w:t>
      </w:r>
    </w:p>
    <w:sectPr w:rsidR="007855A7" w:rsidRPr="007855A7" w:rsidSect="00C91283">
      <w:headerReference w:type="default" r:id="rId12"/>
      <w:footerReference w:type="default" r:id="rId13"/>
      <w:headerReference w:type="first" r:id="rId14"/>
      <w:footerReference w:type="first" r:id="rId15"/>
      <w:pgSz w:w="12240" w:h="15840"/>
      <w:pgMar w:top="1418" w:right="119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E4B8A" w14:textId="77777777" w:rsidR="008705C2" w:rsidRDefault="008705C2" w:rsidP="004E1B5E">
      <w:pPr>
        <w:spacing w:after="0" w:line="240" w:lineRule="auto"/>
      </w:pPr>
      <w:r>
        <w:separator/>
      </w:r>
    </w:p>
  </w:endnote>
  <w:endnote w:type="continuationSeparator" w:id="0">
    <w:p w14:paraId="006ED54A" w14:textId="77777777" w:rsidR="008705C2" w:rsidRDefault="008705C2" w:rsidP="004E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E26A" w14:textId="77777777" w:rsidR="007778F8" w:rsidRPr="00900F67" w:rsidRDefault="007778F8" w:rsidP="00EB6926">
    <w:pPr>
      <w:pStyle w:val="Footer"/>
      <w:jc w:val="center"/>
      <w:rPr>
        <w:b/>
        <w:bCs/>
        <w:sz w:val="16"/>
        <w:szCs w:val="16"/>
        <w:lang w:val="de-DE"/>
      </w:rPr>
    </w:pPr>
  </w:p>
  <w:p w14:paraId="64C2A472" w14:textId="1F6190B3" w:rsidR="004E1B5E" w:rsidRDefault="004E1B5E" w:rsidP="00EB6926">
    <w:pPr>
      <w:pStyle w:val="Footer"/>
      <w:jc w:val="center"/>
      <w:rPr>
        <w:sz w:val="16"/>
        <w:szCs w:val="16"/>
        <w:lang w:val="de-DE"/>
      </w:rPr>
    </w:pPr>
    <w:r w:rsidRPr="00900F67">
      <w:rPr>
        <w:b/>
        <w:bCs/>
        <w:sz w:val="16"/>
        <w:szCs w:val="16"/>
        <w:lang w:val="de-DE"/>
      </w:rPr>
      <w:br/>
    </w:r>
    <w:proofErr w:type="spellStart"/>
    <w:r w:rsidRPr="00994024">
      <w:rPr>
        <w:b/>
        <w:bCs/>
        <w:sz w:val="16"/>
        <w:szCs w:val="16"/>
        <w:lang w:val="de-DE"/>
      </w:rPr>
      <w:t>charGER</w:t>
    </w:r>
    <w:proofErr w:type="spellEnd"/>
    <w:r w:rsidRPr="00994024">
      <w:rPr>
        <w:b/>
        <w:bCs/>
        <w:sz w:val="16"/>
        <w:szCs w:val="16"/>
        <w:lang w:val="de-DE"/>
      </w:rPr>
      <w:t xml:space="preserve"> e.V.  </w:t>
    </w:r>
    <w:r w:rsidRPr="00EB6926">
      <w:rPr>
        <w:b/>
        <w:bCs/>
        <w:sz w:val="16"/>
        <w:szCs w:val="16"/>
        <w:lang w:val="de-DE"/>
      </w:rPr>
      <w:t xml:space="preserve">| </w:t>
    </w:r>
    <w:r w:rsidR="00EB6926" w:rsidRPr="00EB6926">
      <w:rPr>
        <w:b/>
        <w:bCs/>
        <w:sz w:val="16"/>
        <w:szCs w:val="16"/>
        <w:lang w:val="de-DE"/>
      </w:rPr>
      <w:t>Ladeinfrastruktur für Deutschland</w:t>
    </w:r>
    <w:r w:rsidR="00EB6926" w:rsidRPr="00EB6926">
      <w:rPr>
        <w:b/>
        <w:bCs/>
        <w:sz w:val="16"/>
        <w:szCs w:val="16"/>
        <w:lang w:val="de-DE"/>
      </w:rPr>
      <w:br/>
    </w:r>
    <w:r w:rsidR="00EB6926" w:rsidRPr="00EB6926">
      <w:rPr>
        <w:sz w:val="16"/>
        <w:szCs w:val="16"/>
        <w:lang w:val="de-DE"/>
      </w:rPr>
      <w:t>Saarbrücker Straße 24, Haus B</w:t>
    </w:r>
    <w:r w:rsidR="00EB6926">
      <w:rPr>
        <w:sz w:val="16"/>
        <w:szCs w:val="16"/>
        <w:lang w:val="de-DE"/>
      </w:rPr>
      <w:t xml:space="preserve">, </w:t>
    </w:r>
    <w:r w:rsidR="00EB6926" w:rsidRPr="00EB6926">
      <w:rPr>
        <w:sz w:val="16"/>
        <w:szCs w:val="16"/>
        <w:lang w:val="de-DE"/>
      </w:rPr>
      <w:t>10405 Berlin</w:t>
    </w:r>
  </w:p>
  <w:p w14:paraId="442D5083" w14:textId="74F20D3A" w:rsidR="004E1B5E" w:rsidRPr="004E1B5E" w:rsidRDefault="00A9609C" w:rsidP="004E1B5E">
    <w:pPr>
      <w:pStyle w:val="Footer"/>
      <w:jc w:val="center"/>
      <w:rPr>
        <w:b/>
        <w:bCs/>
        <w:sz w:val="16"/>
        <w:szCs w:val="16"/>
        <w:lang w:val="de-DE"/>
      </w:rPr>
    </w:pPr>
    <w:r w:rsidRPr="00A9609C">
      <w:rPr>
        <w:sz w:val="16"/>
        <w:szCs w:val="16"/>
        <w:lang w:val="de-DE"/>
      </w:rPr>
      <w:t>https://www.charger-verband.de</w:t>
    </w:r>
    <w:r>
      <w:rPr>
        <w:b/>
        <w:bCs/>
        <w:sz w:val="16"/>
        <w:szCs w:val="16"/>
        <w:lang w:val="de-DE"/>
      </w:rPr>
      <w:br/>
    </w:r>
    <w:r w:rsidR="004E1B5E" w:rsidRPr="004E1B5E">
      <w:rPr>
        <w:b/>
        <w:bCs/>
        <w:sz w:val="16"/>
        <w:szCs w:val="16"/>
        <w:lang w:val="de-DE"/>
      </w:rPr>
      <w:t xml:space="preserve">Seite </w:t>
    </w:r>
    <w:r w:rsidR="004E1B5E" w:rsidRPr="004E1B5E">
      <w:rPr>
        <w:b/>
        <w:bCs/>
        <w:sz w:val="16"/>
        <w:szCs w:val="16"/>
        <w:lang w:val="de-DE"/>
      </w:rPr>
      <w:fldChar w:fldCharType="begin"/>
    </w:r>
    <w:r w:rsidR="004E1B5E" w:rsidRPr="004E1B5E">
      <w:rPr>
        <w:b/>
        <w:bCs/>
        <w:sz w:val="16"/>
        <w:szCs w:val="16"/>
        <w:lang w:val="de-DE"/>
      </w:rPr>
      <w:instrText xml:space="preserve"> PAGE   \* MERGEFORMAT </w:instrText>
    </w:r>
    <w:r w:rsidR="004E1B5E" w:rsidRPr="004E1B5E">
      <w:rPr>
        <w:b/>
        <w:bCs/>
        <w:sz w:val="16"/>
        <w:szCs w:val="16"/>
        <w:lang w:val="de-DE"/>
      </w:rPr>
      <w:fldChar w:fldCharType="separate"/>
    </w:r>
    <w:r w:rsidR="004E1B5E" w:rsidRPr="004E1B5E">
      <w:rPr>
        <w:b/>
        <w:bCs/>
        <w:sz w:val="16"/>
        <w:szCs w:val="16"/>
        <w:lang w:val="de-DE"/>
      </w:rPr>
      <w:t>1</w:t>
    </w:r>
    <w:r w:rsidR="004E1B5E" w:rsidRPr="004E1B5E">
      <w:rPr>
        <w:b/>
        <w:bCs/>
        <w:noProof/>
        <w:sz w:val="16"/>
        <w:szCs w:val="16"/>
        <w:lang w:val="de-DE"/>
      </w:rPr>
      <w:fldChar w:fldCharType="end"/>
    </w:r>
    <w:r w:rsidR="004E1B5E" w:rsidRPr="004E1B5E">
      <w:rPr>
        <w:b/>
        <w:bCs/>
        <w:noProof/>
        <w:sz w:val="16"/>
        <w:szCs w:val="16"/>
        <w:lang w:val="de-DE"/>
      </w:rPr>
      <w:t xml:space="preserve"> </w:t>
    </w:r>
    <w:r w:rsidR="004E1B5E" w:rsidRPr="004E1B5E">
      <w:rPr>
        <w:b/>
        <w:bCs/>
        <w:sz w:val="16"/>
        <w:szCs w:val="16"/>
        <w:lang w:val="de-DE"/>
      </w:rPr>
      <w:t xml:space="preserve">von </w:t>
    </w:r>
    <w:r w:rsidR="004E1B5E" w:rsidRPr="004E1B5E">
      <w:rPr>
        <w:b/>
        <w:bCs/>
        <w:sz w:val="16"/>
        <w:szCs w:val="16"/>
        <w:lang w:val="de-DE"/>
      </w:rPr>
      <w:fldChar w:fldCharType="begin"/>
    </w:r>
    <w:r w:rsidR="004E1B5E" w:rsidRPr="004E1B5E">
      <w:rPr>
        <w:b/>
        <w:bCs/>
        <w:sz w:val="16"/>
        <w:szCs w:val="16"/>
        <w:lang w:val="de-DE"/>
      </w:rPr>
      <w:instrText xml:space="preserve"> NUMPAGES   \* MERGEFORMAT </w:instrText>
    </w:r>
    <w:r w:rsidR="004E1B5E" w:rsidRPr="004E1B5E">
      <w:rPr>
        <w:b/>
        <w:bCs/>
        <w:sz w:val="16"/>
        <w:szCs w:val="16"/>
        <w:lang w:val="de-DE"/>
      </w:rPr>
      <w:fldChar w:fldCharType="separate"/>
    </w:r>
    <w:r w:rsidR="004E1B5E" w:rsidRPr="004E1B5E">
      <w:rPr>
        <w:b/>
        <w:bCs/>
        <w:noProof/>
        <w:sz w:val="16"/>
        <w:szCs w:val="16"/>
        <w:lang w:val="de-DE"/>
      </w:rPr>
      <w:t>1</w:t>
    </w:r>
    <w:r w:rsidR="004E1B5E" w:rsidRPr="004E1B5E">
      <w:rPr>
        <w:b/>
        <w:bCs/>
        <w:sz w:val="16"/>
        <w:szCs w:val="16"/>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42FD" w14:textId="77777777" w:rsidR="00C91283" w:rsidRPr="00C91283" w:rsidRDefault="00C91283" w:rsidP="00C91283">
    <w:pPr>
      <w:pStyle w:val="Footer"/>
      <w:rPr>
        <w:sz w:val="14"/>
        <w:szCs w:val="14"/>
        <w:lang w:val="de-DE"/>
      </w:rPr>
    </w:pPr>
    <w:r w:rsidRPr="00C91283">
      <w:rPr>
        <w:sz w:val="14"/>
        <w:szCs w:val="14"/>
        <w:lang w:val="de-DE"/>
      </w:rPr>
      <w:t>---------------------</w:t>
    </w:r>
  </w:p>
  <w:p w14:paraId="712DB0A2" w14:textId="77777777" w:rsidR="00C91283" w:rsidRPr="00C91283" w:rsidRDefault="00C91283" w:rsidP="00C91283">
    <w:pPr>
      <w:pStyle w:val="Footer"/>
      <w:rPr>
        <w:sz w:val="14"/>
        <w:szCs w:val="14"/>
        <w:lang w:val="de-DE"/>
      </w:rPr>
    </w:pPr>
    <w:r w:rsidRPr="00C01532">
      <w:rPr>
        <w:sz w:val="14"/>
        <w:szCs w:val="14"/>
        <w:lang w:val="de-DE"/>
      </w:rPr>
      <w:t xml:space="preserve">1 </w:t>
    </w:r>
    <w:r w:rsidRPr="00C01532">
      <w:rPr>
        <w:b/>
        <w:bCs/>
        <w:sz w:val="14"/>
        <w:szCs w:val="14"/>
        <w:lang w:val="de-DE"/>
      </w:rPr>
      <w:t>NOW GmbH</w:t>
    </w:r>
    <w:r w:rsidRPr="00C01532">
      <w:rPr>
        <w:sz w:val="14"/>
        <w:szCs w:val="14"/>
        <w:lang w:val="de-DE"/>
      </w:rPr>
      <w:t xml:space="preserve"> – Studie „Ladeinfrastruktur nach 2025/2030: Szenarien für den Markthochlauf“; </w:t>
    </w:r>
    <w:hyperlink r:id="rId1" w:history="1">
      <w:r w:rsidRPr="00C01532">
        <w:rPr>
          <w:rStyle w:val="Hyperlink"/>
          <w:sz w:val="14"/>
          <w:szCs w:val="14"/>
          <w:lang w:val="de-DE"/>
        </w:rPr>
        <w:t>LINK</w:t>
      </w:r>
    </w:hyperlink>
  </w:p>
  <w:p w14:paraId="00DE370F" w14:textId="77777777" w:rsidR="00C91283" w:rsidRPr="00C01532" w:rsidRDefault="00C91283" w:rsidP="00C91283">
    <w:pPr>
      <w:pStyle w:val="Footer"/>
      <w:rPr>
        <w:sz w:val="14"/>
        <w:szCs w:val="14"/>
        <w:lang w:val="de-DE"/>
      </w:rPr>
    </w:pPr>
    <w:r w:rsidRPr="00C01532">
      <w:rPr>
        <w:sz w:val="14"/>
        <w:szCs w:val="14"/>
        <w:lang w:val="de-DE"/>
      </w:rPr>
      <w:t xml:space="preserve">2 </w:t>
    </w:r>
    <w:r w:rsidRPr="00C01532">
      <w:rPr>
        <w:b/>
        <w:bCs/>
        <w:sz w:val="14"/>
        <w:szCs w:val="14"/>
        <w:lang w:val="de-DE"/>
      </w:rPr>
      <w:t xml:space="preserve">Bundesnetzagentur </w:t>
    </w:r>
    <w:r w:rsidRPr="00C01532">
      <w:rPr>
        <w:sz w:val="14"/>
        <w:szCs w:val="14"/>
        <w:lang w:val="de-DE"/>
      </w:rPr>
      <w:t xml:space="preserve">– Elektromobilität: öffentliche Ladeinfrastruktur - Das Ladesäulenregister der Bundesnetzagentur enthält 151.452 Normalladepunkte und 52.499 Schnellladepunkte, die am 1. Mai 2026 in Betrieb waren. An den Ladepunkten können gleichzeitig insgesamt 8,75 GW Ladeleistung bereitgestellt werden; </w:t>
    </w:r>
    <w:hyperlink r:id="rId2" w:history="1">
      <w:r w:rsidRPr="00C01532">
        <w:rPr>
          <w:rStyle w:val="Hyperlink"/>
          <w:sz w:val="14"/>
          <w:szCs w:val="14"/>
          <w:lang w:val="de-DE"/>
        </w:rPr>
        <w:t>LINK</w:t>
      </w:r>
    </w:hyperlink>
  </w:p>
  <w:p w14:paraId="67F2E5D5" w14:textId="77777777" w:rsidR="00C91283" w:rsidRPr="00900F67" w:rsidRDefault="00C91283" w:rsidP="00C91283">
    <w:pPr>
      <w:pStyle w:val="Footer"/>
      <w:jc w:val="center"/>
      <w:rPr>
        <w:b/>
        <w:bCs/>
        <w:sz w:val="16"/>
        <w:szCs w:val="16"/>
        <w:lang w:val="de-DE"/>
      </w:rPr>
    </w:pPr>
  </w:p>
  <w:p w14:paraId="6C67FCBC" w14:textId="77777777" w:rsidR="00C91283" w:rsidRPr="00900F67" w:rsidRDefault="00C91283" w:rsidP="00C91283">
    <w:pPr>
      <w:pStyle w:val="Footer"/>
      <w:jc w:val="center"/>
      <w:rPr>
        <w:b/>
        <w:bCs/>
        <w:sz w:val="16"/>
        <w:szCs w:val="16"/>
        <w:lang w:val="de-DE"/>
      </w:rPr>
    </w:pPr>
  </w:p>
  <w:p w14:paraId="6C57B43A" w14:textId="77777777" w:rsidR="00C91283" w:rsidRDefault="00C91283" w:rsidP="00C91283">
    <w:pPr>
      <w:pStyle w:val="Footer"/>
      <w:jc w:val="center"/>
      <w:rPr>
        <w:sz w:val="16"/>
        <w:szCs w:val="16"/>
        <w:lang w:val="de-DE"/>
      </w:rPr>
    </w:pPr>
    <w:r w:rsidRPr="00900F67">
      <w:rPr>
        <w:b/>
        <w:bCs/>
        <w:sz w:val="16"/>
        <w:szCs w:val="16"/>
        <w:lang w:val="de-DE"/>
      </w:rPr>
      <w:br/>
    </w:r>
    <w:proofErr w:type="spellStart"/>
    <w:r w:rsidRPr="00C91283">
      <w:rPr>
        <w:b/>
        <w:bCs/>
        <w:sz w:val="16"/>
        <w:szCs w:val="16"/>
        <w:lang w:val="de-DE"/>
      </w:rPr>
      <w:t>charGER</w:t>
    </w:r>
    <w:proofErr w:type="spellEnd"/>
    <w:r w:rsidRPr="00C91283">
      <w:rPr>
        <w:b/>
        <w:bCs/>
        <w:sz w:val="16"/>
        <w:szCs w:val="16"/>
        <w:lang w:val="de-DE"/>
      </w:rPr>
      <w:t xml:space="preserve"> e.V.  </w:t>
    </w:r>
    <w:r w:rsidRPr="00EB6926">
      <w:rPr>
        <w:b/>
        <w:bCs/>
        <w:sz w:val="16"/>
        <w:szCs w:val="16"/>
        <w:lang w:val="de-DE"/>
      </w:rPr>
      <w:t>| Ladeinfrastruktur für Deutschland</w:t>
    </w:r>
    <w:r w:rsidRPr="00EB6926">
      <w:rPr>
        <w:b/>
        <w:bCs/>
        <w:sz w:val="16"/>
        <w:szCs w:val="16"/>
        <w:lang w:val="de-DE"/>
      </w:rPr>
      <w:br/>
    </w:r>
    <w:r w:rsidRPr="00EB6926">
      <w:rPr>
        <w:sz w:val="16"/>
        <w:szCs w:val="16"/>
        <w:lang w:val="de-DE"/>
      </w:rPr>
      <w:t>Saarbrücker Straße 24, Haus B</w:t>
    </w:r>
    <w:r>
      <w:rPr>
        <w:sz w:val="16"/>
        <w:szCs w:val="16"/>
        <w:lang w:val="de-DE"/>
      </w:rPr>
      <w:t xml:space="preserve">, </w:t>
    </w:r>
    <w:r w:rsidRPr="00EB6926">
      <w:rPr>
        <w:sz w:val="16"/>
        <w:szCs w:val="16"/>
        <w:lang w:val="de-DE"/>
      </w:rPr>
      <w:t>10405 Berlin</w:t>
    </w:r>
  </w:p>
  <w:p w14:paraId="7BA9FFB1" w14:textId="77777777" w:rsidR="00C91283" w:rsidRPr="004E1B5E" w:rsidRDefault="00C91283" w:rsidP="00C91283">
    <w:pPr>
      <w:pStyle w:val="Footer"/>
      <w:jc w:val="center"/>
      <w:rPr>
        <w:b/>
        <w:bCs/>
        <w:sz w:val="16"/>
        <w:szCs w:val="16"/>
        <w:lang w:val="de-DE"/>
      </w:rPr>
    </w:pPr>
    <w:r w:rsidRPr="00A9609C">
      <w:rPr>
        <w:sz w:val="16"/>
        <w:szCs w:val="16"/>
        <w:lang w:val="de-DE"/>
      </w:rPr>
      <w:t>https://www.charger-verband.de</w:t>
    </w:r>
    <w:r>
      <w:rPr>
        <w:b/>
        <w:bCs/>
        <w:sz w:val="16"/>
        <w:szCs w:val="16"/>
        <w:lang w:val="de-DE"/>
      </w:rPr>
      <w:br/>
    </w:r>
    <w:r w:rsidRPr="004E1B5E">
      <w:rPr>
        <w:b/>
        <w:bCs/>
        <w:sz w:val="16"/>
        <w:szCs w:val="16"/>
        <w:lang w:val="de-DE"/>
      </w:rPr>
      <w:t xml:space="preserve">Seite </w:t>
    </w:r>
    <w:r w:rsidRPr="004E1B5E">
      <w:rPr>
        <w:b/>
        <w:bCs/>
        <w:sz w:val="16"/>
        <w:szCs w:val="16"/>
        <w:lang w:val="de-DE"/>
      </w:rPr>
      <w:fldChar w:fldCharType="begin"/>
    </w:r>
    <w:r w:rsidRPr="004E1B5E">
      <w:rPr>
        <w:b/>
        <w:bCs/>
        <w:sz w:val="16"/>
        <w:szCs w:val="16"/>
        <w:lang w:val="de-DE"/>
      </w:rPr>
      <w:instrText xml:space="preserve"> PAGE   \* MERGEFORMAT </w:instrText>
    </w:r>
    <w:r w:rsidRPr="004E1B5E">
      <w:rPr>
        <w:b/>
        <w:bCs/>
        <w:sz w:val="16"/>
        <w:szCs w:val="16"/>
        <w:lang w:val="de-DE"/>
      </w:rPr>
      <w:fldChar w:fldCharType="separate"/>
    </w:r>
    <w:r>
      <w:rPr>
        <w:b/>
        <w:bCs/>
        <w:sz w:val="16"/>
        <w:szCs w:val="16"/>
        <w:lang w:val="de-DE"/>
      </w:rPr>
      <w:t>2</w:t>
    </w:r>
    <w:r w:rsidRPr="004E1B5E">
      <w:rPr>
        <w:b/>
        <w:bCs/>
        <w:noProof/>
        <w:sz w:val="16"/>
        <w:szCs w:val="16"/>
        <w:lang w:val="de-DE"/>
      </w:rPr>
      <w:fldChar w:fldCharType="end"/>
    </w:r>
    <w:r w:rsidRPr="004E1B5E">
      <w:rPr>
        <w:b/>
        <w:bCs/>
        <w:noProof/>
        <w:sz w:val="16"/>
        <w:szCs w:val="16"/>
        <w:lang w:val="de-DE"/>
      </w:rPr>
      <w:t xml:space="preserve"> </w:t>
    </w:r>
    <w:r w:rsidRPr="004E1B5E">
      <w:rPr>
        <w:b/>
        <w:bCs/>
        <w:sz w:val="16"/>
        <w:szCs w:val="16"/>
        <w:lang w:val="de-DE"/>
      </w:rPr>
      <w:t xml:space="preserve">von </w:t>
    </w:r>
    <w:r w:rsidRPr="004E1B5E">
      <w:rPr>
        <w:b/>
        <w:bCs/>
        <w:sz w:val="16"/>
        <w:szCs w:val="16"/>
        <w:lang w:val="de-DE"/>
      </w:rPr>
      <w:fldChar w:fldCharType="begin"/>
    </w:r>
    <w:r w:rsidRPr="004E1B5E">
      <w:rPr>
        <w:b/>
        <w:bCs/>
        <w:sz w:val="16"/>
        <w:szCs w:val="16"/>
        <w:lang w:val="de-DE"/>
      </w:rPr>
      <w:instrText xml:space="preserve"> NUMPAGES   \* MERGEFORMAT </w:instrText>
    </w:r>
    <w:r w:rsidRPr="004E1B5E">
      <w:rPr>
        <w:b/>
        <w:bCs/>
        <w:sz w:val="16"/>
        <w:szCs w:val="16"/>
        <w:lang w:val="de-DE"/>
      </w:rPr>
      <w:fldChar w:fldCharType="separate"/>
    </w:r>
    <w:r>
      <w:rPr>
        <w:b/>
        <w:bCs/>
        <w:sz w:val="16"/>
        <w:szCs w:val="16"/>
        <w:lang w:val="de-DE"/>
      </w:rPr>
      <w:t>2</w:t>
    </w:r>
    <w:r w:rsidRPr="004E1B5E">
      <w:rPr>
        <w:b/>
        <w:bCs/>
        <w:sz w:val="16"/>
        <w:szCs w:val="16"/>
        <w:lang w:val="de-DE"/>
      </w:rPr>
      <w:fldChar w:fldCharType="end"/>
    </w:r>
  </w:p>
  <w:p w14:paraId="0057594E" w14:textId="77777777" w:rsidR="00C91283" w:rsidRPr="00C91283" w:rsidRDefault="00C91283">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95A13" w14:textId="77777777" w:rsidR="008705C2" w:rsidRDefault="008705C2" w:rsidP="004E1B5E">
      <w:pPr>
        <w:spacing w:after="0" w:line="240" w:lineRule="auto"/>
      </w:pPr>
      <w:r>
        <w:separator/>
      </w:r>
    </w:p>
  </w:footnote>
  <w:footnote w:type="continuationSeparator" w:id="0">
    <w:p w14:paraId="49B00B71" w14:textId="77777777" w:rsidR="008705C2" w:rsidRDefault="008705C2" w:rsidP="004E1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0963" w14:textId="34C7F9CC" w:rsidR="00E06E36" w:rsidRDefault="005E4CBC" w:rsidP="00E06E36">
    <w:pPr>
      <w:pStyle w:val="NormalWeb"/>
    </w:pPr>
    <w:r w:rsidRPr="005E4CBC">
      <w:rPr>
        <w:noProof/>
      </w:rPr>
      <w:drawing>
        <wp:anchor distT="0" distB="0" distL="114300" distR="114300" simplePos="0" relativeHeight="251658240" behindDoc="0" locked="0" layoutInCell="1" allowOverlap="1" wp14:anchorId="6E0A0F16" wp14:editId="0F2E7905">
          <wp:simplePos x="0" y="0"/>
          <wp:positionH relativeFrom="column">
            <wp:posOffset>5223510</wp:posOffset>
          </wp:positionH>
          <wp:positionV relativeFrom="paragraph">
            <wp:posOffset>113665</wp:posOffset>
          </wp:positionV>
          <wp:extent cx="1104900" cy="664384"/>
          <wp:effectExtent l="0" t="0" r="0" b="2540"/>
          <wp:wrapNone/>
          <wp:docPr id="2112713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13045" name=""/>
                  <pic:cNvPicPr/>
                </pic:nvPicPr>
                <pic:blipFill>
                  <a:blip r:embed="rId1">
                    <a:extLst>
                      <a:ext uri="{28A0092B-C50C-407E-A947-70E740481C1C}">
                        <a14:useLocalDpi xmlns:a14="http://schemas.microsoft.com/office/drawing/2010/main" val="0"/>
                      </a:ext>
                    </a:extLst>
                  </a:blip>
                  <a:stretch>
                    <a:fillRect/>
                  </a:stretch>
                </pic:blipFill>
                <pic:spPr>
                  <a:xfrm>
                    <a:off x="0" y="0"/>
                    <a:ext cx="1104900" cy="664384"/>
                  </a:xfrm>
                  <a:prstGeom prst="rect">
                    <a:avLst/>
                  </a:prstGeom>
                </pic:spPr>
              </pic:pic>
            </a:graphicData>
          </a:graphic>
          <wp14:sizeRelH relativeFrom="page">
            <wp14:pctWidth>0</wp14:pctWidth>
          </wp14:sizeRelH>
          <wp14:sizeRelV relativeFrom="page">
            <wp14:pctHeight>0</wp14:pctHeight>
          </wp14:sizeRelV>
        </wp:anchor>
      </w:drawing>
    </w:r>
  </w:p>
  <w:p w14:paraId="0ABF4E91" w14:textId="35B32610" w:rsidR="004E1B5E" w:rsidRDefault="004E1B5E">
    <w:pPr>
      <w:pStyle w:val="Header"/>
    </w:pPr>
  </w:p>
  <w:p w14:paraId="70656CD7" w14:textId="66BB9AE1" w:rsidR="004E1B5E" w:rsidRDefault="004E1B5E">
    <w:pPr>
      <w:pStyle w:val="Header"/>
    </w:pPr>
  </w:p>
  <w:tbl>
    <w:tblPr>
      <w:tblW w:w="0" w:type="auto"/>
      <w:tblLayout w:type="fixed"/>
      <w:tblLook w:val="06A0" w:firstRow="1" w:lastRow="0" w:firstColumn="1" w:lastColumn="0" w:noHBand="1" w:noVBand="1"/>
    </w:tblPr>
    <w:tblGrid>
      <w:gridCol w:w="3020"/>
      <w:gridCol w:w="3020"/>
      <w:gridCol w:w="3020"/>
      <w:gridCol w:w="3020"/>
    </w:tblGrid>
    <w:tr w:rsidR="00E06E36" w14:paraId="0B96D230" w14:textId="1EF2FAF8" w:rsidTr="00E06E36">
      <w:trPr>
        <w:trHeight w:val="300"/>
      </w:trPr>
      <w:tc>
        <w:tcPr>
          <w:tcW w:w="3020" w:type="dxa"/>
        </w:tcPr>
        <w:p w14:paraId="7CFA9480" w14:textId="77777777" w:rsidR="00E06E36" w:rsidRDefault="00E06E36" w:rsidP="00F46DD2">
          <w:pPr>
            <w:pStyle w:val="Header"/>
            <w:ind w:left="-115"/>
          </w:pPr>
        </w:p>
      </w:tc>
      <w:tc>
        <w:tcPr>
          <w:tcW w:w="3020" w:type="dxa"/>
        </w:tcPr>
        <w:p w14:paraId="341FDB53" w14:textId="4231F95D" w:rsidR="00E06E36" w:rsidRDefault="00E06E36" w:rsidP="00F46DD2">
          <w:pPr>
            <w:pStyle w:val="Header"/>
            <w:jc w:val="center"/>
          </w:pPr>
        </w:p>
      </w:tc>
      <w:tc>
        <w:tcPr>
          <w:tcW w:w="3020" w:type="dxa"/>
        </w:tcPr>
        <w:p w14:paraId="452DDD7D" w14:textId="3FB25181" w:rsidR="00E06E36" w:rsidRDefault="00E06E36" w:rsidP="00F46DD2">
          <w:pPr>
            <w:pStyle w:val="Header"/>
            <w:ind w:right="-115"/>
            <w:jc w:val="right"/>
          </w:pPr>
        </w:p>
      </w:tc>
      <w:tc>
        <w:tcPr>
          <w:tcW w:w="3020" w:type="dxa"/>
        </w:tcPr>
        <w:p w14:paraId="6A92B064" w14:textId="2A31F254" w:rsidR="00E06E36" w:rsidRDefault="00E06E36" w:rsidP="00F46DD2">
          <w:pPr>
            <w:pStyle w:val="Header"/>
            <w:ind w:right="-115"/>
            <w:jc w:val="right"/>
          </w:pPr>
        </w:p>
      </w:tc>
    </w:tr>
  </w:tbl>
  <w:p w14:paraId="620930EA" w14:textId="6B0832BC" w:rsidR="004E1B5E" w:rsidRDefault="004E1B5E">
    <w:pPr>
      <w:pStyle w:val="Header"/>
    </w:pPr>
  </w:p>
  <w:p w14:paraId="35157078" w14:textId="77777777" w:rsidR="00A927FB" w:rsidRDefault="00A92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674B" w14:textId="11BF992D" w:rsidR="00C91283" w:rsidRDefault="00C91283">
    <w:pPr>
      <w:pStyle w:val="Header"/>
    </w:pPr>
    <w:r w:rsidRPr="005E4CBC">
      <w:rPr>
        <w:noProof/>
      </w:rPr>
      <w:drawing>
        <wp:anchor distT="0" distB="0" distL="114300" distR="114300" simplePos="0" relativeHeight="251660288" behindDoc="0" locked="0" layoutInCell="1" allowOverlap="1" wp14:anchorId="0872EE56" wp14:editId="5B5EB317">
          <wp:simplePos x="0" y="0"/>
          <wp:positionH relativeFrom="column">
            <wp:posOffset>5216237</wp:posOffset>
          </wp:positionH>
          <wp:positionV relativeFrom="paragraph">
            <wp:posOffset>-32270</wp:posOffset>
          </wp:positionV>
          <wp:extent cx="1104900" cy="664384"/>
          <wp:effectExtent l="0" t="0" r="0" b="2540"/>
          <wp:wrapNone/>
          <wp:docPr id="1508997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13045" name=""/>
                  <pic:cNvPicPr/>
                </pic:nvPicPr>
                <pic:blipFill>
                  <a:blip r:embed="rId1">
                    <a:extLst>
                      <a:ext uri="{28A0092B-C50C-407E-A947-70E740481C1C}">
                        <a14:useLocalDpi xmlns:a14="http://schemas.microsoft.com/office/drawing/2010/main" val="0"/>
                      </a:ext>
                    </a:extLst>
                  </a:blip>
                  <a:stretch>
                    <a:fillRect/>
                  </a:stretch>
                </pic:blipFill>
                <pic:spPr>
                  <a:xfrm>
                    <a:off x="0" y="0"/>
                    <a:ext cx="1104900" cy="664384"/>
                  </a:xfrm>
                  <a:prstGeom prst="rect">
                    <a:avLst/>
                  </a:prstGeom>
                </pic:spPr>
              </pic:pic>
            </a:graphicData>
          </a:graphic>
          <wp14:sizeRelH relativeFrom="page">
            <wp14:pctWidth>0</wp14:pctWidth>
          </wp14:sizeRelH>
          <wp14:sizeRelV relativeFrom="page">
            <wp14:pctHeight>0</wp14:pctHeight>
          </wp14:sizeRelV>
        </wp:anchor>
      </w:drawing>
    </w:r>
  </w:p>
  <w:p w14:paraId="29E8B2D3" w14:textId="0E9709E4" w:rsidR="00C91283" w:rsidRDefault="00C91283">
    <w:pPr>
      <w:pStyle w:val="Header"/>
    </w:pPr>
  </w:p>
  <w:p w14:paraId="129A2B74" w14:textId="5583350C" w:rsidR="00C91283" w:rsidRDefault="00C91283">
    <w:pPr>
      <w:pStyle w:val="Header"/>
    </w:pPr>
  </w:p>
  <w:p w14:paraId="6D76A904" w14:textId="0BC080B0" w:rsidR="00C91283" w:rsidRDefault="00C91283">
    <w:pPr>
      <w:pStyle w:val="Header"/>
    </w:pPr>
  </w:p>
  <w:p w14:paraId="304392BD" w14:textId="5A9E9B7B" w:rsidR="00C91283" w:rsidRDefault="00C91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FAF"/>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11823"/>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6215F"/>
    <w:multiLevelType w:val="multilevel"/>
    <w:tmpl w:val="CDA8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67747"/>
    <w:multiLevelType w:val="hybridMultilevel"/>
    <w:tmpl w:val="54B4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91108"/>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67120"/>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8900FE"/>
    <w:multiLevelType w:val="multilevel"/>
    <w:tmpl w:val="8B62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810C7"/>
    <w:multiLevelType w:val="multilevel"/>
    <w:tmpl w:val="8BD4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3930FA"/>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D3223"/>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2304B"/>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DB48AE"/>
    <w:multiLevelType w:val="multilevel"/>
    <w:tmpl w:val="773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143038"/>
    <w:multiLevelType w:val="hybridMultilevel"/>
    <w:tmpl w:val="FEA49D08"/>
    <w:lvl w:ilvl="0" w:tplc="D85A8558">
      <w:numFmt w:val="bullet"/>
      <w:lvlText w:val="•"/>
      <w:lvlJc w:val="left"/>
      <w:pPr>
        <w:ind w:left="1080" w:hanging="72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6850695">
    <w:abstractNumId w:val="10"/>
  </w:num>
  <w:num w:numId="2" w16cid:durableId="341705434">
    <w:abstractNumId w:val="8"/>
  </w:num>
  <w:num w:numId="3" w16cid:durableId="552428513">
    <w:abstractNumId w:val="1"/>
  </w:num>
  <w:num w:numId="4" w16cid:durableId="610866729">
    <w:abstractNumId w:val="0"/>
  </w:num>
  <w:num w:numId="5" w16cid:durableId="1958560310">
    <w:abstractNumId w:val="11"/>
  </w:num>
  <w:num w:numId="6" w16cid:durableId="881600071">
    <w:abstractNumId w:val="9"/>
  </w:num>
  <w:num w:numId="7" w16cid:durableId="5251345">
    <w:abstractNumId w:val="4"/>
  </w:num>
  <w:num w:numId="8" w16cid:durableId="945573570">
    <w:abstractNumId w:val="5"/>
  </w:num>
  <w:num w:numId="9" w16cid:durableId="336229969">
    <w:abstractNumId w:val="6"/>
  </w:num>
  <w:num w:numId="10" w16cid:durableId="663507958">
    <w:abstractNumId w:val="7"/>
  </w:num>
  <w:num w:numId="11" w16cid:durableId="1400864536">
    <w:abstractNumId w:val="2"/>
  </w:num>
  <w:num w:numId="12" w16cid:durableId="453603285">
    <w:abstractNumId w:val="3"/>
  </w:num>
  <w:num w:numId="13" w16cid:durableId="2058703342">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5E"/>
    <w:rsid w:val="00000434"/>
    <w:rsid w:val="0001016B"/>
    <w:rsid w:val="00011505"/>
    <w:rsid w:val="00014A5B"/>
    <w:rsid w:val="000206F0"/>
    <w:rsid w:val="0002175B"/>
    <w:rsid w:val="000228BB"/>
    <w:rsid w:val="000234D9"/>
    <w:rsid w:val="00027168"/>
    <w:rsid w:val="00030D48"/>
    <w:rsid w:val="00032658"/>
    <w:rsid w:val="00034CD9"/>
    <w:rsid w:val="00036796"/>
    <w:rsid w:val="000406BC"/>
    <w:rsid w:val="00041E15"/>
    <w:rsid w:val="0004461D"/>
    <w:rsid w:val="000460E4"/>
    <w:rsid w:val="000472D6"/>
    <w:rsid w:val="00047D43"/>
    <w:rsid w:val="00053DAA"/>
    <w:rsid w:val="00054204"/>
    <w:rsid w:val="00054A46"/>
    <w:rsid w:val="000551C7"/>
    <w:rsid w:val="00057F97"/>
    <w:rsid w:val="00060092"/>
    <w:rsid w:val="000617FF"/>
    <w:rsid w:val="00063032"/>
    <w:rsid w:val="000637C4"/>
    <w:rsid w:val="000649B4"/>
    <w:rsid w:val="000655B5"/>
    <w:rsid w:val="000656E6"/>
    <w:rsid w:val="00065DF9"/>
    <w:rsid w:val="000661D0"/>
    <w:rsid w:val="00070D52"/>
    <w:rsid w:val="00072D68"/>
    <w:rsid w:val="00074BAE"/>
    <w:rsid w:val="00076157"/>
    <w:rsid w:val="000770F8"/>
    <w:rsid w:val="000804D8"/>
    <w:rsid w:val="000815E5"/>
    <w:rsid w:val="00081B5C"/>
    <w:rsid w:val="0008303D"/>
    <w:rsid w:val="000852C5"/>
    <w:rsid w:val="000860B5"/>
    <w:rsid w:val="000875B8"/>
    <w:rsid w:val="00090D46"/>
    <w:rsid w:val="00091266"/>
    <w:rsid w:val="00091C88"/>
    <w:rsid w:val="00093087"/>
    <w:rsid w:val="00093375"/>
    <w:rsid w:val="00096297"/>
    <w:rsid w:val="0009685A"/>
    <w:rsid w:val="00097DF4"/>
    <w:rsid w:val="000A04EC"/>
    <w:rsid w:val="000A0509"/>
    <w:rsid w:val="000A3980"/>
    <w:rsid w:val="000A4744"/>
    <w:rsid w:val="000A4CE0"/>
    <w:rsid w:val="000A61ED"/>
    <w:rsid w:val="000A6830"/>
    <w:rsid w:val="000B3AA0"/>
    <w:rsid w:val="000B3D1A"/>
    <w:rsid w:val="000B485E"/>
    <w:rsid w:val="000B70C5"/>
    <w:rsid w:val="000C3EB0"/>
    <w:rsid w:val="000C44A3"/>
    <w:rsid w:val="000C4F90"/>
    <w:rsid w:val="000C69E2"/>
    <w:rsid w:val="000C72B0"/>
    <w:rsid w:val="000D15D9"/>
    <w:rsid w:val="000D18D7"/>
    <w:rsid w:val="000D20C7"/>
    <w:rsid w:val="000D22D0"/>
    <w:rsid w:val="000D29CF"/>
    <w:rsid w:val="000D2C20"/>
    <w:rsid w:val="000D356A"/>
    <w:rsid w:val="000D5D12"/>
    <w:rsid w:val="000D6DEA"/>
    <w:rsid w:val="000D7AE0"/>
    <w:rsid w:val="000D7D08"/>
    <w:rsid w:val="000E00D4"/>
    <w:rsid w:val="000E029B"/>
    <w:rsid w:val="000E3D6D"/>
    <w:rsid w:val="000E4C95"/>
    <w:rsid w:val="000E79D4"/>
    <w:rsid w:val="000F341C"/>
    <w:rsid w:val="000F5D01"/>
    <w:rsid w:val="000F5D4B"/>
    <w:rsid w:val="0010526E"/>
    <w:rsid w:val="00105532"/>
    <w:rsid w:val="00110B56"/>
    <w:rsid w:val="00110FDA"/>
    <w:rsid w:val="00112A92"/>
    <w:rsid w:val="00112ADB"/>
    <w:rsid w:val="00112B4C"/>
    <w:rsid w:val="00112C23"/>
    <w:rsid w:val="00115CD0"/>
    <w:rsid w:val="001234DF"/>
    <w:rsid w:val="0012547C"/>
    <w:rsid w:val="001260D6"/>
    <w:rsid w:val="0012771F"/>
    <w:rsid w:val="00130669"/>
    <w:rsid w:val="001320A0"/>
    <w:rsid w:val="00134BD3"/>
    <w:rsid w:val="00135F1E"/>
    <w:rsid w:val="00143A03"/>
    <w:rsid w:val="0014670A"/>
    <w:rsid w:val="00153C83"/>
    <w:rsid w:val="00154883"/>
    <w:rsid w:val="001579E7"/>
    <w:rsid w:val="001635ED"/>
    <w:rsid w:val="0016424D"/>
    <w:rsid w:val="001708A4"/>
    <w:rsid w:val="00171F1A"/>
    <w:rsid w:val="00172E68"/>
    <w:rsid w:val="00173146"/>
    <w:rsid w:val="001739ED"/>
    <w:rsid w:val="00181A29"/>
    <w:rsid w:val="001860A2"/>
    <w:rsid w:val="001861D8"/>
    <w:rsid w:val="00190036"/>
    <w:rsid w:val="00191888"/>
    <w:rsid w:val="00192F01"/>
    <w:rsid w:val="00194027"/>
    <w:rsid w:val="0019418D"/>
    <w:rsid w:val="00194E2F"/>
    <w:rsid w:val="00195792"/>
    <w:rsid w:val="00196963"/>
    <w:rsid w:val="00197541"/>
    <w:rsid w:val="00197892"/>
    <w:rsid w:val="001A0BAA"/>
    <w:rsid w:val="001A181F"/>
    <w:rsid w:val="001A19E5"/>
    <w:rsid w:val="001A1F75"/>
    <w:rsid w:val="001A3009"/>
    <w:rsid w:val="001A5963"/>
    <w:rsid w:val="001A6EB6"/>
    <w:rsid w:val="001B0514"/>
    <w:rsid w:val="001B1001"/>
    <w:rsid w:val="001C255B"/>
    <w:rsid w:val="001C300C"/>
    <w:rsid w:val="001C4773"/>
    <w:rsid w:val="001C7D98"/>
    <w:rsid w:val="001C7FE5"/>
    <w:rsid w:val="001D28BA"/>
    <w:rsid w:val="001D2B08"/>
    <w:rsid w:val="001D49B9"/>
    <w:rsid w:val="001D55D4"/>
    <w:rsid w:val="001D7E29"/>
    <w:rsid w:val="001E4135"/>
    <w:rsid w:val="001E6282"/>
    <w:rsid w:val="001F118C"/>
    <w:rsid w:val="001F19E0"/>
    <w:rsid w:val="001F22C4"/>
    <w:rsid w:val="001F295D"/>
    <w:rsid w:val="001F2AAE"/>
    <w:rsid w:val="001F38BF"/>
    <w:rsid w:val="001F3E90"/>
    <w:rsid w:val="00202121"/>
    <w:rsid w:val="00203651"/>
    <w:rsid w:val="002048F7"/>
    <w:rsid w:val="00204945"/>
    <w:rsid w:val="00204D69"/>
    <w:rsid w:val="002052A5"/>
    <w:rsid w:val="0020748E"/>
    <w:rsid w:val="00207F2B"/>
    <w:rsid w:val="00210896"/>
    <w:rsid w:val="00210B77"/>
    <w:rsid w:val="00211228"/>
    <w:rsid w:val="00214117"/>
    <w:rsid w:val="00215393"/>
    <w:rsid w:val="00216924"/>
    <w:rsid w:val="002214B4"/>
    <w:rsid w:val="00221804"/>
    <w:rsid w:val="002226E0"/>
    <w:rsid w:val="00222899"/>
    <w:rsid w:val="00223FC8"/>
    <w:rsid w:val="002278F0"/>
    <w:rsid w:val="002324B4"/>
    <w:rsid w:val="00232595"/>
    <w:rsid w:val="002329F8"/>
    <w:rsid w:val="00233C16"/>
    <w:rsid w:val="002346BC"/>
    <w:rsid w:val="0023489E"/>
    <w:rsid w:val="00234D26"/>
    <w:rsid w:val="00234FE2"/>
    <w:rsid w:val="002353E5"/>
    <w:rsid w:val="00235C98"/>
    <w:rsid w:val="00236EC4"/>
    <w:rsid w:val="0024436C"/>
    <w:rsid w:val="0024459B"/>
    <w:rsid w:val="00247C15"/>
    <w:rsid w:val="00247DF8"/>
    <w:rsid w:val="00252327"/>
    <w:rsid w:val="00252B1E"/>
    <w:rsid w:val="002549E3"/>
    <w:rsid w:val="002555AC"/>
    <w:rsid w:val="00262A1A"/>
    <w:rsid w:val="00262C2B"/>
    <w:rsid w:val="00264FAE"/>
    <w:rsid w:val="00265565"/>
    <w:rsid w:val="00266762"/>
    <w:rsid w:val="00266F44"/>
    <w:rsid w:val="00267658"/>
    <w:rsid w:val="00267E1C"/>
    <w:rsid w:val="00270DF2"/>
    <w:rsid w:val="00273A2D"/>
    <w:rsid w:val="00273B00"/>
    <w:rsid w:val="00274044"/>
    <w:rsid w:val="00276F34"/>
    <w:rsid w:val="00277C1D"/>
    <w:rsid w:val="002827B2"/>
    <w:rsid w:val="00282BC8"/>
    <w:rsid w:val="002840CB"/>
    <w:rsid w:val="002851FB"/>
    <w:rsid w:val="00285554"/>
    <w:rsid w:val="002928C9"/>
    <w:rsid w:val="00292E59"/>
    <w:rsid w:val="00292E7E"/>
    <w:rsid w:val="00293F1F"/>
    <w:rsid w:val="00294292"/>
    <w:rsid w:val="002950CF"/>
    <w:rsid w:val="002A1526"/>
    <w:rsid w:val="002A3A0F"/>
    <w:rsid w:val="002A3AC1"/>
    <w:rsid w:val="002A50A6"/>
    <w:rsid w:val="002A5833"/>
    <w:rsid w:val="002A61F4"/>
    <w:rsid w:val="002B47B3"/>
    <w:rsid w:val="002B498B"/>
    <w:rsid w:val="002B5F1D"/>
    <w:rsid w:val="002B64A2"/>
    <w:rsid w:val="002C0BD0"/>
    <w:rsid w:val="002C13A8"/>
    <w:rsid w:val="002C2418"/>
    <w:rsid w:val="002C43BB"/>
    <w:rsid w:val="002C54D6"/>
    <w:rsid w:val="002C74E4"/>
    <w:rsid w:val="002D1034"/>
    <w:rsid w:val="002D2460"/>
    <w:rsid w:val="002D27BE"/>
    <w:rsid w:val="002D5766"/>
    <w:rsid w:val="002D615C"/>
    <w:rsid w:val="002D61C6"/>
    <w:rsid w:val="002D7557"/>
    <w:rsid w:val="002D771F"/>
    <w:rsid w:val="002D792E"/>
    <w:rsid w:val="002D79C3"/>
    <w:rsid w:val="002E152B"/>
    <w:rsid w:val="002E4373"/>
    <w:rsid w:val="002E4A9E"/>
    <w:rsid w:val="002E5194"/>
    <w:rsid w:val="002E545C"/>
    <w:rsid w:val="002E641D"/>
    <w:rsid w:val="002E64DB"/>
    <w:rsid w:val="002E7493"/>
    <w:rsid w:val="002F1921"/>
    <w:rsid w:val="002F235A"/>
    <w:rsid w:val="002F279A"/>
    <w:rsid w:val="002F3990"/>
    <w:rsid w:val="002F3E63"/>
    <w:rsid w:val="003004C8"/>
    <w:rsid w:val="003011C5"/>
    <w:rsid w:val="00301BC6"/>
    <w:rsid w:val="00303FD9"/>
    <w:rsid w:val="00304577"/>
    <w:rsid w:val="00306976"/>
    <w:rsid w:val="00307622"/>
    <w:rsid w:val="003111E0"/>
    <w:rsid w:val="003137FD"/>
    <w:rsid w:val="00315F1A"/>
    <w:rsid w:val="00317266"/>
    <w:rsid w:val="00317C0E"/>
    <w:rsid w:val="003202E5"/>
    <w:rsid w:val="0032074C"/>
    <w:rsid w:val="0032093F"/>
    <w:rsid w:val="00332974"/>
    <w:rsid w:val="003369C0"/>
    <w:rsid w:val="00340597"/>
    <w:rsid w:val="00343A2A"/>
    <w:rsid w:val="00343B96"/>
    <w:rsid w:val="00346236"/>
    <w:rsid w:val="00346F07"/>
    <w:rsid w:val="0034730C"/>
    <w:rsid w:val="003507E7"/>
    <w:rsid w:val="00351B1C"/>
    <w:rsid w:val="00352976"/>
    <w:rsid w:val="0035556B"/>
    <w:rsid w:val="0036154A"/>
    <w:rsid w:val="00361D7B"/>
    <w:rsid w:val="00361FEE"/>
    <w:rsid w:val="00362FFF"/>
    <w:rsid w:val="00364DC5"/>
    <w:rsid w:val="00365AC4"/>
    <w:rsid w:val="00367414"/>
    <w:rsid w:val="00370027"/>
    <w:rsid w:val="003708CD"/>
    <w:rsid w:val="00371C79"/>
    <w:rsid w:val="00372893"/>
    <w:rsid w:val="00373A68"/>
    <w:rsid w:val="003757A1"/>
    <w:rsid w:val="00375A9E"/>
    <w:rsid w:val="00380CF3"/>
    <w:rsid w:val="00381953"/>
    <w:rsid w:val="00382171"/>
    <w:rsid w:val="00382921"/>
    <w:rsid w:val="00382B1D"/>
    <w:rsid w:val="0038527C"/>
    <w:rsid w:val="00386017"/>
    <w:rsid w:val="00387582"/>
    <w:rsid w:val="00390C17"/>
    <w:rsid w:val="00392122"/>
    <w:rsid w:val="00392726"/>
    <w:rsid w:val="00394098"/>
    <w:rsid w:val="00395CA9"/>
    <w:rsid w:val="003967EB"/>
    <w:rsid w:val="00396885"/>
    <w:rsid w:val="0039726C"/>
    <w:rsid w:val="003A1B41"/>
    <w:rsid w:val="003A3B0B"/>
    <w:rsid w:val="003A47DF"/>
    <w:rsid w:val="003A6B9D"/>
    <w:rsid w:val="003B3164"/>
    <w:rsid w:val="003B5187"/>
    <w:rsid w:val="003B5CF6"/>
    <w:rsid w:val="003C0CE4"/>
    <w:rsid w:val="003C2B88"/>
    <w:rsid w:val="003C6B18"/>
    <w:rsid w:val="003C6C81"/>
    <w:rsid w:val="003C6FE8"/>
    <w:rsid w:val="003D0EC1"/>
    <w:rsid w:val="003D538B"/>
    <w:rsid w:val="003D5462"/>
    <w:rsid w:val="003E0B5A"/>
    <w:rsid w:val="003E147A"/>
    <w:rsid w:val="003E183D"/>
    <w:rsid w:val="003E3052"/>
    <w:rsid w:val="003E3956"/>
    <w:rsid w:val="003E3E18"/>
    <w:rsid w:val="003E55D6"/>
    <w:rsid w:val="003E7291"/>
    <w:rsid w:val="003F05BF"/>
    <w:rsid w:val="003F31EC"/>
    <w:rsid w:val="003F3835"/>
    <w:rsid w:val="003F5696"/>
    <w:rsid w:val="003F6812"/>
    <w:rsid w:val="003F7E38"/>
    <w:rsid w:val="00401127"/>
    <w:rsid w:val="00401B0F"/>
    <w:rsid w:val="00403A19"/>
    <w:rsid w:val="00403DC6"/>
    <w:rsid w:val="0040495C"/>
    <w:rsid w:val="00406A5A"/>
    <w:rsid w:val="00406BA3"/>
    <w:rsid w:val="004075B7"/>
    <w:rsid w:val="00407813"/>
    <w:rsid w:val="00412E52"/>
    <w:rsid w:val="004147DA"/>
    <w:rsid w:val="00415151"/>
    <w:rsid w:val="00415907"/>
    <w:rsid w:val="00416750"/>
    <w:rsid w:val="004177FA"/>
    <w:rsid w:val="00417E94"/>
    <w:rsid w:val="00417EA5"/>
    <w:rsid w:val="00420BB8"/>
    <w:rsid w:val="004210F3"/>
    <w:rsid w:val="00422A97"/>
    <w:rsid w:val="0042492A"/>
    <w:rsid w:val="00424D96"/>
    <w:rsid w:val="00426978"/>
    <w:rsid w:val="004269A3"/>
    <w:rsid w:val="0042784A"/>
    <w:rsid w:val="004314EC"/>
    <w:rsid w:val="004411BF"/>
    <w:rsid w:val="00441965"/>
    <w:rsid w:val="00441F57"/>
    <w:rsid w:val="0044295D"/>
    <w:rsid w:val="00442D12"/>
    <w:rsid w:val="004438A4"/>
    <w:rsid w:val="00444CB5"/>
    <w:rsid w:val="00446B9A"/>
    <w:rsid w:val="00450002"/>
    <w:rsid w:val="00450EC0"/>
    <w:rsid w:val="00454A94"/>
    <w:rsid w:val="004555A4"/>
    <w:rsid w:val="00460120"/>
    <w:rsid w:val="00461DBF"/>
    <w:rsid w:val="00465524"/>
    <w:rsid w:val="004660DD"/>
    <w:rsid w:val="00473031"/>
    <w:rsid w:val="004730CA"/>
    <w:rsid w:val="004749DC"/>
    <w:rsid w:val="00474F5B"/>
    <w:rsid w:val="00475883"/>
    <w:rsid w:val="00480946"/>
    <w:rsid w:val="00481AEB"/>
    <w:rsid w:val="004828D8"/>
    <w:rsid w:val="0048356D"/>
    <w:rsid w:val="0048441D"/>
    <w:rsid w:val="00485A08"/>
    <w:rsid w:val="004860F1"/>
    <w:rsid w:val="00486FE4"/>
    <w:rsid w:val="0048721B"/>
    <w:rsid w:val="004918CC"/>
    <w:rsid w:val="004950FE"/>
    <w:rsid w:val="00496771"/>
    <w:rsid w:val="004A1E63"/>
    <w:rsid w:val="004A22EC"/>
    <w:rsid w:val="004A354E"/>
    <w:rsid w:val="004A4FE1"/>
    <w:rsid w:val="004A634C"/>
    <w:rsid w:val="004B4F90"/>
    <w:rsid w:val="004B5935"/>
    <w:rsid w:val="004B6D87"/>
    <w:rsid w:val="004C0FC7"/>
    <w:rsid w:val="004C0FEC"/>
    <w:rsid w:val="004C2548"/>
    <w:rsid w:val="004C29FD"/>
    <w:rsid w:val="004C5462"/>
    <w:rsid w:val="004D07D8"/>
    <w:rsid w:val="004D15E1"/>
    <w:rsid w:val="004D35E1"/>
    <w:rsid w:val="004D5712"/>
    <w:rsid w:val="004D7314"/>
    <w:rsid w:val="004D787D"/>
    <w:rsid w:val="004E0082"/>
    <w:rsid w:val="004E03C7"/>
    <w:rsid w:val="004E12F0"/>
    <w:rsid w:val="004E1A99"/>
    <w:rsid w:val="004E1B5E"/>
    <w:rsid w:val="004E2D6A"/>
    <w:rsid w:val="004E3F07"/>
    <w:rsid w:val="004E4EB5"/>
    <w:rsid w:val="004E7A71"/>
    <w:rsid w:val="004F18E3"/>
    <w:rsid w:val="004F34D2"/>
    <w:rsid w:val="004F74F1"/>
    <w:rsid w:val="004F7D5A"/>
    <w:rsid w:val="005005E1"/>
    <w:rsid w:val="00501256"/>
    <w:rsid w:val="005026AF"/>
    <w:rsid w:val="00503E84"/>
    <w:rsid w:val="0050403E"/>
    <w:rsid w:val="00510BB0"/>
    <w:rsid w:val="00511431"/>
    <w:rsid w:val="005159A4"/>
    <w:rsid w:val="00515B3E"/>
    <w:rsid w:val="005203AE"/>
    <w:rsid w:val="005215BA"/>
    <w:rsid w:val="0052299E"/>
    <w:rsid w:val="005232C1"/>
    <w:rsid w:val="005272F2"/>
    <w:rsid w:val="00530001"/>
    <w:rsid w:val="00530320"/>
    <w:rsid w:val="00530C3E"/>
    <w:rsid w:val="0053324D"/>
    <w:rsid w:val="005336A0"/>
    <w:rsid w:val="00535C01"/>
    <w:rsid w:val="00537CB0"/>
    <w:rsid w:val="00540CDC"/>
    <w:rsid w:val="0054462E"/>
    <w:rsid w:val="005479F4"/>
    <w:rsid w:val="00552E48"/>
    <w:rsid w:val="00555632"/>
    <w:rsid w:val="00556570"/>
    <w:rsid w:val="00556991"/>
    <w:rsid w:val="00557778"/>
    <w:rsid w:val="00557B5F"/>
    <w:rsid w:val="00561F14"/>
    <w:rsid w:val="00563B84"/>
    <w:rsid w:val="00563C56"/>
    <w:rsid w:val="0056629E"/>
    <w:rsid w:val="005669E8"/>
    <w:rsid w:val="00567182"/>
    <w:rsid w:val="00571BE9"/>
    <w:rsid w:val="00574554"/>
    <w:rsid w:val="00574BE7"/>
    <w:rsid w:val="005751AF"/>
    <w:rsid w:val="0058372B"/>
    <w:rsid w:val="00583DC1"/>
    <w:rsid w:val="00584AAB"/>
    <w:rsid w:val="005861DE"/>
    <w:rsid w:val="005863A6"/>
    <w:rsid w:val="005902B3"/>
    <w:rsid w:val="0059357B"/>
    <w:rsid w:val="00594C2A"/>
    <w:rsid w:val="00594D91"/>
    <w:rsid w:val="00594D95"/>
    <w:rsid w:val="00595C2A"/>
    <w:rsid w:val="00597DAE"/>
    <w:rsid w:val="005A2A09"/>
    <w:rsid w:val="005A7452"/>
    <w:rsid w:val="005A7672"/>
    <w:rsid w:val="005B02CA"/>
    <w:rsid w:val="005B036F"/>
    <w:rsid w:val="005B23B9"/>
    <w:rsid w:val="005B2685"/>
    <w:rsid w:val="005B273D"/>
    <w:rsid w:val="005B28DE"/>
    <w:rsid w:val="005B3492"/>
    <w:rsid w:val="005B603F"/>
    <w:rsid w:val="005B6142"/>
    <w:rsid w:val="005B7984"/>
    <w:rsid w:val="005C2B0B"/>
    <w:rsid w:val="005C3CC9"/>
    <w:rsid w:val="005C53F1"/>
    <w:rsid w:val="005C614E"/>
    <w:rsid w:val="005C6D2F"/>
    <w:rsid w:val="005D7C84"/>
    <w:rsid w:val="005D7F71"/>
    <w:rsid w:val="005E075D"/>
    <w:rsid w:val="005E2D89"/>
    <w:rsid w:val="005E3747"/>
    <w:rsid w:val="005E4CBC"/>
    <w:rsid w:val="005E5233"/>
    <w:rsid w:val="005E54DB"/>
    <w:rsid w:val="005F1117"/>
    <w:rsid w:val="005F2045"/>
    <w:rsid w:val="005F31CC"/>
    <w:rsid w:val="005F3BC8"/>
    <w:rsid w:val="006006A3"/>
    <w:rsid w:val="00601485"/>
    <w:rsid w:val="00604696"/>
    <w:rsid w:val="00604B1B"/>
    <w:rsid w:val="00604BCC"/>
    <w:rsid w:val="00604F3D"/>
    <w:rsid w:val="006061B1"/>
    <w:rsid w:val="00606B35"/>
    <w:rsid w:val="006074F1"/>
    <w:rsid w:val="00611BBB"/>
    <w:rsid w:val="00612B31"/>
    <w:rsid w:val="00612C87"/>
    <w:rsid w:val="00622358"/>
    <w:rsid w:val="00623FF5"/>
    <w:rsid w:val="00624BAD"/>
    <w:rsid w:val="00624E1D"/>
    <w:rsid w:val="00626157"/>
    <w:rsid w:val="00632E18"/>
    <w:rsid w:val="00633874"/>
    <w:rsid w:val="006343AB"/>
    <w:rsid w:val="006347E8"/>
    <w:rsid w:val="006349FA"/>
    <w:rsid w:val="00634D6E"/>
    <w:rsid w:val="00636687"/>
    <w:rsid w:val="0064511D"/>
    <w:rsid w:val="00647F63"/>
    <w:rsid w:val="006522A3"/>
    <w:rsid w:val="00653408"/>
    <w:rsid w:val="00655AD4"/>
    <w:rsid w:val="0065675A"/>
    <w:rsid w:val="0066124D"/>
    <w:rsid w:val="006612AD"/>
    <w:rsid w:val="00662819"/>
    <w:rsid w:val="006631EF"/>
    <w:rsid w:val="00670646"/>
    <w:rsid w:val="0067120C"/>
    <w:rsid w:val="00672E99"/>
    <w:rsid w:val="00673146"/>
    <w:rsid w:val="0068205D"/>
    <w:rsid w:val="00683358"/>
    <w:rsid w:val="006836C6"/>
    <w:rsid w:val="00684384"/>
    <w:rsid w:val="006906A7"/>
    <w:rsid w:val="0069118E"/>
    <w:rsid w:val="006953BF"/>
    <w:rsid w:val="00695872"/>
    <w:rsid w:val="006973B5"/>
    <w:rsid w:val="006A0935"/>
    <w:rsid w:val="006A2900"/>
    <w:rsid w:val="006A3462"/>
    <w:rsid w:val="006A4F1C"/>
    <w:rsid w:val="006A59BF"/>
    <w:rsid w:val="006B1D35"/>
    <w:rsid w:val="006B2EE5"/>
    <w:rsid w:val="006B3B1E"/>
    <w:rsid w:val="006B514C"/>
    <w:rsid w:val="006C0BD9"/>
    <w:rsid w:val="006C1197"/>
    <w:rsid w:val="006C14D9"/>
    <w:rsid w:val="006C2A61"/>
    <w:rsid w:val="006C3813"/>
    <w:rsid w:val="006D14F6"/>
    <w:rsid w:val="006D4D47"/>
    <w:rsid w:val="006D6387"/>
    <w:rsid w:val="006E0E5B"/>
    <w:rsid w:val="006E21F4"/>
    <w:rsid w:val="006E2D87"/>
    <w:rsid w:val="006E31F3"/>
    <w:rsid w:val="006E5102"/>
    <w:rsid w:val="006E6952"/>
    <w:rsid w:val="006F1CED"/>
    <w:rsid w:val="006F4610"/>
    <w:rsid w:val="006F51EF"/>
    <w:rsid w:val="007030F2"/>
    <w:rsid w:val="00703B65"/>
    <w:rsid w:val="00705706"/>
    <w:rsid w:val="007065D2"/>
    <w:rsid w:val="00707EB8"/>
    <w:rsid w:val="00710F0B"/>
    <w:rsid w:val="007113BA"/>
    <w:rsid w:val="007113D4"/>
    <w:rsid w:val="0071636A"/>
    <w:rsid w:val="00716B9B"/>
    <w:rsid w:val="007227EB"/>
    <w:rsid w:val="00723142"/>
    <w:rsid w:val="00726389"/>
    <w:rsid w:val="00726CCC"/>
    <w:rsid w:val="007271A5"/>
    <w:rsid w:val="00727C21"/>
    <w:rsid w:val="00730F64"/>
    <w:rsid w:val="00734E01"/>
    <w:rsid w:val="007369B7"/>
    <w:rsid w:val="00736E69"/>
    <w:rsid w:val="0074202C"/>
    <w:rsid w:val="00745D3D"/>
    <w:rsid w:val="0074735E"/>
    <w:rsid w:val="00747E70"/>
    <w:rsid w:val="0075327C"/>
    <w:rsid w:val="0075405C"/>
    <w:rsid w:val="00754770"/>
    <w:rsid w:val="00754B14"/>
    <w:rsid w:val="00757AE2"/>
    <w:rsid w:val="00757FF1"/>
    <w:rsid w:val="00760206"/>
    <w:rsid w:val="0076139A"/>
    <w:rsid w:val="00762384"/>
    <w:rsid w:val="00763EFD"/>
    <w:rsid w:val="007641C4"/>
    <w:rsid w:val="007643C4"/>
    <w:rsid w:val="0076544E"/>
    <w:rsid w:val="00766052"/>
    <w:rsid w:val="00766193"/>
    <w:rsid w:val="00766E22"/>
    <w:rsid w:val="00767EA2"/>
    <w:rsid w:val="0077153A"/>
    <w:rsid w:val="00775D2F"/>
    <w:rsid w:val="007769D7"/>
    <w:rsid w:val="007778F8"/>
    <w:rsid w:val="007817D1"/>
    <w:rsid w:val="00783674"/>
    <w:rsid w:val="00783685"/>
    <w:rsid w:val="007855A7"/>
    <w:rsid w:val="00791F54"/>
    <w:rsid w:val="00792701"/>
    <w:rsid w:val="007933AB"/>
    <w:rsid w:val="00793920"/>
    <w:rsid w:val="00793D8A"/>
    <w:rsid w:val="0079524E"/>
    <w:rsid w:val="00796A41"/>
    <w:rsid w:val="00796CA9"/>
    <w:rsid w:val="007A1E35"/>
    <w:rsid w:val="007A2346"/>
    <w:rsid w:val="007A4602"/>
    <w:rsid w:val="007A7EB4"/>
    <w:rsid w:val="007B444F"/>
    <w:rsid w:val="007C0906"/>
    <w:rsid w:val="007C13DF"/>
    <w:rsid w:val="007C229C"/>
    <w:rsid w:val="007C2929"/>
    <w:rsid w:val="007C5912"/>
    <w:rsid w:val="007C5DE3"/>
    <w:rsid w:val="007C7504"/>
    <w:rsid w:val="007D09C8"/>
    <w:rsid w:val="007D23C3"/>
    <w:rsid w:val="007D3B05"/>
    <w:rsid w:val="007D3C24"/>
    <w:rsid w:val="007D4326"/>
    <w:rsid w:val="007D5B94"/>
    <w:rsid w:val="007D60A7"/>
    <w:rsid w:val="007D75CF"/>
    <w:rsid w:val="007E07B4"/>
    <w:rsid w:val="007E1E61"/>
    <w:rsid w:val="007E5BAB"/>
    <w:rsid w:val="007E5CE2"/>
    <w:rsid w:val="007F07E7"/>
    <w:rsid w:val="007F14B6"/>
    <w:rsid w:val="007F28CD"/>
    <w:rsid w:val="007F29FD"/>
    <w:rsid w:val="007F344A"/>
    <w:rsid w:val="007F412F"/>
    <w:rsid w:val="00802BE2"/>
    <w:rsid w:val="0080764A"/>
    <w:rsid w:val="00810AD2"/>
    <w:rsid w:val="00810B17"/>
    <w:rsid w:val="00812FD3"/>
    <w:rsid w:val="00815A3D"/>
    <w:rsid w:val="00816CA5"/>
    <w:rsid w:val="00825064"/>
    <w:rsid w:val="00827E73"/>
    <w:rsid w:val="0083003D"/>
    <w:rsid w:val="008342CB"/>
    <w:rsid w:val="00834C89"/>
    <w:rsid w:val="00845F1E"/>
    <w:rsid w:val="00846E1F"/>
    <w:rsid w:val="0084735E"/>
    <w:rsid w:val="00852FC2"/>
    <w:rsid w:val="00853F7C"/>
    <w:rsid w:val="0085493F"/>
    <w:rsid w:val="00856FC4"/>
    <w:rsid w:val="0085709B"/>
    <w:rsid w:val="0086197A"/>
    <w:rsid w:val="00864745"/>
    <w:rsid w:val="00865082"/>
    <w:rsid w:val="00865F93"/>
    <w:rsid w:val="008705C2"/>
    <w:rsid w:val="00874ABC"/>
    <w:rsid w:val="00875F36"/>
    <w:rsid w:val="00881509"/>
    <w:rsid w:val="0088256C"/>
    <w:rsid w:val="00885CC4"/>
    <w:rsid w:val="00886150"/>
    <w:rsid w:val="00887774"/>
    <w:rsid w:val="00887DA9"/>
    <w:rsid w:val="00890327"/>
    <w:rsid w:val="00890675"/>
    <w:rsid w:val="008912D9"/>
    <w:rsid w:val="008961F1"/>
    <w:rsid w:val="008A0F18"/>
    <w:rsid w:val="008A3C06"/>
    <w:rsid w:val="008A46C3"/>
    <w:rsid w:val="008B0B44"/>
    <w:rsid w:val="008B1EF3"/>
    <w:rsid w:val="008B4BAD"/>
    <w:rsid w:val="008B511D"/>
    <w:rsid w:val="008B54FC"/>
    <w:rsid w:val="008B66AC"/>
    <w:rsid w:val="008C2826"/>
    <w:rsid w:val="008C3396"/>
    <w:rsid w:val="008C5DD9"/>
    <w:rsid w:val="008C661E"/>
    <w:rsid w:val="008C70D1"/>
    <w:rsid w:val="008D31D2"/>
    <w:rsid w:val="008D36C8"/>
    <w:rsid w:val="008D434E"/>
    <w:rsid w:val="008D455A"/>
    <w:rsid w:val="008D5C88"/>
    <w:rsid w:val="008D5DB6"/>
    <w:rsid w:val="008D7DD3"/>
    <w:rsid w:val="008D7E05"/>
    <w:rsid w:val="008E0F92"/>
    <w:rsid w:val="008E4E37"/>
    <w:rsid w:val="008E6395"/>
    <w:rsid w:val="008F22C0"/>
    <w:rsid w:val="008F2686"/>
    <w:rsid w:val="008F2B65"/>
    <w:rsid w:val="008F349F"/>
    <w:rsid w:val="008F5483"/>
    <w:rsid w:val="00900F67"/>
    <w:rsid w:val="00901A1B"/>
    <w:rsid w:val="0090336F"/>
    <w:rsid w:val="00905CF5"/>
    <w:rsid w:val="00905FA1"/>
    <w:rsid w:val="00910165"/>
    <w:rsid w:val="009133C2"/>
    <w:rsid w:val="0091472A"/>
    <w:rsid w:val="00915B35"/>
    <w:rsid w:val="0091752E"/>
    <w:rsid w:val="009213BD"/>
    <w:rsid w:val="009228CD"/>
    <w:rsid w:val="00924A4D"/>
    <w:rsid w:val="00925FE6"/>
    <w:rsid w:val="009268BB"/>
    <w:rsid w:val="00927589"/>
    <w:rsid w:val="00930EFC"/>
    <w:rsid w:val="00930F36"/>
    <w:rsid w:val="009342BF"/>
    <w:rsid w:val="00937152"/>
    <w:rsid w:val="009373E8"/>
    <w:rsid w:val="00937609"/>
    <w:rsid w:val="00937C01"/>
    <w:rsid w:val="0094155A"/>
    <w:rsid w:val="00941838"/>
    <w:rsid w:val="00941C54"/>
    <w:rsid w:val="00942A4B"/>
    <w:rsid w:val="009433CF"/>
    <w:rsid w:val="00944B5B"/>
    <w:rsid w:val="00947A26"/>
    <w:rsid w:val="00950AA4"/>
    <w:rsid w:val="00950E29"/>
    <w:rsid w:val="009544E0"/>
    <w:rsid w:val="00955F74"/>
    <w:rsid w:val="00956078"/>
    <w:rsid w:val="00961748"/>
    <w:rsid w:val="00962507"/>
    <w:rsid w:val="00962B5C"/>
    <w:rsid w:val="00963852"/>
    <w:rsid w:val="0096520D"/>
    <w:rsid w:val="0096614C"/>
    <w:rsid w:val="009661BF"/>
    <w:rsid w:val="00970A5D"/>
    <w:rsid w:val="00974130"/>
    <w:rsid w:val="0097642C"/>
    <w:rsid w:val="009835BC"/>
    <w:rsid w:val="00983A1D"/>
    <w:rsid w:val="009841E7"/>
    <w:rsid w:val="00984465"/>
    <w:rsid w:val="00987046"/>
    <w:rsid w:val="009872AE"/>
    <w:rsid w:val="009913B6"/>
    <w:rsid w:val="0099268C"/>
    <w:rsid w:val="00992A93"/>
    <w:rsid w:val="00993CB7"/>
    <w:rsid w:val="00994024"/>
    <w:rsid w:val="009956EF"/>
    <w:rsid w:val="00996529"/>
    <w:rsid w:val="009A0FE2"/>
    <w:rsid w:val="009A1B4D"/>
    <w:rsid w:val="009A3D6A"/>
    <w:rsid w:val="009A4DF9"/>
    <w:rsid w:val="009A5A21"/>
    <w:rsid w:val="009A5AD9"/>
    <w:rsid w:val="009A7988"/>
    <w:rsid w:val="009A7A09"/>
    <w:rsid w:val="009B0259"/>
    <w:rsid w:val="009B12B9"/>
    <w:rsid w:val="009B4236"/>
    <w:rsid w:val="009B4778"/>
    <w:rsid w:val="009B49B2"/>
    <w:rsid w:val="009B5AC3"/>
    <w:rsid w:val="009B6219"/>
    <w:rsid w:val="009C0253"/>
    <w:rsid w:val="009C14CD"/>
    <w:rsid w:val="009C3EE1"/>
    <w:rsid w:val="009C50DB"/>
    <w:rsid w:val="009C5130"/>
    <w:rsid w:val="009C7123"/>
    <w:rsid w:val="009D0D02"/>
    <w:rsid w:val="009D118C"/>
    <w:rsid w:val="009D16D6"/>
    <w:rsid w:val="009D29DB"/>
    <w:rsid w:val="009D3852"/>
    <w:rsid w:val="009D3E4E"/>
    <w:rsid w:val="009D67B6"/>
    <w:rsid w:val="009D6FAC"/>
    <w:rsid w:val="009D73DF"/>
    <w:rsid w:val="009E0AAC"/>
    <w:rsid w:val="009E20DD"/>
    <w:rsid w:val="009E4D8D"/>
    <w:rsid w:val="009E7AEE"/>
    <w:rsid w:val="009F1A8E"/>
    <w:rsid w:val="009F230B"/>
    <w:rsid w:val="009F3F0B"/>
    <w:rsid w:val="009F49D5"/>
    <w:rsid w:val="009F4E12"/>
    <w:rsid w:val="00A010D7"/>
    <w:rsid w:val="00A02B41"/>
    <w:rsid w:val="00A040A3"/>
    <w:rsid w:val="00A055E1"/>
    <w:rsid w:val="00A10035"/>
    <w:rsid w:val="00A11EDB"/>
    <w:rsid w:val="00A16452"/>
    <w:rsid w:val="00A21160"/>
    <w:rsid w:val="00A22043"/>
    <w:rsid w:val="00A259A4"/>
    <w:rsid w:val="00A26CFE"/>
    <w:rsid w:val="00A274C7"/>
    <w:rsid w:val="00A276AA"/>
    <w:rsid w:val="00A3122B"/>
    <w:rsid w:val="00A339A8"/>
    <w:rsid w:val="00A36347"/>
    <w:rsid w:val="00A40690"/>
    <w:rsid w:val="00A408A8"/>
    <w:rsid w:val="00A42560"/>
    <w:rsid w:val="00A43417"/>
    <w:rsid w:val="00A43C22"/>
    <w:rsid w:val="00A4466C"/>
    <w:rsid w:val="00A456CA"/>
    <w:rsid w:val="00A47228"/>
    <w:rsid w:val="00A47A7A"/>
    <w:rsid w:val="00A50B6F"/>
    <w:rsid w:val="00A511A6"/>
    <w:rsid w:val="00A53757"/>
    <w:rsid w:val="00A53BA3"/>
    <w:rsid w:val="00A54C55"/>
    <w:rsid w:val="00A54EB1"/>
    <w:rsid w:val="00A56610"/>
    <w:rsid w:val="00A57D1C"/>
    <w:rsid w:val="00A60C75"/>
    <w:rsid w:val="00A63B0D"/>
    <w:rsid w:val="00A6505D"/>
    <w:rsid w:val="00A70944"/>
    <w:rsid w:val="00A71485"/>
    <w:rsid w:val="00A73942"/>
    <w:rsid w:val="00A764C9"/>
    <w:rsid w:val="00A7746A"/>
    <w:rsid w:val="00A80F3D"/>
    <w:rsid w:val="00A82A17"/>
    <w:rsid w:val="00A82B0C"/>
    <w:rsid w:val="00A82B34"/>
    <w:rsid w:val="00A84808"/>
    <w:rsid w:val="00A855C6"/>
    <w:rsid w:val="00A8635C"/>
    <w:rsid w:val="00A87C25"/>
    <w:rsid w:val="00A91FD5"/>
    <w:rsid w:val="00A927FB"/>
    <w:rsid w:val="00A9307F"/>
    <w:rsid w:val="00A94B82"/>
    <w:rsid w:val="00A9609C"/>
    <w:rsid w:val="00AA05D9"/>
    <w:rsid w:val="00AA3830"/>
    <w:rsid w:val="00AA4750"/>
    <w:rsid w:val="00AA6134"/>
    <w:rsid w:val="00AA692B"/>
    <w:rsid w:val="00AA7263"/>
    <w:rsid w:val="00AB002E"/>
    <w:rsid w:val="00AB0710"/>
    <w:rsid w:val="00AB0AD9"/>
    <w:rsid w:val="00AB1132"/>
    <w:rsid w:val="00AB1FF2"/>
    <w:rsid w:val="00AB25EA"/>
    <w:rsid w:val="00AB3E59"/>
    <w:rsid w:val="00AB414B"/>
    <w:rsid w:val="00AB469A"/>
    <w:rsid w:val="00AB7094"/>
    <w:rsid w:val="00AC0731"/>
    <w:rsid w:val="00AC08F5"/>
    <w:rsid w:val="00AC19B2"/>
    <w:rsid w:val="00AC235D"/>
    <w:rsid w:val="00AC2AFA"/>
    <w:rsid w:val="00AC388E"/>
    <w:rsid w:val="00AC4894"/>
    <w:rsid w:val="00AC5A11"/>
    <w:rsid w:val="00AC5E3D"/>
    <w:rsid w:val="00AC6218"/>
    <w:rsid w:val="00AC7016"/>
    <w:rsid w:val="00AC762D"/>
    <w:rsid w:val="00AD0991"/>
    <w:rsid w:val="00AD09DF"/>
    <w:rsid w:val="00AD16C9"/>
    <w:rsid w:val="00AD18B3"/>
    <w:rsid w:val="00AD4490"/>
    <w:rsid w:val="00AD613F"/>
    <w:rsid w:val="00AD7045"/>
    <w:rsid w:val="00AD75F4"/>
    <w:rsid w:val="00AE0220"/>
    <w:rsid w:val="00AE07B3"/>
    <w:rsid w:val="00AE09A0"/>
    <w:rsid w:val="00AE0D53"/>
    <w:rsid w:val="00AE271C"/>
    <w:rsid w:val="00AE2F70"/>
    <w:rsid w:val="00AE68C2"/>
    <w:rsid w:val="00AE6E56"/>
    <w:rsid w:val="00AE7260"/>
    <w:rsid w:val="00AE7E1E"/>
    <w:rsid w:val="00AF01D7"/>
    <w:rsid w:val="00AF0954"/>
    <w:rsid w:val="00AF107F"/>
    <w:rsid w:val="00AF1436"/>
    <w:rsid w:val="00AF1579"/>
    <w:rsid w:val="00AF4346"/>
    <w:rsid w:val="00AF48EC"/>
    <w:rsid w:val="00B012F2"/>
    <w:rsid w:val="00B0203A"/>
    <w:rsid w:val="00B0306C"/>
    <w:rsid w:val="00B033DE"/>
    <w:rsid w:val="00B040C4"/>
    <w:rsid w:val="00B04C08"/>
    <w:rsid w:val="00B06BEA"/>
    <w:rsid w:val="00B0794A"/>
    <w:rsid w:val="00B07BE9"/>
    <w:rsid w:val="00B1449B"/>
    <w:rsid w:val="00B17F01"/>
    <w:rsid w:val="00B229AE"/>
    <w:rsid w:val="00B230DC"/>
    <w:rsid w:val="00B23D3D"/>
    <w:rsid w:val="00B25437"/>
    <w:rsid w:val="00B27270"/>
    <w:rsid w:val="00B31D53"/>
    <w:rsid w:val="00B33041"/>
    <w:rsid w:val="00B3332B"/>
    <w:rsid w:val="00B359A5"/>
    <w:rsid w:val="00B40079"/>
    <w:rsid w:val="00B43815"/>
    <w:rsid w:val="00B449C6"/>
    <w:rsid w:val="00B47F1C"/>
    <w:rsid w:val="00B530B9"/>
    <w:rsid w:val="00B54E5F"/>
    <w:rsid w:val="00B57BD0"/>
    <w:rsid w:val="00B61103"/>
    <w:rsid w:val="00B624E1"/>
    <w:rsid w:val="00B637FE"/>
    <w:rsid w:val="00B65D0B"/>
    <w:rsid w:val="00B70FC9"/>
    <w:rsid w:val="00B7209F"/>
    <w:rsid w:val="00B7235D"/>
    <w:rsid w:val="00B72E3F"/>
    <w:rsid w:val="00B73B22"/>
    <w:rsid w:val="00B73ED0"/>
    <w:rsid w:val="00B7572C"/>
    <w:rsid w:val="00B808BF"/>
    <w:rsid w:val="00B80919"/>
    <w:rsid w:val="00B8326F"/>
    <w:rsid w:val="00B85DF2"/>
    <w:rsid w:val="00B86038"/>
    <w:rsid w:val="00B86436"/>
    <w:rsid w:val="00B86559"/>
    <w:rsid w:val="00B905A5"/>
    <w:rsid w:val="00B91BAD"/>
    <w:rsid w:val="00B942C8"/>
    <w:rsid w:val="00B94CC7"/>
    <w:rsid w:val="00B94E48"/>
    <w:rsid w:val="00B9523C"/>
    <w:rsid w:val="00B96031"/>
    <w:rsid w:val="00B971B5"/>
    <w:rsid w:val="00BA0EE0"/>
    <w:rsid w:val="00BA187D"/>
    <w:rsid w:val="00BA1A94"/>
    <w:rsid w:val="00BA1EA3"/>
    <w:rsid w:val="00BA262D"/>
    <w:rsid w:val="00BA2B20"/>
    <w:rsid w:val="00BA4DEF"/>
    <w:rsid w:val="00BA6CFB"/>
    <w:rsid w:val="00BA7335"/>
    <w:rsid w:val="00BB0196"/>
    <w:rsid w:val="00BB2FC5"/>
    <w:rsid w:val="00BB312A"/>
    <w:rsid w:val="00BB34BA"/>
    <w:rsid w:val="00BB37FF"/>
    <w:rsid w:val="00BB52D8"/>
    <w:rsid w:val="00BB5831"/>
    <w:rsid w:val="00BB5BAC"/>
    <w:rsid w:val="00BB70FA"/>
    <w:rsid w:val="00BB7337"/>
    <w:rsid w:val="00BB76FD"/>
    <w:rsid w:val="00BB7BC8"/>
    <w:rsid w:val="00BC00C0"/>
    <w:rsid w:val="00BC08CB"/>
    <w:rsid w:val="00BC16D0"/>
    <w:rsid w:val="00BC1ACE"/>
    <w:rsid w:val="00BC3294"/>
    <w:rsid w:val="00BC46E8"/>
    <w:rsid w:val="00BC4F17"/>
    <w:rsid w:val="00BC6163"/>
    <w:rsid w:val="00BD0423"/>
    <w:rsid w:val="00BD13E6"/>
    <w:rsid w:val="00BD1E8E"/>
    <w:rsid w:val="00BD252D"/>
    <w:rsid w:val="00BD2700"/>
    <w:rsid w:val="00BD307E"/>
    <w:rsid w:val="00BD3F46"/>
    <w:rsid w:val="00BD4393"/>
    <w:rsid w:val="00BD43DE"/>
    <w:rsid w:val="00BD613F"/>
    <w:rsid w:val="00BD7968"/>
    <w:rsid w:val="00BE070A"/>
    <w:rsid w:val="00BE1AEB"/>
    <w:rsid w:val="00BE1E72"/>
    <w:rsid w:val="00BE26DD"/>
    <w:rsid w:val="00BE739B"/>
    <w:rsid w:val="00BF0735"/>
    <w:rsid w:val="00BF0F98"/>
    <w:rsid w:val="00BF1C29"/>
    <w:rsid w:val="00BF4273"/>
    <w:rsid w:val="00BF6389"/>
    <w:rsid w:val="00BF7B78"/>
    <w:rsid w:val="00C00601"/>
    <w:rsid w:val="00C01532"/>
    <w:rsid w:val="00C03008"/>
    <w:rsid w:val="00C03FCB"/>
    <w:rsid w:val="00C05FF5"/>
    <w:rsid w:val="00C07A79"/>
    <w:rsid w:val="00C10099"/>
    <w:rsid w:val="00C13632"/>
    <w:rsid w:val="00C17062"/>
    <w:rsid w:val="00C1720C"/>
    <w:rsid w:val="00C17CD8"/>
    <w:rsid w:val="00C204C2"/>
    <w:rsid w:val="00C2064E"/>
    <w:rsid w:val="00C22688"/>
    <w:rsid w:val="00C23D64"/>
    <w:rsid w:val="00C24346"/>
    <w:rsid w:val="00C243E4"/>
    <w:rsid w:val="00C27012"/>
    <w:rsid w:val="00C2715D"/>
    <w:rsid w:val="00C31AF6"/>
    <w:rsid w:val="00C31F3E"/>
    <w:rsid w:val="00C34C37"/>
    <w:rsid w:val="00C35808"/>
    <w:rsid w:val="00C41D1A"/>
    <w:rsid w:val="00C42383"/>
    <w:rsid w:val="00C425CC"/>
    <w:rsid w:val="00C43325"/>
    <w:rsid w:val="00C43467"/>
    <w:rsid w:val="00C464C1"/>
    <w:rsid w:val="00C4682D"/>
    <w:rsid w:val="00C47221"/>
    <w:rsid w:val="00C47B0B"/>
    <w:rsid w:val="00C50234"/>
    <w:rsid w:val="00C5158F"/>
    <w:rsid w:val="00C5193C"/>
    <w:rsid w:val="00C54320"/>
    <w:rsid w:val="00C573FD"/>
    <w:rsid w:val="00C57491"/>
    <w:rsid w:val="00C60345"/>
    <w:rsid w:val="00C6043D"/>
    <w:rsid w:val="00C61F61"/>
    <w:rsid w:val="00C71774"/>
    <w:rsid w:val="00C721AA"/>
    <w:rsid w:val="00C734BA"/>
    <w:rsid w:val="00C73C16"/>
    <w:rsid w:val="00C75032"/>
    <w:rsid w:val="00C80F07"/>
    <w:rsid w:val="00C87BFB"/>
    <w:rsid w:val="00C90EA1"/>
    <w:rsid w:val="00C91283"/>
    <w:rsid w:val="00C92275"/>
    <w:rsid w:val="00C97C12"/>
    <w:rsid w:val="00CA157F"/>
    <w:rsid w:val="00CA1D21"/>
    <w:rsid w:val="00CA3B73"/>
    <w:rsid w:val="00CA48D8"/>
    <w:rsid w:val="00CA6CEE"/>
    <w:rsid w:val="00CB0B25"/>
    <w:rsid w:val="00CB1354"/>
    <w:rsid w:val="00CB3C6F"/>
    <w:rsid w:val="00CB5422"/>
    <w:rsid w:val="00CB578C"/>
    <w:rsid w:val="00CB7739"/>
    <w:rsid w:val="00CC024E"/>
    <w:rsid w:val="00CC0573"/>
    <w:rsid w:val="00CC0C3F"/>
    <w:rsid w:val="00CC1BE7"/>
    <w:rsid w:val="00CC277A"/>
    <w:rsid w:val="00CC2850"/>
    <w:rsid w:val="00CC4982"/>
    <w:rsid w:val="00CC5A2D"/>
    <w:rsid w:val="00CC5DE4"/>
    <w:rsid w:val="00CC6668"/>
    <w:rsid w:val="00CC69B0"/>
    <w:rsid w:val="00CD0F41"/>
    <w:rsid w:val="00CD1008"/>
    <w:rsid w:val="00CD257B"/>
    <w:rsid w:val="00CD345C"/>
    <w:rsid w:val="00CD4109"/>
    <w:rsid w:val="00CD4A9E"/>
    <w:rsid w:val="00CD4F43"/>
    <w:rsid w:val="00CD7082"/>
    <w:rsid w:val="00CE02CF"/>
    <w:rsid w:val="00CE0A9F"/>
    <w:rsid w:val="00CE17CB"/>
    <w:rsid w:val="00CE46B7"/>
    <w:rsid w:val="00CE579A"/>
    <w:rsid w:val="00CF509F"/>
    <w:rsid w:val="00D02E0A"/>
    <w:rsid w:val="00D04830"/>
    <w:rsid w:val="00D04E8C"/>
    <w:rsid w:val="00D04EC2"/>
    <w:rsid w:val="00D05E09"/>
    <w:rsid w:val="00D06350"/>
    <w:rsid w:val="00D06B02"/>
    <w:rsid w:val="00D07B1B"/>
    <w:rsid w:val="00D12ED7"/>
    <w:rsid w:val="00D14C4B"/>
    <w:rsid w:val="00D14E58"/>
    <w:rsid w:val="00D15EBF"/>
    <w:rsid w:val="00D167EF"/>
    <w:rsid w:val="00D16B8F"/>
    <w:rsid w:val="00D20B96"/>
    <w:rsid w:val="00D2136E"/>
    <w:rsid w:val="00D25947"/>
    <w:rsid w:val="00D25B5B"/>
    <w:rsid w:val="00D279DE"/>
    <w:rsid w:val="00D308F9"/>
    <w:rsid w:val="00D32B27"/>
    <w:rsid w:val="00D35C80"/>
    <w:rsid w:val="00D36AE5"/>
    <w:rsid w:val="00D3770D"/>
    <w:rsid w:val="00D37ACA"/>
    <w:rsid w:val="00D41A21"/>
    <w:rsid w:val="00D41A72"/>
    <w:rsid w:val="00D43F7A"/>
    <w:rsid w:val="00D44E46"/>
    <w:rsid w:val="00D45CCE"/>
    <w:rsid w:val="00D4629C"/>
    <w:rsid w:val="00D5009F"/>
    <w:rsid w:val="00D5055C"/>
    <w:rsid w:val="00D506F3"/>
    <w:rsid w:val="00D530F1"/>
    <w:rsid w:val="00D5486E"/>
    <w:rsid w:val="00D57E9B"/>
    <w:rsid w:val="00D60E4B"/>
    <w:rsid w:val="00D61BFB"/>
    <w:rsid w:val="00D6205A"/>
    <w:rsid w:val="00D63B27"/>
    <w:rsid w:val="00D6696B"/>
    <w:rsid w:val="00D713AC"/>
    <w:rsid w:val="00D73651"/>
    <w:rsid w:val="00D73F4E"/>
    <w:rsid w:val="00D758CC"/>
    <w:rsid w:val="00D811CD"/>
    <w:rsid w:val="00D8455B"/>
    <w:rsid w:val="00D85E0A"/>
    <w:rsid w:val="00D86230"/>
    <w:rsid w:val="00D8795D"/>
    <w:rsid w:val="00D90F55"/>
    <w:rsid w:val="00D9186B"/>
    <w:rsid w:val="00D93E13"/>
    <w:rsid w:val="00D97AEB"/>
    <w:rsid w:val="00DA1CB8"/>
    <w:rsid w:val="00DA25BA"/>
    <w:rsid w:val="00DA3D13"/>
    <w:rsid w:val="00DA6012"/>
    <w:rsid w:val="00DA6C05"/>
    <w:rsid w:val="00DB1FBF"/>
    <w:rsid w:val="00DB561B"/>
    <w:rsid w:val="00DB5A10"/>
    <w:rsid w:val="00DC4DAA"/>
    <w:rsid w:val="00DC76DA"/>
    <w:rsid w:val="00DD2668"/>
    <w:rsid w:val="00DD2D35"/>
    <w:rsid w:val="00DD382A"/>
    <w:rsid w:val="00DD5E9E"/>
    <w:rsid w:val="00DD7B59"/>
    <w:rsid w:val="00DE2AA1"/>
    <w:rsid w:val="00DF0328"/>
    <w:rsid w:val="00DF31C7"/>
    <w:rsid w:val="00DF35D2"/>
    <w:rsid w:val="00DF3A75"/>
    <w:rsid w:val="00DF4590"/>
    <w:rsid w:val="00DF4F68"/>
    <w:rsid w:val="00DF6593"/>
    <w:rsid w:val="00DF7D20"/>
    <w:rsid w:val="00E00594"/>
    <w:rsid w:val="00E06E36"/>
    <w:rsid w:val="00E07853"/>
    <w:rsid w:val="00E12E4E"/>
    <w:rsid w:val="00E13636"/>
    <w:rsid w:val="00E1455C"/>
    <w:rsid w:val="00E15EBF"/>
    <w:rsid w:val="00E16411"/>
    <w:rsid w:val="00E16EA3"/>
    <w:rsid w:val="00E173FA"/>
    <w:rsid w:val="00E176F3"/>
    <w:rsid w:val="00E20418"/>
    <w:rsid w:val="00E2146B"/>
    <w:rsid w:val="00E222B3"/>
    <w:rsid w:val="00E23005"/>
    <w:rsid w:val="00E256A8"/>
    <w:rsid w:val="00E25BF4"/>
    <w:rsid w:val="00E270B0"/>
    <w:rsid w:val="00E31B70"/>
    <w:rsid w:val="00E31BE3"/>
    <w:rsid w:val="00E31E37"/>
    <w:rsid w:val="00E344F7"/>
    <w:rsid w:val="00E34C41"/>
    <w:rsid w:val="00E36CF4"/>
    <w:rsid w:val="00E37760"/>
    <w:rsid w:val="00E37985"/>
    <w:rsid w:val="00E43462"/>
    <w:rsid w:val="00E43575"/>
    <w:rsid w:val="00E46674"/>
    <w:rsid w:val="00E47AF4"/>
    <w:rsid w:val="00E509FA"/>
    <w:rsid w:val="00E51779"/>
    <w:rsid w:val="00E536C3"/>
    <w:rsid w:val="00E5481A"/>
    <w:rsid w:val="00E601EA"/>
    <w:rsid w:val="00E60404"/>
    <w:rsid w:val="00E60B78"/>
    <w:rsid w:val="00E62326"/>
    <w:rsid w:val="00E63F20"/>
    <w:rsid w:val="00E66B23"/>
    <w:rsid w:val="00E718C0"/>
    <w:rsid w:val="00E72546"/>
    <w:rsid w:val="00E73474"/>
    <w:rsid w:val="00E74249"/>
    <w:rsid w:val="00E76A5C"/>
    <w:rsid w:val="00E76DE5"/>
    <w:rsid w:val="00E774DE"/>
    <w:rsid w:val="00E80837"/>
    <w:rsid w:val="00E83C38"/>
    <w:rsid w:val="00E8446D"/>
    <w:rsid w:val="00E853D3"/>
    <w:rsid w:val="00E86061"/>
    <w:rsid w:val="00E90570"/>
    <w:rsid w:val="00E916A5"/>
    <w:rsid w:val="00E91866"/>
    <w:rsid w:val="00E93656"/>
    <w:rsid w:val="00E95FBF"/>
    <w:rsid w:val="00E96769"/>
    <w:rsid w:val="00E96E80"/>
    <w:rsid w:val="00EA774D"/>
    <w:rsid w:val="00EA7760"/>
    <w:rsid w:val="00EB1A1E"/>
    <w:rsid w:val="00EB35C9"/>
    <w:rsid w:val="00EB491C"/>
    <w:rsid w:val="00EB6926"/>
    <w:rsid w:val="00EB6F8E"/>
    <w:rsid w:val="00EB7841"/>
    <w:rsid w:val="00EB7B3C"/>
    <w:rsid w:val="00EC0C1D"/>
    <w:rsid w:val="00EC3C78"/>
    <w:rsid w:val="00ED094D"/>
    <w:rsid w:val="00ED1172"/>
    <w:rsid w:val="00ED27B1"/>
    <w:rsid w:val="00ED2873"/>
    <w:rsid w:val="00ED3279"/>
    <w:rsid w:val="00ED37E2"/>
    <w:rsid w:val="00ED3D28"/>
    <w:rsid w:val="00ED406C"/>
    <w:rsid w:val="00ED7C08"/>
    <w:rsid w:val="00EE131B"/>
    <w:rsid w:val="00EE17FA"/>
    <w:rsid w:val="00EE1F9F"/>
    <w:rsid w:val="00EE3C5B"/>
    <w:rsid w:val="00EF1497"/>
    <w:rsid w:val="00EF3200"/>
    <w:rsid w:val="00EF515F"/>
    <w:rsid w:val="00EF6D73"/>
    <w:rsid w:val="00F006CC"/>
    <w:rsid w:val="00F014FE"/>
    <w:rsid w:val="00F0209A"/>
    <w:rsid w:val="00F0392F"/>
    <w:rsid w:val="00F056D9"/>
    <w:rsid w:val="00F075A3"/>
    <w:rsid w:val="00F10C72"/>
    <w:rsid w:val="00F1460F"/>
    <w:rsid w:val="00F14690"/>
    <w:rsid w:val="00F164D5"/>
    <w:rsid w:val="00F16D44"/>
    <w:rsid w:val="00F16E80"/>
    <w:rsid w:val="00F174E9"/>
    <w:rsid w:val="00F23CCD"/>
    <w:rsid w:val="00F2427C"/>
    <w:rsid w:val="00F24CA8"/>
    <w:rsid w:val="00F2517F"/>
    <w:rsid w:val="00F300AA"/>
    <w:rsid w:val="00F30C5C"/>
    <w:rsid w:val="00F360B0"/>
    <w:rsid w:val="00F370B5"/>
    <w:rsid w:val="00F378BC"/>
    <w:rsid w:val="00F40056"/>
    <w:rsid w:val="00F4193A"/>
    <w:rsid w:val="00F42D8A"/>
    <w:rsid w:val="00F4578E"/>
    <w:rsid w:val="00F45C74"/>
    <w:rsid w:val="00F463FE"/>
    <w:rsid w:val="00F46DD2"/>
    <w:rsid w:val="00F50B19"/>
    <w:rsid w:val="00F539CA"/>
    <w:rsid w:val="00F53BB3"/>
    <w:rsid w:val="00F5555A"/>
    <w:rsid w:val="00F557F8"/>
    <w:rsid w:val="00F55804"/>
    <w:rsid w:val="00F57132"/>
    <w:rsid w:val="00F576FF"/>
    <w:rsid w:val="00F60BBF"/>
    <w:rsid w:val="00F63559"/>
    <w:rsid w:val="00F65C79"/>
    <w:rsid w:val="00F6604E"/>
    <w:rsid w:val="00F6728B"/>
    <w:rsid w:val="00F6744F"/>
    <w:rsid w:val="00F67C23"/>
    <w:rsid w:val="00F708C1"/>
    <w:rsid w:val="00F70AFE"/>
    <w:rsid w:val="00F70BC0"/>
    <w:rsid w:val="00F70C5D"/>
    <w:rsid w:val="00F70E8C"/>
    <w:rsid w:val="00F72230"/>
    <w:rsid w:val="00F74DCA"/>
    <w:rsid w:val="00F75C93"/>
    <w:rsid w:val="00F76B62"/>
    <w:rsid w:val="00F773F8"/>
    <w:rsid w:val="00F77E2D"/>
    <w:rsid w:val="00F81755"/>
    <w:rsid w:val="00F82488"/>
    <w:rsid w:val="00F83781"/>
    <w:rsid w:val="00F87127"/>
    <w:rsid w:val="00F92113"/>
    <w:rsid w:val="00F92251"/>
    <w:rsid w:val="00F9639E"/>
    <w:rsid w:val="00FA42FD"/>
    <w:rsid w:val="00FA6E16"/>
    <w:rsid w:val="00FA73A5"/>
    <w:rsid w:val="00FA7A16"/>
    <w:rsid w:val="00FB5013"/>
    <w:rsid w:val="00FC1431"/>
    <w:rsid w:val="00FC5350"/>
    <w:rsid w:val="00FC5885"/>
    <w:rsid w:val="00FC700E"/>
    <w:rsid w:val="00FD3345"/>
    <w:rsid w:val="00FD522C"/>
    <w:rsid w:val="00FE0B75"/>
    <w:rsid w:val="00FE1191"/>
    <w:rsid w:val="00FE22F9"/>
    <w:rsid w:val="00FE2561"/>
    <w:rsid w:val="00FE2820"/>
    <w:rsid w:val="00FE3146"/>
    <w:rsid w:val="00FE32D4"/>
    <w:rsid w:val="00FE3BBB"/>
    <w:rsid w:val="00FE41DA"/>
    <w:rsid w:val="00FE4E07"/>
    <w:rsid w:val="00FE6F99"/>
    <w:rsid w:val="00FF169B"/>
    <w:rsid w:val="00FF31DC"/>
    <w:rsid w:val="00FF3978"/>
    <w:rsid w:val="00FF3B5F"/>
    <w:rsid w:val="00FF47B9"/>
    <w:rsid w:val="00FF5978"/>
    <w:rsid w:val="00FF65E6"/>
    <w:rsid w:val="00FF73C9"/>
    <w:rsid w:val="00FF7774"/>
    <w:rsid w:val="00FF7EFA"/>
    <w:rsid w:val="0157D890"/>
    <w:rsid w:val="0203332C"/>
    <w:rsid w:val="0238D10B"/>
    <w:rsid w:val="032FAA7D"/>
    <w:rsid w:val="03B1E62D"/>
    <w:rsid w:val="03D6F8BD"/>
    <w:rsid w:val="03FB3C56"/>
    <w:rsid w:val="049BFC5B"/>
    <w:rsid w:val="04D8E2DF"/>
    <w:rsid w:val="054627F6"/>
    <w:rsid w:val="05739C77"/>
    <w:rsid w:val="0636C4C4"/>
    <w:rsid w:val="063AE077"/>
    <w:rsid w:val="079777FE"/>
    <w:rsid w:val="0833391F"/>
    <w:rsid w:val="0858CDA3"/>
    <w:rsid w:val="0891AA8A"/>
    <w:rsid w:val="092E7BDB"/>
    <w:rsid w:val="096C26E1"/>
    <w:rsid w:val="0A1AC5E3"/>
    <w:rsid w:val="0A62199B"/>
    <w:rsid w:val="0A6E086B"/>
    <w:rsid w:val="0B01FF44"/>
    <w:rsid w:val="0B4FECA4"/>
    <w:rsid w:val="0BB27121"/>
    <w:rsid w:val="0BE70831"/>
    <w:rsid w:val="0C788851"/>
    <w:rsid w:val="0CB1A209"/>
    <w:rsid w:val="0CBD18F8"/>
    <w:rsid w:val="0CF0EB32"/>
    <w:rsid w:val="0DB186B3"/>
    <w:rsid w:val="0E4EC03D"/>
    <w:rsid w:val="0E6FB741"/>
    <w:rsid w:val="0E9E0552"/>
    <w:rsid w:val="0F084702"/>
    <w:rsid w:val="0F74D97E"/>
    <w:rsid w:val="0F84B0BF"/>
    <w:rsid w:val="0F8F9F73"/>
    <w:rsid w:val="0FFC5C8F"/>
    <w:rsid w:val="109A3531"/>
    <w:rsid w:val="10B50279"/>
    <w:rsid w:val="11DDBA03"/>
    <w:rsid w:val="1247AC58"/>
    <w:rsid w:val="1272DD65"/>
    <w:rsid w:val="12C09F06"/>
    <w:rsid w:val="130724AD"/>
    <w:rsid w:val="132CD89A"/>
    <w:rsid w:val="134FB944"/>
    <w:rsid w:val="139D3347"/>
    <w:rsid w:val="151B2D1D"/>
    <w:rsid w:val="153FB007"/>
    <w:rsid w:val="1567502A"/>
    <w:rsid w:val="158AFF8C"/>
    <w:rsid w:val="15B9B2FB"/>
    <w:rsid w:val="15F816FD"/>
    <w:rsid w:val="161EDBCD"/>
    <w:rsid w:val="174E8CA7"/>
    <w:rsid w:val="1753D5CF"/>
    <w:rsid w:val="17FC5FAF"/>
    <w:rsid w:val="192B2C60"/>
    <w:rsid w:val="198D4715"/>
    <w:rsid w:val="19A0B271"/>
    <w:rsid w:val="19A2FDD9"/>
    <w:rsid w:val="19ECF059"/>
    <w:rsid w:val="1B1E74A5"/>
    <w:rsid w:val="1B68E5D6"/>
    <w:rsid w:val="1D437829"/>
    <w:rsid w:val="1DCCB972"/>
    <w:rsid w:val="1DF0D700"/>
    <w:rsid w:val="1F09C885"/>
    <w:rsid w:val="1F5E08F8"/>
    <w:rsid w:val="1F5E7BBA"/>
    <w:rsid w:val="1F92D075"/>
    <w:rsid w:val="1FA6C19D"/>
    <w:rsid w:val="1FF0E841"/>
    <w:rsid w:val="202EF7F1"/>
    <w:rsid w:val="20AC5F3E"/>
    <w:rsid w:val="213B216F"/>
    <w:rsid w:val="219063AB"/>
    <w:rsid w:val="2268AEEC"/>
    <w:rsid w:val="229175ED"/>
    <w:rsid w:val="22BDDC31"/>
    <w:rsid w:val="22E012BC"/>
    <w:rsid w:val="22E1CB52"/>
    <w:rsid w:val="235FC8E8"/>
    <w:rsid w:val="23E22C0F"/>
    <w:rsid w:val="2400928A"/>
    <w:rsid w:val="240B1B53"/>
    <w:rsid w:val="24550786"/>
    <w:rsid w:val="249C1841"/>
    <w:rsid w:val="25C899B4"/>
    <w:rsid w:val="25D92B27"/>
    <w:rsid w:val="2613E926"/>
    <w:rsid w:val="26662A44"/>
    <w:rsid w:val="26BF2851"/>
    <w:rsid w:val="272632A2"/>
    <w:rsid w:val="275D90F5"/>
    <w:rsid w:val="27CFF7A4"/>
    <w:rsid w:val="2816749C"/>
    <w:rsid w:val="286AD15C"/>
    <w:rsid w:val="28A33FE3"/>
    <w:rsid w:val="28ABDF05"/>
    <w:rsid w:val="293B82FA"/>
    <w:rsid w:val="2A8F8E82"/>
    <w:rsid w:val="2B23C150"/>
    <w:rsid w:val="2B912B14"/>
    <w:rsid w:val="2BA84FD3"/>
    <w:rsid w:val="2C5BA7F2"/>
    <w:rsid w:val="2C5F73F9"/>
    <w:rsid w:val="2CC3804A"/>
    <w:rsid w:val="2CD7E7FB"/>
    <w:rsid w:val="2DB3989B"/>
    <w:rsid w:val="2E33E072"/>
    <w:rsid w:val="2E6BA695"/>
    <w:rsid w:val="2E86017E"/>
    <w:rsid w:val="2EE083A9"/>
    <w:rsid w:val="2F660B3E"/>
    <w:rsid w:val="2F7F3958"/>
    <w:rsid w:val="2FCB4C4A"/>
    <w:rsid w:val="2FE95F0F"/>
    <w:rsid w:val="30333AF7"/>
    <w:rsid w:val="31AA6351"/>
    <w:rsid w:val="3245DF21"/>
    <w:rsid w:val="328F754A"/>
    <w:rsid w:val="3370B3CE"/>
    <w:rsid w:val="33773A88"/>
    <w:rsid w:val="34323649"/>
    <w:rsid w:val="34328F70"/>
    <w:rsid w:val="34506ACA"/>
    <w:rsid w:val="34CCF7AD"/>
    <w:rsid w:val="369B8DFE"/>
    <w:rsid w:val="36BAB6C1"/>
    <w:rsid w:val="377B3F34"/>
    <w:rsid w:val="3813926B"/>
    <w:rsid w:val="38B91C9D"/>
    <w:rsid w:val="38BE41E4"/>
    <w:rsid w:val="39668597"/>
    <w:rsid w:val="396FE02A"/>
    <w:rsid w:val="39B5B36A"/>
    <w:rsid w:val="39E8C76B"/>
    <w:rsid w:val="3A67F9C6"/>
    <w:rsid w:val="3ADF3B73"/>
    <w:rsid w:val="3AFC2941"/>
    <w:rsid w:val="3B273A43"/>
    <w:rsid w:val="3B4CAC90"/>
    <w:rsid w:val="3C765507"/>
    <w:rsid w:val="3CCED3D4"/>
    <w:rsid w:val="3CFD490D"/>
    <w:rsid w:val="3D3ED06E"/>
    <w:rsid w:val="3D832D21"/>
    <w:rsid w:val="3E2E955F"/>
    <w:rsid w:val="3E4389B7"/>
    <w:rsid w:val="3E46BD46"/>
    <w:rsid w:val="3E6B2F96"/>
    <w:rsid w:val="3E8EBFB3"/>
    <w:rsid w:val="3EBE72DA"/>
    <w:rsid w:val="3ECB8B40"/>
    <w:rsid w:val="3EF10AC5"/>
    <w:rsid w:val="3F54B50E"/>
    <w:rsid w:val="3F7F4841"/>
    <w:rsid w:val="3FB4C34B"/>
    <w:rsid w:val="400A0E2D"/>
    <w:rsid w:val="40B02956"/>
    <w:rsid w:val="40C42A35"/>
    <w:rsid w:val="40F9A2E3"/>
    <w:rsid w:val="40FA08D9"/>
    <w:rsid w:val="4258FC6E"/>
    <w:rsid w:val="426B2A31"/>
    <w:rsid w:val="432812F0"/>
    <w:rsid w:val="433E6824"/>
    <w:rsid w:val="43499C46"/>
    <w:rsid w:val="43CA2C0A"/>
    <w:rsid w:val="43CB242B"/>
    <w:rsid w:val="43E1C54B"/>
    <w:rsid w:val="43F0D305"/>
    <w:rsid w:val="44661BF9"/>
    <w:rsid w:val="447A196C"/>
    <w:rsid w:val="4555A31D"/>
    <w:rsid w:val="45EFFE87"/>
    <w:rsid w:val="465D4527"/>
    <w:rsid w:val="46C2DB5D"/>
    <w:rsid w:val="470AAE7B"/>
    <w:rsid w:val="471C1D6C"/>
    <w:rsid w:val="477E9604"/>
    <w:rsid w:val="479A945F"/>
    <w:rsid w:val="47CA9912"/>
    <w:rsid w:val="47EB6F67"/>
    <w:rsid w:val="481091FB"/>
    <w:rsid w:val="4856B1D4"/>
    <w:rsid w:val="48C969E5"/>
    <w:rsid w:val="4949680B"/>
    <w:rsid w:val="4962F00E"/>
    <w:rsid w:val="49697951"/>
    <w:rsid w:val="4A1A0512"/>
    <w:rsid w:val="4AB95F4F"/>
    <w:rsid w:val="4AE7C00C"/>
    <w:rsid w:val="4AFF9834"/>
    <w:rsid w:val="4B4FDF39"/>
    <w:rsid w:val="4C285F90"/>
    <w:rsid w:val="4CE549F7"/>
    <w:rsid w:val="4E06F23F"/>
    <w:rsid w:val="4EB3E55F"/>
    <w:rsid w:val="4F10D19C"/>
    <w:rsid w:val="4F33A328"/>
    <w:rsid w:val="4F44070A"/>
    <w:rsid w:val="4F9BCF97"/>
    <w:rsid w:val="509B36AC"/>
    <w:rsid w:val="50A35BDB"/>
    <w:rsid w:val="50DF3D3C"/>
    <w:rsid w:val="5128FECD"/>
    <w:rsid w:val="51D006AD"/>
    <w:rsid w:val="51DD3ECB"/>
    <w:rsid w:val="52E4A053"/>
    <w:rsid w:val="53909B78"/>
    <w:rsid w:val="539A2F54"/>
    <w:rsid w:val="54147C65"/>
    <w:rsid w:val="542DAA10"/>
    <w:rsid w:val="543FC139"/>
    <w:rsid w:val="547F7FB0"/>
    <w:rsid w:val="54F022A0"/>
    <w:rsid w:val="54F6C123"/>
    <w:rsid w:val="55E90B90"/>
    <w:rsid w:val="568CB0B1"/>
    <w:rsid w:val="575579FC"/>
    <w:rsid w:val="575CE81A"/>
    <w:rsid w:val="576D036A"/>
    <w:rsid w:val="5781DC50"/>
    <w:rsid w:val="5875156F"/>
    <w:rsid w:val="58A88D80"/>
    <w:rsid w:val="593DB560"/>
    <w:rsid w:val="5959A86D"/>
    <w:rsid w:val="59EB642A"/>
    <w:rsid w:val="5A15E708"/>
    <w:rsid w:val="5B5049E4"/>
    <w:rsid w:val="5C810FF2"/>
    <w:rsid w:val="5CC82F3A"/>
    <w:rsid w:val="5DEC9654"/>
    <w:rsid w:val="5E759982"/>
    <w:rsid w:val="5E970735"/>
    <w:rsid w:val="5EF2EAA6"/>
    <w:rsid w:val="5F4DC9CB"/>
    <w:rsid w:val="5F9F2F57"/>
    <w:rsid w:val="5FDECA47"/>
    <w:rsid w:val="618F0615"/>
    <w:rsid w:val="61908695"/>
    <w:rsid w:val="628EAA64"/>
    <w:rsid w:val="629AE8CB"/>
    <w:rsid w:val="62ADC41F"/>
    <w:rsid w:val="62D51D07"/>
    <w:rsid w:val="62F5FBE7"/>
    <w:rsid w:val="6349164B"/>
    <w:rsid w:val="634E5B46"/>
    <w:rsid w:val="636531AA"/>
    <w:rsid w:val="63EECF4F"/>
    <w:rsid w:val="6428F090"/>
    <w:rsid w:val="64DE97A9"/>
    <w:rsid w:val="64F78623"/>
    <w:rsid w:val="65EAC115"/>
    <w:rsid w:val="6631F0DB"/>
    <w:rsid w:val="6675D8AE"/>
    <w:rsid w:val="66864CBC"/>
    <w:rsid w:val="66AABE38"/>
    <w:rsid w:val="67448B93"/>
    <w:rsid w:val="67676BB3"/>
    <w:rsid w:val="6770C095"/>
    <w:rsid w:val="6801939B"/>
    <w:rsid w:val="6806677B"/>
    <w:rsid w:val="680FCEB9"/>
    <w:rsid w:val="6869BA44"/>
    <w:rsid w:val="68A56DF8"/>
    <w:rsid w:val="695F2CA3"/>
    <w:rsid w:val="6A99EF48"/>
    <w:rsid w:val="6A9B7F45"/>
    <w:rsid w:val="6B60BBC7"/>
    <w:rsid w:val="6B7AAD5A"/>
    <w:rsid w:val="6C34B04B"/>
    <w:rsid w:val="6C5A840E"/>
    <w:rsid w:val="6CF128A1"/>
    <w:rsid w:val="6D0973E2"/>
    <w:rsid w:val="6D185F76"/>
    <w:rsid w:val="6D1955F0"/>
    <w:rsid w:val="6E5ABC82"/>
    <w:rsid w:val="6E935E80"/>
    <w:rsid w:val="6EB3123B"/>
    <w:rsid w:val="6F2858B7"/>
    <w:rsid w:val="7080998C"/>
    <w:rsid w:val="70CD7FE9"/>
    <w:rsid w:val="71652F33"/>
    <w:rsid w:val="71948599"/>
    <w:rsid w:val="72B7BC95"/>
    <w:rsid w:val="7306CE50"/>
    <w:rsid w:val="73590FB9"/>
    <w:rsid w:val="7376FF00"/>
    <w:rsid w:val="73DC811E"/>
    <w:rsid w:val="74447035"/>
    <w:rsid w:val="75564D1E"/>
    <w:rsid w:val="760FDD5A"/>
    <w:rsid w:val="768049E6"/>
    <w:rsid w:val="77027EBB"/>
    <w:rsid w:val="7804F825"/>
    <w:rsid w:val="7825B464"/>
    <w:rsid w:val="7836B778"/>
    <w:rsid w:val="789590C2"/>
    <w:rsid w:val="78D0DE3D"/>
    <w:rsid w:val="7960C7D5"/>
    <w:rsid w:val="79C1C50F"/>
    <w:rsid w:val="7A2114D5"/>
    <w:rsid w:val="7A37AED3"/>
    <w:rsid w:val="7A6D4A96"/>
    <w:rsid w:val="7B2872FB"/>
    <w:rsid w:val="7B28D580"/>
    <w:rsid w:val="7B3C6FD5"/>
    <w:rsid w:val="7B3F5800"/>
    <w:rsid w:val="7B6CD6C9"/>
    <w:rsid w:val="7B6E03C5"/>
    <w:rsid w:val="7C3170E3"/>
    <w:rsid w:val="7C8FA4AC"/>
    <w:rsid w:val="7D4DBAF6"/>
    <w:rsid w:val="7DF9C12F"/>
    <w:rsid w:val="7EDCC9FC"/>
    <w:rsid w:val="7EF5829D"/>
    <w:rsid w:val="7F677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2B69A"/>
  <w15:chartTrackingRefBased/>
  <w15:docId w15:val="{9F547F98-C3BC-498E-B6BC-DB79097F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E3"/>
  </w:style>
  <w:style w:type="paragraph" w:styleId="Heading1">
    <w:name w:val="heading 1"/>
    <w:basedOn w:val="Normal"/>
    <w:next w:val="Normal"/>
    <w:link w:val="Heading1Char"/>
    <w:uiPriority w:val="9"/>
    <w:qFormat/>
    <w:rsid w:val="004E1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1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1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B5E"/>
    <w:rPr>
      <w:rFonts w:eastAsiaTheme="majorEastAsia" w:cstheme="majorBidi"/>
      <w:color w:val="272727" w:themeColor="text1" w:themeTint="D8"/>
    </w:rPr>
  </w:style>
  <w:style w:type="paragraph" w:styleId="Title">
    <w:name w:val="Title"/>
    <w:basedOn w:val="Normal"/>
    <w:next w:val="Normal"/>
    <w:link w:val="TitleChar"/>
    <w:uiPriority w:val="10"/>
    <w:qFormat/>
    <w:rsid w:val="004E1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B5E"/>
    <w:pPr>
      <w:spacing w:before="160"/>
      <w:jc w:val="center"/>
    </w:pPr>
    <w:rPr>
      <w:i/>
      <w:iCs/>
      <w:color w:val="404040" w:themeColor="text1" w:themeTint="BF"/>
    </w:rPr>
  </w:style>
  <w:style w:type="character" w:customStyle="1" w:styleId="QuoteChar">
    <w:name w:val="Quote Char"/>
    <w:basedOn w:val="DefaultParagraphFont"/>
    <w:link w:val="Quote"/>
    <w:uiPriority w:val="29"/>
    <w:rsid w:val="004E1B5E"/>
    <w:rPr>
      <w:i/>
      <w:iCs/>
      <w:color w:val="404040" w:themeColor="text1" w:themeTint="BF"/>
    </w:rPr>
  </w:style>
  <w:style w:type="paragraph" w:styleId="ListParagraph">
    <w:name w:val="List Paragraph"/>
    <w:basedOn w:val="Normal"/>
    <w:uiPriority w:val="34"/>
    <w:qFormat/>
    <w:rsid w:val="004E1B5E"/>
    <w:pPr>
      <w:ind w:left="720"/>
      <w:contextualSpacing/>
    </w:pPr>
  </w:style>
  <w:style w:type="character" w:styleId="IntenseEmphasis">
    <w:name w:val="Intense Emphasis"/>
    <w:basedOn w:val="DefaultParagraphFont"/>
    <w:uiPriority w:val="21"/>
    <w:qFormat/>
    <w:rsid w:val="004E1B5E"/>
    <w:rPr>
      <w:i/>
      <w:iCs/>
      <w:color w:val="0F4761" w:themeColor="accent1" w:themeShade="BF"/>
    </w:rPr>
  </w:style>
  <w:style w:type="paragraph" w:styleId="IntenseQuote">
    <w:name w:val="Intense Quote"/>
    <w:basedOn w:val="Normal"/>
    <w:next w:val="Normal"/>
    <w:link w:val="IntenseQuoteChar"/>
    <w:uiPriority w:val="30"/>
    <w:qFormat/>
    <w:rsid w:val="004E1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B5E"/>
    <w:rPr>
      <w:i/>
      <w:iCs/>
      <w:color w:val="0F4761" w:themeColor="accent1" w:themeShade="BF"/>
    </w:rPr>
  </w:style>
  <w:style w:type="character" w:styleId="IntenseReference">
    <w:name w:val="Intense Reference"/>
    <w:basedOn w:val="DefaultParagraphFont"/>
    <w:uiPriority w:val="32"/>
    <w:qFormat/>
    <w:rsid w:val="004E1B5E"/>
    <w:rPr>
      <w:b/>
      <w:bCs/>
      <w:smallCaps/>
      <w:color w:val="0F4761" w:themeColor="accent1" w:themeShade="BF"/>
      <w:spacing w:val="5"/>
    </w:rPr>
  </w:style>
  <w:style w:type="paragraph" w:styleId="Header">
    <w:name w:val="header"/>
    <w:basedOn w:val="Normal"/>
    <w:link w:val="HeaderChar"/>
    <w:uiPriority w:val="99"/>
    <w:unhideWhenUsed/>
    <w:rsid w:val="004E1B5E"/>
    <w:pPr>
      <w:tabs>
        <w:tab w:val="center" w:pos="4703"/>
        <w:tab w:val="right" w:pos="9406"/>
      </w:tabs>
      <w:spacing w:after="0" w:line="240" w:lineRule="auto"/>
    </w:pPr>
  </w:style>
  <w:style w:type="character" w:customStyle="1" w:styleId="HeaderChar">
    <w:name w:val="Header Char"/>
    <w:basedOn w:val="DefaultParagraphFont"/>
    <w:link w:val="Header"/>
    <w:uiPriority w:val="99"/>
    <w:rsid w:val="004E1B5E"/>
  </w:style>
  <w:style w:type="paragraph" w:styleId="Footer">
    <w:name w:val="footer"/>
    <w:basedOn w:val="Normal"/>
    <w:link w:val="FooterChar"/>
    <w:uiPriority w:val="99"/>
    <w:unhideWhenUsed/>
    <w:rsid w:val="004E1B5E"/>
    <w:pPr>
      <w:tabs>
        <w:tab w:val="center" w:pos="4703"/>
        <w:tab w:val="right" w:pos="9406"/>
      </w:tabs>
      <w:spacing w:after="0" w:line="240" w:lineRule="auto"/>
    </w:pPr>
  </w:style>
  <w:style w:type="character" w:customStyle="1" w:styleId="FooterChar">
    <w:name w:val="Footer Char"/>
    <w:basedOn w:val="DefaultParagraphFont"/>
    <w:link w:val="Footer"/>
    <w:uiPriority w:val="99"/>
    <w:rsid w:val="004E1B5E"/>
  </w:style>
  <w:style w:type="character" w:styleId="Hyperlink">
    <w:name w:val="Hyperlink"/>
    <w:basedOn w:val="DefaultParagraphFont"/>
    <w:uiPriority w:val="99"/>
    <w:unhideWhenUsed/>
    <w:rsid w:val="004E1B5E"/>
    <w:rPr>
      <w:color w:val="467886" w:themeColor="hyperlink"/>
      <w:u w:val="single"/>
    </w:rPr>
  </w:style>
  <w:style w:type="character" w:styleId="UnresolvedMention">
    <w:name w:val="Unresolved Mention"/>
    <w:basedOn w:val="DefaultParagraphFont"/>
    <w:uiPriority w:val="99"/>
    <w:semiHidden/>
    <w:unhideWhenUsed/>
    <w:rsid w:val="004E1B5E"/>
    <w:rPr>
      <w:color w:val="605E5C"/>
      <w:shd w:val="clear" w:color="auto" w:fill="E1DFDD"/>
    </w:rPr>
  </w:style>
  <w:style w:type="table" w:styleId="TableGrid">
    <w:name w:val="Table Grid"/>
    <w:basedOn w:val="TableNormal"/>
    <w:uiPriority w:val="39"/>
    <w:rsid w:val="00355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530C3E"/>
    <w:pPr>
      <w:spacing w:after="0" w:line="240" w:lineRule="auto"/>
    </w:pPr>
  </w:style>
  <w:style w:type="character" w:styleId="CommentReference">
    <w:name w:val="annotation reference"/>
    <w:basedOn w:val="DefaultParagraphFont"/>
    <w:uiPriority w:val="99"/>
    <w:semiHidden/>
    <w:unhideWhenUsed/>
    <w:rsid w:val="00AC762D"/>
    <w:rPr>
      <w:sz w:val="16"/>
      <w:szCs w:val="16"/>
    </w:rPr>
  </w:style>
  <w:style w:type="paragraph" w:styleId="CommentText">
    <w:name w:val="annotation text"/>
    <w:basedOn w:val="Normal"/>
    <w:link w:val="CommentTextChar"/>
    <w:uiPriority w:val="99"/>
    <w:unhideWhenUsed/>
    <w:rsid w:val="00AC762D"/>
    <w:pPr>
      <w:spacing w:line="240" w:lineRule="auto"/>
    </w:pPr>
    <w:rPr>
      <w:sz w:val="20"/>
      <w:szCs w:val="20"/>
    </w:rPr>
  </w:style>
  <w:style w:type="character" w:customStyle="1" w:styleId="CommentTextChar">
    <w:name w:val="Comment Text Char"/>
    <w:basedOn w:val="DefaultParagraphFont"/>
    <w:link w:val="CommentText"/>
    <w:uiPriority w:val="99"/>
    <w:rsid w:val="00AC762D"/>
    <w:rPr>
      <w:sz w:val="20"/>
      <w:szCs w:val="20"/>
    </w:rPr>
  </w:style>
  <w:style w:type="paragraph" w:styleId="CommentSubject">
    <w:name w:val="annotation subject"/>
    <w:basedOn w:val="CommentText"/>
    <w:next w:val="CommentText"/>
    <w:link w:val="CommentSubjectChar"/>
    <w:uiPriority w:val="99"/>
    <w:semiHidden/>
    <w:unhideWhenUsed/>
    <w:rsid w:val="00AC762D"/>
    <w:rPr>
      <w:b/>
      <w:bCs/>
    </w:rPr>
  </w:style>
  <w:style w:type="character" w:customStyle="1" w:styleId="CommentSubjectChar">
    <w:name w:val="Comment Subject Char"/>
    <w:basedOn w:val="CommentTextChar"/>
    <w:link w:val="CommentSubject"/>
    <w:uiPriority w:val="99"/>
    <w:semiHidden/>
    <w:rsid w:val="00AC762D"/>
    <w:rPr>
      <w:b/>
      <w:bCs/>
      <w:sz w:val="20"/>
      <w:szCs w:val="20"/>
    </w:rPr>
  </w:style>
  <w:style w:type="paragraph" w:styleId="NormalWeb">
    <w:name w:val="Normal (Web)"/>
    <w:basedOn w:val="Normal"/>
    <w:uiPriority w:val="99"/>
    <w:unhideWhenUsed/>
    <w:rsid w:val="000C72B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22A97"/>
  </w:style>
  <w:style w:type="character" w:styleId="Strong">
    <w:name w:val="Strong"/>
    <w:basedOn w:val="DefaultParagraphFont"/>
    <w:uiPriority w:val="22"/>
    <w:qFormat/>
    <w:rsid w:val="00422A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dew.de/service/publikationen/bdew-bundesmusterwortlaut-tab-202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www.bundesnetzagentur.de/DE/Fachthemen/ElektrizitaetundGas/E-Mobilitaet/start.html" TargetMode="External"/><Relationship Id="rId1" Type="http://schemas.openxmlformats.org/officeDocument/2006/relationships/hyperlink" Target="https://www.now-gmbh.de/wp-content/uploads/2024/06/Studie_Ladeinfrastruktur-2025-2030_Neuauflage-202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7040e6-bd2c-44d3-821a-04f978f2478c" xsi:nil="true"/>
    <lcf76f155ced4ddcb4097134ff3c332f xmlns="62057548-5550-48cf-8414-9e1316ee961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728CE5C2ED2CC4AAC0CCC43D9633A80" ma:contentTypeVersion="11" ma:contentTypeDescription="Ein neues Dokument erstellen." ma:contentTypeScope="" ma:versionID="33c09f5d4e06a75ac947eca68192bd2d">
  <xsd:schema xmlns:xsd="http://www.w3.org/2001/XMLSchema" xmlns:xs="http://www.w3.org/2001/XMLSchema" xmlns:p="http://schemas.microsoft.com/office/2006/metadata/properties" xmlns:ns2="62057548-5550-48cf-8414-9e1316ee961f" xmlns:ns3="0f7040e6-bd2c-44d3-821a-04f978f2478c" targetNamespace="http://schemas.microsoft.com/office/2006/metadata/properties" ma:root="true" ma:fieldsID="bf6b66c8b4dde1a3bf4d8bba27b90901" ns2:_="" ns3:_="">
    <xsd:import namespace="62057548-5550-48cf-8414-9e1316ee961f"/>
    <xsd:import namespace="0f7040e6-bd2c-44d3-821a-04f978f247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57548-5550-48cf-8414-9e1316ee9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d01e515-d8fd-44e9-9fc5-27d82c532d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7040e6-bd2c-44d3-821a-04f978f2478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aa00480-d9bb-4f34-a1fe-c4cacbcc7d8a}" ma:internalName="TaxCatchAll" ma:showField="CatchAllData" ma:web="0f7040e6-bd2c-44d3-821a-04f978f247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F624E-FF8F-4ACF-9866-ED9E9719B696}">
  <ds:schemaRefs>
    <ds:schemaRef ds:uri="http://schemas.microsoft.com/office/2006/metadata/properties"/>
    <ds:schemaRef ds:uri="http://schemas.microsoft.com/office/infopath/2007/PartnerControls"/>
    <ds:schemaRef ds:uri="0f7040e6-bd2c-44d3-821a-04f978f2478c"/>
    <ds:schemaRef ds:uri="62057548-5550-48cf-8414-9e1316ee961f"/>
  </ds:schemaRefs>
</ds:datastoreItem>
</file>

<file path=customXml/itemProps2.xml><?xml version="1.0" encoding="utf-8"?>
<ds:datastoreItem xmlns:ds="http://schemas.openxmlformats.org/officeDocument/2006/customXml" ds:itemID="{97577D33-93A0-48FE-A4E4-CAAC2B09D18C}">
  <ds:schemaRefs>
    <ds:schemaRef ds:uri="http://schemas.openxmlformats.org/officeDocument/2006/bibliography"/>
  </ds:schemaRefs>
</ds:datastoreItem>
</file>

<file path=customXml/itemProps3.xml><?xml version="1.0" encoding="utf-8"?>
<ds:datastoreItem xmlns:ds="http://schemas.openxmlformats.org/officeDocument/2006/customXml" ds:itemID="{6C9CBD68-2953-4B2D-AD50-EE65F2D4C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57548-5550-48cf-8414-9e1316ee961f"/>
    <ds:schemaRef ds:uri="0f7040e6-bd2c-44d3-821a-04f978f24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8B48D7-AB5F-414C-91BB-2AD9555A3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2014</Words>
  <Characters>11485</Characters>
  <Application>Microsoft Office Word</Application>
  <DocSecurity>0</DocSecurity>
  <Lines>95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13473</CharactersWithSpaces>
  <SharedDoc>false</SharedDoc>
  <HLinks>
    <vt:vector size="6" baseType="variant">
      <vt:variant>
        <vt:i4>7405638</vt:i4>
      </vt:variant>
      <vt:variant>
        <vt:i4>0</vt:i4>
      </vt:variant>
      <vt:variant>
        <vt:i4>0</vt:i4>
      </vt:variant>
      <vt:variant>
        <vt:i4>5</vt:i4>
      </vt:variant>
      <vt:variant>
        <vt:lpwstr>mailto:Ref-G23@bmv.bund.de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Bott</dc:creator>
  <cp:keywords/>
  <dc:description/>
  <cp:lastModifiedBy>Sebastian Bott</cp:lastModifiedBy>
  <cp:revision>2</cp:revision>
  <cp:lastPrinted>2026-06-29T09:05:00Z</cp:lastPrinted>
  <dcterms:created xsi:type="dcterms:W3CDTF">2026-06-29T11:47:00Z</dcterms:created>
  <dcterms:modified xsi:type="dcterms:W3CDTF">2026-06-29T11:47:00Z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0x010100D728CE5C2ED2CC4AAC0CCC43D9633A80</vt:lpwstr>
  </property>
  <property fmtid="{D5CDD505-2E9C-101B-9397-08002B2CF9AE}" pid="3" name="MediaServiceImageTags">
    <vt:lpwstr/>
  </property>
  <property fmtid="{D5CDD505-2E9C-101B-9397-08002B2CF9AE}" pid="4" name="docLang">
    <vt:lpwstr>de</vt:lpwstr>
  </property>
</Properties>
</file>