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6EC8" w14:textId="77777777" w:rsidR="00B11498" w:rsidRDefault="00B11498" w:rsidP="00B11498">
      <w:pPr>
        <w:pStyle w:val="Title"/>
        <w:rPr>
          <w:sz w:val="32"/>
        </w:rPr>
      </w:pPr>
    </w:p>
    <w:p w14:paraId="3C69E618" w14:textId="7108913C" w:rsidR="00B11498" w:rsidRDefault="001274E2" w:rsidP="00B11498">
      <w:pPr>
        <w:pStyle w:val="Title"/>
        <w:rPr>
          <w:sz w:val="32"/>
        </w:rPr>
      </w:pPr>
      <w:r>
        <w:rPr>
          <w:sz w:val="32"/>
        </w:rPr>
        <w:t>Elm Market Navigator ETF</w:t>
      </w:r>
    </w:p>
    <w:p w14:paraId="45ACEEBA" w14:textId="77777777" w:rsidR="00B11498" w:rsidRDefault="00B11498" w:rsidP="00B11498">
      <w:pPr>
        <w:pStyle w:val="Title"/>
        <w:rPr>
          <w:sz w:val="20"/>
        </w:rPr>
      </w:pPr>
      <w:r>
        <w:rPr>
          <w:b w:val="0"/>
          <w:sz w:val="20"/>
        </w:rPr>
        <w:t>--------------------------------------------------------------------------------------------------------------------------------------------</w:t>
      </w:r>
    </w:p>
    <w:p w14:paraId="164F1E67" w14:textId="77777777" w:rsidR="00B11498" w:rsidRDefault="00B11498" w:rsidP="00B11498">
      <w:pPr>
        <w:pStyle w:val="BodyText"/>
        <w:tabs>
          <w:tab w:val="left" w:pos="720"/>
        </w:tabs>
        <w:rPr>
          <w:b/>
        </w:rPr>
      </w:pPr>
    </w:p>
    <w:p w14:paraId="744E1E2C" w14:textId="780D14DF" w:rsidR="00B11498" w:rsidRDefault="00B11498" w:rsidP="00B11498">
      <w:pPr>
        <w:pStyle w:val="BodyText"/>
        <w:tabs>
          <w:tab w:val="left" w:pos="720"/>
        </w:tabs>
        <w:rPr>
          <w:sz w:val="24"/>
          <w:szCs w:val="24"/>
        </w:rPr>
      </w:pPr>
      <w:r>
        <w:rPr>
          <w:sz w:val="24"/>
          <w:szCs w:val="24"/>
        </w:rPr>
        <w:t xml:space="preserve">Enclosed is the </w:t>
      </w:r>
      <w:r w:rsidR="007448C8">
        <w:rPr>
          <w:sz w:val="24"/>
          <w:szCs w:val="24"/>
        </w:rPr>
        <w:t>2025</w:t>
      </w:r>
      <w:r>
        <w:rPr>
          <w:sz w:val="24"/>
          <w:szCs w:val="24"/>
        </w:rPr>
        <w:t xml:space="preserve"> Tax Form for your account with </w:t>
      </w:r>
      <w:r w:rsidR="001274E2">
        <w:rPr>
          <w:sz w:val="24"/>
          <w:szCs w:val="24"/>
        </w:rPr>
        <w:t>the Elm Market Navigator ETF</w:t>
      </w:r>
      <w:r>
        <w:rPr>
          <w:sz w:val="24"/>
          <w:szCs w:val="24"/>
        </w:rPr>
        <w:t xml:space="preserve">.  The Form provides information on any applicable </w:t>
      </w:r>
      <w:r w:rsidR="007448C8">
        <w:rPr>
          <w:sz w:val="24"/>
          <w:szCs w:val="24"/>
        </w:rPr>
        <w:t>2025</w:t>
      </w:r>
      <w:r>
        <w:rPr>
          <w:sz w:val="24"/>
          <w:szCs w:val="24"/>
        </w:rPr>
        <w:t xml:space="preserve"> distributions and proceeds from redemptions. Please note that all information contained in this Statement has been provided to the Internal Revenue Service.  In addition to the tax information provided on your enclosed Tax Form, below is supplemental information to assist you with the preparation of your </w:t>
      </w:r>
      <w:r w:rsidR="007448C8">
        <w:rPr>
          <w:sz w:val="24"/>
          <w:szCs w:val="24"/>
        </w:rPr>
        <w:t>2025</w:t>
      </w:r>
      <w:r w:rsidR="00AF3B2F">
        <w:rPr>
          <w:sz w:val="24"/>
          <w:szCs w:val="24"/>
        </w:rPr>
        <w:t xml:space="preserve"> </w:t>
      </w:r>
      <w:r>
        <w:rPr>
          <w:sz w:val="24"/>
          <w:szCs w:val="24"/>
        </w:rPr>
        <w:t>income tax returns.  Please consult your tax advisor for the specific application of any items below relating to the preparation of your tax returns.</w:t>
      </w:r>
    </w:p>
    <w:p w14:paraId="73E86622" w14:textId="77777777" w:rsidR="00B11498" w:rsidRPr="00815BEB" w:rsidRDefault="00B11498" w:rsidP="00B11498">
      <w:pPr>
        <w:pStyle w:val="BodyText"/>
        <w:rPr>
          <w:sz w:val="24"/>
          <w:szCs w:val="24"/>
        </w:rPr>
      </w:pPr>
    </w:p>
    <w:p w14:paraId="35A312C6" w14:textId="77777777" w:rsidR="00B11498" w:rsidRPr="00815BEB" w:rsidRDefault="00B11498" w:rsidP="00B11498">
      <w:pPr>
        <w:pStyle w:val="BodyText"/>
        <w:rPr>
          <w:sz w:val="24"/>
          <w:szCs w:val="24"/>
        </w:rPr>
      </w:pPr>
    </w:p>
    <w:p w14:paraId="4C140979" w14:textId="77777777" w:rsidR="00B11498" w:rsidRDefault="00B11498" w:rsidP="00B11498">
      <w:pPr>
        <w:pStyle w:val="BodyText"/>
        <w:rPr>
          <w:b/>
          <w:sz w:val="24"/>
          <w:szCs w:val="24"/>
          <w:u w:val="single"/>
        </w:rPr>
      </w:pPr>
      <w:r w:rsidRPr="00815BEB">
        <w:rPr>
          <w:b/>
          <w:sz w:val="24"/>
          <w:szCs w:val="24"/>
          <w:u w:val="single"/>
        </w:rPr>
        <w:t>Income from U.S. Government Obligations</w:t>
      </w:r>
    </w:p>
    <w:p w14:paraId="37BC551A" w14:textId="77777777" w:rsidR="00B11498" w:rsidRPr="00815BEB" w:rsidRDefault="00B11498" w:rsidP="00B11498">
      <w:pPr>
        <w:pStyle w:val="BodyText"/>
        <w:rPr>
          <w:b/>
          <w:sz w:val="24"/>
          <w:szCs w:val="24"/>
          <w:u w:val="single"/>
        </w:rPr>
      </w:pPr>
    </w:p>
    <w:p w14:paraId="4F19A0BC" w14:textId="122FBDC9" w:rsidR="00B11498" w:rsidRPr="00815BEB" w:rsidRDefault="00B11498" w:rsidP="00B11498">
      <w:pPr>
        <w:rPr>
          <w:szCs w:val="24"/>
        </w:rPr>
      </w:pPr>
      <w:r w:rsidRPr="00815BEB">
        <w:rPr>
          <w:szCs w:val="24"/>
        </w:rPr>
        <w:t xml:space="preserve">Some states do not tax their residents on income from a mutual fund that is earned from U.S. Government Obligations.  The following table shows the percentage of total ordinary income dividends shown in Box 1 of your </w:t>
      </w:r>
      <w:r w:rsidR="007448C8">
        <w:rPr>
          <w:szCs w:val="24"/>
        </w:rPr>
        <w:t>2025</w:t>
      </w:r>
      <w:r w:rsidR="00AF3B2F">
        <w:rPr>
          <w:szCs w:val="24"/>
        </w:rPr>
        <w:t xml:space="preserve"> </w:t>
      </w:r>
      <w:r w:rsidRPr="00815BEB">
        <w:rPr>
          <w:szCs w:val="24"/>
        </w:rPr>
        <w:t>Tax Form that were attributable to interest earned from direct U.S. Government Obligations:</w:t>
      </w:r>
    </w:p>
    <w:p w14:paraId="2538216B" w14:textId="77777777" w:rsidR="00B11498" w:rsidRPr="00815BEB" w:rsidRDefault="00B11498" w:rsidP="00B11498">
      <w:pPr>
        <w:tabs>
          <w:tab w:val="center" w:pos="7920"/>
        </w:tabs>
        <w:rPr>
          <w:szCs w:val="24"/>
        </w:rPr>
      </w:pPr>
    </w:p>
    <w:p w14:paraId="7566C688" w14:textId="77777777" w:rsidR="00B11498" w:rsidRPr="00815BEB" w:rsidRDefault="00B11498" w:rsidP="00B11498">
      <w:pPr>
        <w:tabs>
          <w:tab w:val="center" w:pos="7920"/>
        </w:tabs>
        <w:rPr>
          <w:szCs w:val="24"/>
        </w:rPr>
      </w:pPr>
    </w:p>
    <w:p w14:paraId="02DB463F" w14:textId="77777777" w:rsidR="00B11498" w:rsidRPr="00815BEB" w:rsidRDefault="00B11498" w:rsidP="00B11498">
      <w:pPr>
        <w:tabs>
          <w:tab w:val="center" w:pos="7920"/>
        </w:tabs>
        <w:rPr>
          <w:b/>
          <w:szCs w:val="24"/>
        </w:rPr>
      </w:pPr>
      <w:r w:rsidRPr="00815BEB">
        <w:rPr>
          <w:szCs w:val="24"/>
        </w:rPr>
        <w:tab/>
      </w:r>
      <w:r w:rsidRPr="00815BEB">
        <w:rPr>
          <w:b/>
          <w:szCs w:val="24"/>
        </w:rPr>
        <w:t>% of Ordinary Income</w:t>
      </w:r>
    </w:p>
    <w:p w14:paraId="312295A9" w14:textId="77777777" w:rsidR="00B11498" w:rsidRPr="00815BEB" w:rsidRDefault="00B11498" w:rsidP="00B11498">
      <w:pPr>
        <w:tabs>
          <w:tab w:val="center" w:pos="7920"/>
        </w:tabs>
        <w:rPr>
          <w:b/>
          <w:szCs w:val="24"/>
        </w:rPr>
      </w:pPr>
      <w:r w:rsidRPr="00815BEB">
        <w:rPr>
          <w:b/>
          <w:szCs w:val="24"/>
        </w:rPr>
        <w:tab/>
        <w:t>Attributable to</w:t>
      </w:r>
    </w:p>
    <w:p w14:paraId="16D445C6" w14:textId="77777777" w:rsidR="00B11498" w:rsidRPr="00815BEB" w:rsidRDefault="00B11498" w:rsidP="00B11498">
      <w:pPr>
        <w:tabs>
          <w:tab w:val="center" w:pos="7920"/>
        </w:tabs>
        <w:rPr>
          <w:b/>
          <w:szCs w:val="24"/>
        </w:rPr>
      </w:pPr>
      <w:r w:rsidRPr="00815BEB">
        <w:rPr>
          <w:b/>
          <w:szCs w:val="24"/>
        </w:rPr>
        <w:tab/>
        <w:t>Direct U.S. Govt.</w:t>
      </w:r>
    </w:p>
    <w:p w14:paraId="68856B15" w14:textId="77777777" w:rsidR="00B11498" w:rsidRPr="00815BEB" w:rsidRDefault="00B11498" w:rsidP="00B11498">
      <w:pPr>
        <w:tabs>
          <w:tab w:val="center" w:pos="7920"/>
        </w:tabs>
        <w:ind w:left="900"/>
        <w:rPr>
          <w:b/>
          <w:szCs w:val="24"/>
        </w:rPr>
      </w:pPr>
      <w:r w:rsidRPr="00815BEB">
        <w:rPr>
          <w:b/>
          <w:szCs w:val="24"/>
          <w:u w:val="single"/>
        </w:rPr>
        <w:t>Fund Name</w:t>
      </w:r>
      <w:r w:rsidRPr="00815BEB">
        <w:rPr>
          <w:b/>
          <w:szCs w:val="24"/>
        </w:rPr>
        <w:tab/>
      </w:r>
      <w:r w:rsidRPr="00815BEB">
        <w:rPr>
          <w:b/>
          <w:szCs w:val="24"/>
          <w:u w:val="single"/>
        </w:rPr>
        <w:t>Obligation</w:t>
      </w:r>
      <w:r>
        <w:rPr>
          <w:b/>
          <w:szCs w:val="24"/>
          <w:u w:val="single"/>
        </w:rPr>
        <w:t>s</w:t>
      </w:r>
      <w:r w:rsidRPr="00815BEB">
        <w:rPr>
          <w:b/>
          <w:szCs w:val="24"/>
          <w:u w:val="single"/>
        </w:rPr>
        <w:t xml:space="preserve"> (see Box 1)</w:t>
      </w:r>
    </w:p>
    <w:p w14:paraId="616A00A2" w14:textId="77777777" w:rsidR="00B11498" w:rsidRDefault="00B11498" w:rsidP="00B11498">
      <w:pPr>
        <w:tabs>
          <w:tab w:val="center" w:pos="7920"/>
        </w:tabs>
        <w:ind w:left="900" w:hanging="720"/>
        <w:rPr>
          <w:szCs w:val="24"/>
        </w:rPr>
      </w:pPr>
    </w:p>
    <w:p w14:paraId="3AA7384B" w14:textId="77777777" w:rsidR="00B11498" w:rsidRPr="00815BEB" w:rsidRDefault="00B11498" w:rsidP="00B11498">
      <w:pPr>
        <w:tabs>
          <w:tab w:val="center" w:pos="7920"/>
        </w:tabs>
        <w:ind w:left="900" w:hanging="720"/>
        <w:rPr>
          <w:szCs w:val="24"/>
        </w:rPr>
      </w:pPr>
    </w:p>
    <w:p w14:paraId="3C276F3C" w14:textId="5A004F8D" w:rsidR="00B11498" w:rsidRPr="00915E00" w:rsidRDefault="001274E2" w:rsidP="00B11498">
      <w:pPr>
        <w:tabs>
          <w:tab w:val="right" w:pos="8280"/>
        </w:tabs>
        <w:ind w:left="900"/>
        <w:rPr>
          <w:szCs w:val="24"/>
        </w:rPr>
      </w:pPr>
      <w:r>
        <w:rPr>
          <w:szCs w:val="24"/>
        </w:rPr>
        <w:t>Elm Market Navigator ETF</w:t>
      </w:r>
      <w:r w:rsidR="00AB1A4D">
        <w:rPr>
          <w:szCs w:val="24"/>
        </w:rPr>
        <w:t xml:space="preserve">          </w:t>
      </w:r>
      <w:r w:rsidR="00B11498">
        <w:rPr>
          <w:szCs w:val="24"/>
        </w:rPr>
        <w:t>……………………………………</w:t>
      </w:r>
      <w:r w:rsidR="00B11498">
        <w:rPr>
          <w:szCs w:val="24"/>
        </w:rPr>
        <w:tab/>
        <w:t xml:space="preserve">  </w:t>
      </w:r>
      <w:r w:rsidR="00221C42">
        <w:rPr>
          <w:szCs w:val="24"/>
        </w:rPr>
        <w:t>10</w:t>
      </w:r>
      <w:r w:rsidRPr="001274E2">
        <w:rPr>
          <w:szCs w:val="24"/>
        </w:rPr>
        <w:t>.</w:t>
      </w:r>
      <w:r w:rsidR="00221C42">
        <w:rPr>
          <w:szCs w:val="24"/>
        </w:rPr>
        <w:t>49</w:t>
      </w:r>
      <w:r w:rsidR="00B11498" w:rsidRPr="00915E00">
        <w:rPr>
          <w:szCs w:val="24"/>
        </w:rPr>
        <w:t>%</w:t>
      </w:r>
    </w:p>
    <w:p w14:paraId="4FE33068" w14:textId="77777777" w:rsidR="00A20C59" w:rsidRDefault="00A20C59" w:rsidP="00A20C59">
      <w:pPr>
        <w:tabs>
          <w:tab w:val="center" w:pos="7920"/>
        </w:tabs>
        <w:rPr>
          <w:sz w:val="20"/>
        </w:rPr>
      </w:pPr>
    </w:p>
    <w:p w14:paraId="59C4D6ED" w14:textId="77777777" w:rsidR="0032498B" w:rsidRDefault="0032498B" w:rsidP="00A20C59">
      <w:pPr>
        <w:tabs>
          <w:tab w:val="center" w:pos="7920"/>
        </w:tabs>
        <w:rPr>
          <w:sz w:val="20"/>
        </w:rPr>
      </w:pPr>
    </w:p>
    <w:p w14:paraId="6F76376F" w14:textId="77777777" w:rsidR="0032498B" w:rsidRDefault="0032498B" w:rsidP="00A20C59">
      <w:pPr>
        <w:tabs>
          <w:tab w:val="center" w:pos="7920"/>
        </w:tabs>
        <w:rPr>
          <w:sz w:val="20"/>
        </w:rPr>
      </w:pPr>
    </w:p>
    <w:p w14:paraId="25398866" w14:textId="77777777" w:rsidR="0032498B" w:rsidRDefault="0032498B" w:rsidP="00A20C59">
      <w:pPr>
        <w:tabs>
          <w:tab w:val="center" w:pos="7920"/>
        </w:tabs>
        <w:rPr>
          <w:sz w:val="20"/>
        </w:rPr>
      </w:pPr>
    </w:p>
    <w:p w14:paraId="2B327A43" w14:textId="61C11C0F" w:rsidR="0032498B" w:rsidRPr="008D16BA" w:rsidRDefault="0032498B" w:rsidP="0032498B">
      <w:pPr>
        <w:pStyle w:val="BodyTextIndent"/>
        <w:ind w:left="0"/>
        <w:rPr>
          <w:szCs w:val="24"/>
        </w:rPr>
      </w:pPr>
      <w:r w:rsidRPr="008D16BA">
        <w:rPr>
          <w:szCs w:val="24"/>
        </w:rPr>
        <w:t xml:space="preserve">Depending on your state’s personal income tax laws, you may be entitled to declare the above portion of your </w:t>
      </w:r>
      <w:r w:rsidR="007448C8">
        <w:rPr>
          <w:szCs w:val="24"/>
        </w:rPr>
        <w:t>2025</w:t>
      </w:r>
      <w:r w:rsidR="00AF3B2F">
        <w:rPr>
          <w:szCs w:val="24"/>
        </w:rPr>
        <w:t xml:space="preserve"> </w:t>
      </w:r>
      <w:r w:rsidRPr="008D16BA">
        <w:rPr>
          <w:szCs w:val="24"/>
        </w:rPr>
        <w:t>ordinary income dividends (Box 1) as tax-exempt income on your state personal income tax return.  However, some states do not allow the “pass through” of this exempt-interest income unless the percentage earned from U.S. Government Obligations exceeds certain thresholds or unless other requirements are met.  Please consult your tax adviser or state authorities if you have any questions regarding the percentage of income you can exclude when calculating your state income tax.</w:t>
      </w:r>
    </w:p>
    <w:p w14:paraId="4A892193" w14:textId="77777777" w:rsidR="0032498B" w:rsidRDefault="0032498B" w:rsidP="00A20C59">
      <w:pPr>
        <w:tabs>
          <w:tab w:val="center" w:pos="7920"/>
        </w:tabs>
        <w:rPr>
          <w:sz w:val="20"/>
        </w:rPr>
      </w:pPr>
    </w:p>
    <w:p w14:paraId="0C11D63E" w14:textId="77777777" w:rsidR="00232642" w:rsidRPr="00822F02" w:rsidRDefault="00232642" w:rsidP="00232642">
      <w:pPr>
        <w:pStyle w:val="BodyText"/>
        <w:tabs>
          <w:tab w:val="left" w:pos="720"/>
        </w:tabs>
        <w:rPr>
          <w:sz w:val="24"/>
          <w:szCs w:val="24"/>
        </w:rPr>
      </w:pPr>
      <w:r w:rsidRPr="00822F02">
        <w:rPr>
          <w:sz w:val="24"/>
          <w:szCs w:val="24"/>
        </w:rPr>
        <w:t>Please consult your tax advisor for the specific application of any items below relating to the preparation of your tax returns.</w:t>
      </w:r>
    </w:p>
    <w:p w14:paraId="2354C824" w14:textId="77777777" w:rsidR="00232642" w:rsidRPr="00822F02" w:rsidRDefault="00232642" w:rsidP="00232642">
      <w:pPr>
        <w:pStyle w:val="BodyText"/>
        <w:rPr>
          <w:sz w:val="24"/>
          <w:szCs w:val="24"/>
        </w:rPr>
      </w:pPr>
    </w:p>
    <w:p w14:paraId="068EC8BA" w14:textId="77777777" w:rsidR="00232642" w:rsidRDefault="00232642" w:rsidP="00232642">
      <w:pPr>
        <w:rPr>
          <w:sz w:val="20"/>
        </w:rPr>
      </w:pPr>
    </w:p>
    <w:p w14:paraId="3A7959C9" w14:textId="77777777" w:rsidR="00232642" w:rsidRDefault="00232642" w:rsidP="00232642">
      <w:pPr>
        <w:rPr>
          <w:b/>
          <w:bCs/>
          <w:szCs w:val="24"/>
          <w:u w:val="single"/>
        </w:rPr>
      </w:pPr>
    </w:p>
    <w:p w14:paraId="4056B0F3" w14:textId="77777777" w:rsidR="00232642" w:rsidRDefault="00232642" w:rsidP="00232642">
      <w:pPr>
        <w:rPr>
          <w:b/>
          <w:bCs/>
          <w:szCs w:val="24"/>
          <w:u w:val="single"/>
        </w:rPr>
      </w:pPr>
    </w:p>
    <w:p w14:paraId="1F8DDA64" w14:textId="77777777" w:rsidR="00232642" w:rsidRDefault="00232642" w:rsidP="00232642">
      <w:pPr>
        <w:rPr>
          <w:b/>
          <w:bCs/>
          <w:szCs w:val="24"/>
          <w:u w:val="single"/>
        </w:rPr>
      </w:pPr>
    </w:p>
    <w:p w14:paraId="2BAED1FE" w14:textId="77777777" w:rsidR="00232642" w:rsidRDefault="00232642" w:rsidP="00232642">
      <w:pPr>
        <w:pStyle w:val="Title"/>
        <w:rPr>
          <w:sz w:val="32"/>
        </w:rPr>
      </w:pPr>
    </w:p>
    <w:p w14:paraId="0FDF79FE" w14:textId="20F32A69" w:rsidR="00232642" w:rsidRDefault="00232642" w:rsidP="00232642">
      <w:pPr>
        <w:pStyle w:val="Title"/>
        <w:rPr>
          <w:sz w:val="32"/>
        </w:rPr>
      </w:pPr>
      <w:r>
        <w:rPr>
          <w:sz w:val="32"/>
        </w:rPr>
        <w:t>Elm Market Navigator ETF</w:t>
      </w:r>
    </w:p>
    <w:p w14:paraId="0B57B83A" w14:textId="77777777" w:rsidR="00232642" w:rsidRDefault="00232642" w:rsidP="00232642">
      <w:pPr>
        <w:pStyle w:val="Title"/>
        <w:rPr>
          <w:sz w:val="20"/>
        </w:rPr>
      </w:pPr>
      <w:r>
        <w:rPr>
          <w:b w:val="0"/>
          <w:sz w:val="20"/>
        </w:rPr>
        <w:t>--------------------------------------------------------------------------------------------------------------------------------------------</w:t>
      </w:r>
    </w:p>
    <w:p w14:paraId="146D7664" w14:textId="77777777" w:rsidR="00232642" w:rsidRDefault="00232642" w:rsidP="00232642">
      <w:pPr>
        <w:rPr>
          <w:b/>
          <w:bCs/>
          <w:szCs w:val="24"/>
          <w:u w:val="single"/>
        </w:rPr>
      </w:pPr>
    </w:p>
    <w:p w14:paraId="77E17FDD" w14:textId="77777777" w:rsidR="00232642" w:rsidRDefault="00232642" w:rsidP="00232642">
      <w:pPr>
        <w:rPr>
          <w:b/>
          <w:bCs/>
          <w:szCs w:val="24"/>
          <w:u w:val="single"/>
        </w:rPr>
      </w:pPr>
    </w:p>
    <w:p w14:paraId="2EB72B2A" w14:textId="4663A5EE" w:rsidR="00232642" w:rsidRPr="00F87C9E" w:rsidRDefault="00232642" w:rsidP="00232642">
      <w:pPr>
        <w:rPr>
          <w:szCs w:val="24"/>
        </w:rPr>
      </w:pPr>
      <w:r w:rsidRPr="00F87C9E">
        <w:rPr>
          <w:b/>
          <w:bCs/>
          <w:szCs w:val="24"/>
          <w:u w:val="single"/>
        </w:rPr>
        <w:t xml:space="preserve">Income from Foreign Sources </w:t>
      </w:r>
      <w:r>
        <w:rPr>
          <w:b/>
          <w:bCs/>
          <w:szCs w:val="24"/>
          <w:u w:val="single"/>
        </w:rPr>
        <w:t>S</w:t>
      </w:r>
      <w:r w:rsidRPr="00F87C9E">
        <w:rPr>
          <w:b/>
          <w:bCs/>
          <w:szCs w:val="24"/>
          <w:u w:val="single"/>
        </w:rPr>
        <w:t>ubject to Foreign Tax Credit:</w:t>
      </w:r>
    </w:p>
    <w:p w14:paraId="43FFA873" w14:textId="77777777" w:rsidR="00232642" w:rsidRPr="00F87C9E" w:rsidRDefault="00232642" w:rsidP="00232642">
      <w:pPr>
        <w:rPr>
          <w:szCs w:val="24"/>
        </w:rPr>
      </w:pPr>
    </w:p>
    <w:p w14:paraId="41EE147A" w14:textId="121F23B4" w:rsidR="00232642" w:rsidRPr="00F87C9E" w:rsidRDefault="00232642" w:rsidP="00232642">
      <w:pPr>
        <w:rPr>
          <w:szCs w:val="24"/>
        </w:rPr>
      </w:pPr>
      <w:r w:rsidRPr="00F87C9E">
        <w:rPr>
          <w:szCs w:val="24"/>
        </w:rPr>
        <w:t xml:space="preserve">For the year ended December 31, </w:t>
      </w:r>
      <w:r>
        <w:rPr>
          <w:szCs w:val="24"/>
        </w:rPr>
        <w:t>2025,</w:t>
      </w:r>
      <w:r w:rsidRPr="00D43684">
        <w:rPr>
          <w:b/>
          <w:bCs/>
          <w:sz w:val="28"/>
          <w:szCs w:val="28"/>
        </w:rPr>
        <w:t xml:space="preserve"> </w:t>
      </w:r>
      <w:r>
        <w:rPr>
          <w:szCs w:val="24"/>
        </w:rPr>
        <w:t>the Elm Market Navigator ETF</w:t>
      </w:r>
      <w:r>
        <w:rPr>
          <w:szCs w:val="24"/>
        </w:rPr>
        <w:t xml:space="preserve"> </w:t>
      </w:r>
      <w:r w:rsidRPr="00F87C9E">
        <w:rPr>
          <w:szCs w:val="24"/>
        </w:rPr>
        <w:t xml:space="preserve">earned foreign source income and paid foreign taxes which </w:t>
      </w:r>
      <w:r>
        <w:rPr>
          <w:szCs w:val="24"/>
        </w:rPr>
        <w:t>it</w:t>
      </w:r>
      <w:r w:rsidRPr="00F87C9E">
        <w:rPr>
          <w:szCs w:val="24"/>
        </w:rPr>
        <w:t xml:space="preserve"> intend</w:t>
      </w:r>
      <w:r>
        <w:rPr>
          <w:szCs w:val="24"/>
        </w:rPr>
        <w:t>s</w:t>
      </w:r>
      <w:r w:rsidRPr="00F87C9E">
        <w:rPr>
          <w:szCs w:val="24"/>
        </w:rPr>
        <w:t xml:space="preserve"> to pass through to </w:t>
      </w:r>
      <w:r>
        <w:rPr>
          <w:szCs w:val="24"/>
        </w:rPr>
        <w:t>its</w:t>
      </w:r>
      <w:r w:rsidRPr="00F87C9E">
        <w:rPr>
          <w:szCs w:val="24"/>
        </w:rPr>
        <w:t xml:space="preserve"> shareholders pursuant to Section 853 of the Internal Revenue Code.</w:t>
      </w:r>
    </w:p>
    <w:p w14:paraId="659457D9" w14:textId="77777777" w:rsidR="00232642" w:rsidRDefault="00232642" w:rsidP="00232642">
      <w:pPr>
        <w:rPr>
          <w:szCs w:val="24"/>
        </w:rPr>
      </w:pPr>
    </w:p>
    <w:p w14:paraId="06FAFD45" w14:textId="77777777" w:rsidR="00232642" w:rsidRPr="00822F02" w:rsidRDefault="00232642" w:rsidP="00232642">
      <w:pPr>
        <w:rPr>
          <w:szCs w:val="24"/>
        </w:rPr>
      </w:pPr>
      <w:r>
        <w:rPr>
          <w:szCs w:val="24"/>
        </w:rPr>
        <w:t>See below to determine the foreign taxes paid and the foreign source income.</w:t>
      </w:r>
    </w:p>
    <w:p w14:paraId="65D306F2" w14:textId="77777777" w:rsidR="00232642" w:rsidRPr="00822F02" w:rsidRDefault="00232642" w:rsidP="00232642">
      <w:pPr>
        <w:rPr>
          <w:szCs w:val="24"/>
        </w:rPr>
      </w:pPr>
    </w:p>
    <w:p w14:paraId="6BBE6BAC" w14:textId="77777777" w:rsidR="00232642" w:rsidRPr="00822F02" w:rsidRDefault="00232642" w:rsidP="00232642">
      <w:pPr>
        <w:numPr>
          <w:ilvl w:val="0"/>
          <w:numId w:val="1"/>
        </w:numPr>
        <w:tabs>
          <w:tab w:val="clear" w:pos="720"/>
          <w:tab w:val="num" w:pos="288"/>
        </w:tabs>
        <w:spacing w:after="240"/>
        <w:ind w:left="288" w:hanging="288"/>
        <w:rPr>
          <w:szCs w:val="24"/>
        </w:rPr>
      </w:pPr>
      <w:r w:rsidRPr="00822F02">
        <w:rPr>
          <w:szCs w:val="24"/>
        </w:rPr>
        <w:t xml:space="preserve">The shareholder’s portion of foreign taxes paid (see </w:t>
      </w:r>
      <w:r>
        <w:rPr>
          <w:szCs w:val="24"/>
        </w:rPr>
        <w:t xml:space="preserve">Box 7 of </w:t>
      </w:r>
      <w:r w:rsidRPr="00822F02">
        <w:rPr>
          <w:szCs w:val="24"/>
        </w:rPr>
        <w:t>your enclosed Tax Form for this information).</w:t>
      </w:r>
    </w:p>
    <w:p w14:paraId="033585B2" w14:textId="77777777" w:rsidR="00232642" w:rsidRPr="00822F02" w:rsidRDefault="00232642" w:rsidP="00232642">
      <w:pPr>
        <w:numPr>
          <w:ilvl w:val="0"/>
          <w:numId w:val="1"/>
        </w:numPr>
        <w:tabs>
          <w:tab w:val="clear" w:pos="720"/>
          <w:tab w:val="num" w:pos="288"/>
        </w:tabs>
        <w:ind w:left="288" w:hanging="288"/>
        <w:rPr>
          <w:b/>
          <w:bCs/>
          <w:szCs w:val="24"/>
          <w:u w:val="single"/>
        </w:rPr>
      </w:pPr>
      <w:r w:rsidRPr="00822F02">
        <w:rPr>
          <w:szCs w:val="24"/>
        </w:rPr>
        <w:t xml:space="preserve">The shareholder’s amount of foreign source gross income.  This amount can be calculated as a percentage of your ordinary dividend shown in Box 1 of your </w:t>
      </w:r>
      <w:r>
        <w:rPr>
          <w:szCs w:val="24"/>
        </w:rPr>
        <w:t>2025</w:t>
      </w:r>
      <w:r w:rsidRPr="00822F02">
        <w:rPr>
          <w:szCs w:val="24"/>
        </w:rPr>
        <w:t xml:space="preserve"> Tax Form.  Please see the information below for your foreign source gross income amount.</w:t>
      </w:r>
    </w:p>
    <w:p w14:paraId="3756B9D5" w14:textId="77777777" w:rsidR="00232642" w:rsidRDefault="00232642" w:rsidP="00232642">
      <w:pPr>
        <w:rPr>
          <w:b/>
          <w:szCs w:val="24"/>
        </w:rPr>
      </w:pPr>
    </w:p>
    <w:p w14:paraId="1523F4C1" w14:textId="77777777" w:rsidR="00232642" w:rsidRDefault="00232642" w:rsidP="00232642">
      <w:pPr>
        <w:rPr>
          <w:b/>
          <w:szCs w:val="24"/>
        </w:rPr>
      </w:pPr>
    </w:p>
    <w:p w14:paraId="1F714876" w14:textId="77777777" w:rsidR="00232642" w:rsidRPr="00822F02" w:rsidRDefault="00232642" w:rsidP="00232642">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822F02">
        <w:rPr>
          <w:b/>
          <w:szCs w:val="24"/>
        </w:rPr>
        <w:t xml:space="preserve">Foreign Source </w:t>
      </w:r>
      <w:r>
        <w:rPr>
          <w:b/>
          <w:szCs w:val="24"/>
        </w:rPr>
        <w:t>G</w:t>
      </w:r>
      <w:r w:rsidRPr="00822F02">
        <w:rPr>
          <w:b/>
          <w:szCs w:val="24"/>
        </w:rPr>
        <w:t>ross</w:t>
      </w:r>
    </w:p>
    <w:p w14:paraId="57F5A11F" w14:textId="77777777" w:rsidR="00232642" w:rsidRPr="00822F02" w:rsidRDefault="00232642" w:rsidP="00232642">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822F02">
        <w:rPr>
          <w:b/>
          <w:szCs w:val="24"/>
        </w:rPr>
        <w:t xml:space="preserve">Income (Use % listed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822F02">
        <w:rPr>
          <w:b/>
          <w:szCs w:val="24"/>
        </w:rPr>
        <w:t>below and apply to</w:t>
      </w:r>
      <w:r>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822F02">
        <w:rPr>
          <w:b/>
          <w:szCs w:val="24"/>
        </w:rPr>
        <w:t>Ordinary</w:t>
      </w:r>
      <w:r>
        <w:rPr>
          <w:b/>
          <w:szCs w:val="24"/>
        </w:rPr>
        <w:t xml:space="preserve"> </w:t>
      </w:r>
      <w:r w:rsidRPr="00822F02">
        <w:rPr>
          <w:b/>
          <w:szCs w:val="24"/>
        </w:rPr>
        <w:t>Income as</w:t>
      </w:r>
    </w:p>
    <w:p w14:paraId="0532FC54" w14:textId="77777777" w:rsidR="00232642" w:rsidRDefault="00232642" w:rsidP="00232642">
      <w:pPr>
        <w:rPr>
          <w:b/>
          <w:szCs w:val="24"/>
        </w:rPr>
      </w:pPr>
      <w:r w:rsidRPr="00822F02">
        <w:rPr>
          <w:b/>
          <w:szCs w:val="24"/>
        </w:rPr>
        <w:t>Fund Name</w:t>
      </w:r>
      <w:r>
        <w:rPr>
          <w:b/>
          <w:szCs w:val="24"/>
        </w:rPr>
        <w:tab/>
      </w:r>
      <w:r>
        <w:rPr>
          <w:b/>
          <w:szCs w:val="24"/>
        </w:rPr>
        <w:tab/>
      </w:r>
      <w:r>
        <w:rPr>
          <w:b/>
          <w:szCs w:val="24"/>
        </w:rPr>
        <w:tab/>
      </w:r>
      <w:r>
        <w:rPr>
          <w:b/>
          <w:szCs w:val="24"/>
        </w:rPr>
        <w:tab/>
      </w:r>
      <w:r>
        <w:rPr>
          <w:b/>
          <w:szCs w:val="24"/>
        </w:rPr>
        <w:tab/>
      </w:r>
      <w:r>
        <w:rPr>
          <w:b/>
          <w:szCs w:val="24"/>
        </w:rPr>
        <w:tab/>
      </w:r>
      <w:r>
        <w:rPr>
          <w:b/>
          <w:szCs w:val="24"/>
        </w:rPr>
        <w:tab/>
        <w:t>s</w:t>
      </w:r>
      <w:r w:rsidRPr="00822F02">
        <w:rPr>
          <w:b/>
          <w:szCs w:val="24"/>
        </w:rPr>
        <w:t xml:space="preserve">hown in </w:t>
      </w:r>
      <w:smartTag w:uri="urn:schemas-microsoft-com:office:smarttags" w:element="address">
        <w:smartTag w:uri="urn:schemas-microsoft-com:office:smarttags" w:element="Street">
          <w:r w:rsidRPr="00822F02">
            <w:rPr>
              <w:b/>
              <w:szCs w:val="24"/>
            </w:rPr>
            <w:t>Box</w:t>
          </w:r>
        </w:smartTag>
        <w:r w:rsidRPr="00822F02">
          <w:rPr>
            <w:b/>
            <w:szCs w:val="24"/>
          </w:rPr>
          <w:t xml:space="preserve"> 1</w:t>
        </w:r>
      </w:smartTag>
      <w:r w:rsidRPr="00822F02">
        <w:rPr>
          <w:b/>
          <w:szCs w:val="24"/>
        </w:rPr>
        <w:t xml:space="preserve"> to compute)</w:t>
      </w:r>
    </w:p>
    <w:p w14:paraId="1006E2BC" w14:textId="77777777" w:rsidR="00232642" w:rsidRDefault="00232642" w:rsidP="00232642">
      <w:pPr>
        <w:rPr>
          <w:szCs w:val="24"/>
        </w:rPr>
      </w:pPr>
      <w:r>
        <w:rPr>
          <w:szCs w:val="24"/>
        </w:rPr>
        <w:tab/>
      </w:r>
    </w:p>
    <w:p w14:paraId="7334ECF5" w14:textId="77777777" w:rsidR="00232642" w:rsidRDefault="00232642" w:rsidP="00232642">
      <w:pPr>
        <w:rPr>
          <w:szCs w:val="24"/>
        </w:rPr>
      </w:pPr>
    </w:p>
    <w:p w14:paraId="507368B7" w14:textId="3D019AA7" w:rsidR="00232642" w:rsidRPr="00701028" w:rsidRDefault="00232642" w:rsidP="00232642">
      <w:pPr>
        <w:rPr>
          <w:szCs w:val="24"/>
        </w:rPr>
      </w:pPr>
      <w:r w:rsidRPr="00232642">
        <w:rPr>
          <w:szCs w:val="24"/>
        </w:rPr>
        <w:t>Elm Market Navigator ETF</w:t>
      </w:r>
      <w:r>
        <w:rPr>
          <w:szCs w:val="24"/>
        </w:rPr>
        <w:tab/>
        <w:t>……………………………………</w:t>
      </w:r>
      <w:proofErr w:type="gramStart"/>
      <w:r>
        <w:rPr>
          <w:szCs w:val="24"/>
        </w:rPr>
        <w:t>…..</w:t>
      </w:r>
      <w:proofErr w:type="gramEnd"/>
      <w:r>
        <w:rPr>
          <w:szCs w:val="24"/>
        </w:rPr>
        <w:t xml:space="preserve"> 38.87</w:t>
      </w:r>
      <w:r w:rsidRPr="00701028">
        <w:rPr>
          <w:szCs w:val="24"/>
        </w:rPr>
        <w:t>%</w:t>
      </w:r>
    </w:p>
    <w:p w14:paraId="053E4D10" w14:textId="77777777" w:rsidR="001E10E9" w:rsidRDefault="001E10E9" w:rsidP="00A20C59">
      <w:pPr>
        <w:tabs>
          <w:tab w:val="center" w:pos="7920"/>
        </w:tabs>
        <w:rPr>
          <w:sz w:val="20"/>
        </w:rPr>
      </w:pPr>
    </w:p>
    <w:p w14:paraId="421F12BD" w14:textId="77777777" w:rsidR="001E10E9" w:rsidRDefault="001E10E9" w:rsidP="00A20C59">
      <w:pPr>
        <w:tabs>
          <w:tab w:val="center" w:pos="7920"/>
        </w:tabs>
        <w:rPr>
          <w:sz w:val="20"/>
        </w:rPr>
      </w:pPr>
    </w:p>
    <w:p w14:paraId="3D1EB1C7" w14:textId="77777777" w:rsidR="001E10E9" w:rsidRDefault="001E10E9" w:rsidP="00A20C59">
      <w:pPr>
        <w:tabs>
          <w:tab w:val="center" w:pos="7920"/>
        </w:tabs>
        <w:rPr>
          <w:sz w:val="20"/>
        </w:rPr>
      </w:pPr>
    </w:p>
    <w:p w14:paraId="5D970651" w14:textId="77777777" w:rsidR="001E10E9" w:rsidRDefault="001E10E9" w:rsidP="00A20C59">
      <w:pPr>
        <w:tabs>
          <w:tab w:val="center" w:pos="7920"/>
        </w:tabs>
        <w:rPr>
          <w:sz w:val="20"/>
        </w:rPr>
      </w:pPr>
    </w:p>
    <w:p w14:paraId="05DA4844" w14:textId="77777777" w:rsidR="001E10E9" w:rsidRDefault="001E10E9" w:rsidP="00A20C59">
      <w:pPr>
        <w:tabs>
          <w:tab w:val="center" w:pos="7920"/>
        </w:tabs>
        <w:rPr>
          <w:sz w:val="20"/>
        </w:rPr>
      </w:pPr>
    </w:p>
    <w:p w14:paraId="22130F54" w14:textId="77777777" w:rsidR="001E10E9" w:rsidRDefault="001E10E9" w:rsidP="00A20C59">
      <w:pPr>
        <w:tabs>
          <w:tab w:val="center" w:pos="7920"/>
        </w:tabs>
        <w:rPr>
          <w:sz w:val="20"/>
        </w:rPr>
      </w:pPr>
    </w:p>
    <w:p w14:paraId="503FCCF3" w14:textId="77777777" w:rsidR="001E10E9" w:rsidRPr="00A20C59" w:rsidRDefault="001E10E9" w:rsidP="00A20C59">
      <w:pPr>
        <w:tabs>
          <w:tab w:val="center" w:pos="7920"/>
        </w:tabs>
        <w:rPr>
          <w:sz w:val="20"/>
        </w:rPr>
      </w:pPr>
    </w:p>
    <w:sectPr w:rsidR="001E10E9" w:rsidRPr="00A20C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BDF3" w14:textId="77777777" w:rsidR="00530E1B" w:rsidRDefault="00530E1B">
      <w:r>
        <w:separator/>
      </w:r>
    </w:p>
  </w:endnote>
  <w:endnote w:type="continuationSeparator" w:id="0">
    <w:p w14:paraId="6930231A" w14:textId="77777777" w:rsidR="00530E1B" w:rsidRDefault="0053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496E" w14:textId="77777777" w:rsidR="0083475E" w:rsidRDefault="0083475E" w:rsidP="00837B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6CC4EB" w14:textId="77777777" w:rsidR="0083475E" w:rsidRDefault="00834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E8E9" w14:textId="77777777" w:rsidR="00A20C59" w:rsidRDefault="00A20C5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63783">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63783">
      <w:rPr>
        <w:b/>
        <w:bCs/>
        <w:noProof/>
      </w:rPr>
      <w:t>2</w:t>
    </w:r>
    <w:r>
      <w:rPr>
        <w:b/>
        <w:bCs/>
        <w:szCs w:val="24"/>
      </w:rPr>
      <w:fldChar w:fldCharType="end"/>
    </w:r>
  </w:p>
  <w:p w14:paraId="3E2EEE23" w14:textId="77777777" w:rsidR="0083475E" w:rsidRPr="0083475E" w:rsidRDefault="0083475E" w:rsidP="00A20C5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AB7D" w14:textId="77777777" w:rsidR="003E76FC" w:rsidRDefault="003E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9104" w14:textId="77777777" w:rsidR="00530E1B" w:rsidRDefault="00530E1B">
      <w:r>
        <w:separator/>
      </w:r>
    </w:p>
  </w:footnote>
  <w:footnote w:type="continuationSeparator" w:id="0">
    <w:p w14:paraId="3BFAFDA9" w14:textId="77777777" w:rsidR="00530E1B" w:rsidRDefault="0053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753" w14:textId="77777777" w:rsidR="003E76FC" w:rsidRDefault="003E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2D8" w14:textId="77777777" w:rsidR="003E76FC" w:rsidRDefault="003E7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6084" w14:textId="77777777" w:rsidR="003E76FC" w:rsidRDefault="003E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5B6B"/>
    <w:multiLevelType w:val="hybridMultilevel"/>
    <w:tmpl w:val="9C60B0B0"/>
    <w:lvl w:ilvl="0" w:tplc="03E016D6">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27887417">
    <w:abstractNumId w:val="0"/>
  </w:num>
  <w:num w:numId="2" w16cid:durableId="78140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260A"/>
    <w:rsid w:val="000109C7"/>
    <w:rsid w:val="00011317"/>
    <w:rsid w:val="0003373B"/>
    <w:rsid w:val="000712A6"/>
    <w:rsid w:val="000821E8"/>
    <w:rsid w:val="00091877"/>
    <w:rsid w:val="000A13E5"/>
    <w:rsid w:val="000B0E4C"/>
    <w:rsid w:val="000C2EEA"/>
    <w:rsid w:val="000D104D"/>
    <w:rsid w:val="000D28F8"/>
    <w:rsid w:val="000D31BE"/>
    <w:rsid w:val="0010007F"/>
    <w:rsid w:val="00104C24"/>
    <w:rsid w:val="00115680"/>
    <w:rsid w:val="001274E2"/>
    <w:rsid w:val="00135114"/>
    <w:rsid w:val="00146F22"/>
    <w:rsid w:val="001475D9"/>
    <w:rsid w:val="001611E8"/>
    <w:rsid w:val="0016340F"/>
    <w:rsid w:val="001870B8"/>
    <w:rsid w:val="001A0BEA"/>
    <w:rsid w:val="001A23B1"/>
    <w:rsid w:val="001C182C"/>
    <w:rsid w:val="001D2BB3"/>
    <w:rsid w:val="001E10E9"/>
    <w:rsid w:val="001F35B6"/>
    <w:rsid w:val="00221C42"/>
    <w:rsid w:val="00226A64"/>
    <w:rsid w:val="00232642"/>
    <w:rsid w:val="0023634A"/>
    <w:rsid w:val="00261A71"/>
    <w:rsid w:val="002769D3"/>
    <w:rsid w:val="002D5017"/>
    <w:rsid w:val="002D5AD8"/>
    <w:rsid w:val="002F10FF"/>
    <w:rsid w:val="002F43AE"/>
    <w:rsid w:val="003003FF"/>
    <w:rsid w:val="00305254"/>
    <w:rsid w:val="00321C0E"/>
    <w:rsid w:val="0032498B"/>
    <w:rsid w:val="003B76B9"/>
    <w:rsid w:val="003C31B9"/>
    <w:rsid w:val="003D3B18"/>
    <w:rsid w:val="003E76FC"/>
    <w:rsid w:val="00420B44"/>
    <w:rsid w:val="00425C0D"/>
    <w:rsid w:val="0044059E"/>
    <w:rsid w:val="0044500D"/>
    <w:rsid w:val="00451C84"/>
    <w:rsid w:val="00461D7E"/>
    <w:rsid w:val="004A34DF"/>
    <w:rsid w:val="004A553D"/>
    <w:rsid w:val="004A6986"/>
    <w:rsid w:val="004D5453"/>
    <w:rsid w:val="005026CC"/>
    <w:rsid w:val="005106AE"/>
    <w:rsid w:val="00514D3A"/>
    <w:rsid w:val="00526917"/>
    <w:rsid w:val="00530E1B"/>
    <w:rsid w:val="00563783"/>
    <w:rsid w:val="00564AB9"/>
    <w:rsid w:val="00576F1D"/>
    <w:rsid w:val="00584626"/>
    <w:rsid w:val="00597960"/>
    <w:rsid w:val="005A5519"/>
    <w:rsid w:val="005B0519"/>
    <w:rsid w:val="005B5B1A"/>
    <w:rsid w:val="005B6DA5"/>
    <w:rsid w:val="005C206F"/>
    <w:rsid w:val="005C2B1E"/>
    <w:rsid w:val="006010A6"/>
    <w:rsid w:val="00607FE0"/>
    <w:rsid w:val="00611F09"/>
    <w:rsid w:val="006229BE"/>
    <w:rsid w:val="00663BA9"/>
    <w:rsid w:val="00665F5F"/>
    <w:rsid w:val="00675F4F"/>
    <w:rsid w:val="006A276F"/>
    <w:rsid w:val="006B09E8"/>
    <w:rsid w:val="006C0416"/>
    <w:rsid w:val="006E5AC7"/>
    <w:rsid w:val="006F0BE1"/>
    <w:rsid w:val="0071556B"/>
    <w:rsid w:val="00725BCC"/>
    <w:rsid w:val="00726AFA"/>
    <w:rsid w:val="007448C8"/>
    <w:rsid w:val="00762111"/>
    <w:rsid w:val="007631F4"/>
    <w:rsid w:val="0078333B"/>
    <w:rsid w:val="0078650A"/>
    <w:rsid w:val="00786BB0"/>
    <w:rsid w:val="00786E67"/>
    <w:rsid w:val="007A3CF1"/>
    <w:rsid w:val="007D3D50"/>
    <w:rsid w:val="00831637"/>
    <w:rsid w:val="0083475E"/>
    <w:rsid w:val="00837B95"/>
    <w:rsid w:val="008826CA"/>
    <w:rsid w:val="008A34F1"/>
    <w:rsid w:val="008B0A31"/>
    <w:rsid w:val="008B66DD"/>
    <w:rsid w:val="008C1496"/>
    <w:rsid w:val="008C5BD5"/>
    <w:rsid w:val="008F03E0"/>
    <w:rsid w:val="008F260A"/>
    <w:rsid w:val="009247E0"/>
    <w:rsid w:val="00925D58"/>
    <w:rsid w:val="00932199"/>
    <w:rsid w:val="0094538A"/>
    <w:rsid w:val="009C1754"/>
    <w:rsid w:val="009D569E"/>
    <w:rsid w:val="009E0717"/>
    <w:rsid w:val="009E66CB"/>
    <w:rsid w:val="009F6BEB"/>
    <w:rsid w:val="009F770B"/>
    <w:rsid w:val="00A03054"/>
    <w:rsid w:val="00A07131"/>
    <w:rsid w:val="00A20C59"/>
    <w:rsid w:val="00A72A33"/>
    <w:rsid w:val="00A91474"/>
    <w:rsid w:val="00A92D0F"/>
    <w:rsid w:val="00A9600B"/>
    <w:rsid w:val="00AB1A4D"/>
    <w:rsid w:val="00AC1F58"/>
    <w:rsid w:val="00AF10B4"/>
    <w:rsid w:val="00AF227D"/>
    <w:rsid w:val="00AF3B2F"/>
    <w:rsid w:val="00B06EBF"/>
    <w:rsid w:val="00B11498"/>
    <w:rsid w:val="00B40070"/>
    <w:rsid w:val="00B77719"/>
    <w:rsid w:val="00B904AB"/>
    <w:rsid w:val="00B952D2"/>
    <w:rsid w:val="00BA6DFD"/>
    <w:rsid w:val="00C24415"/>
    <w:rsid w:val="00C32FD4"/>
    <w:rsid w:val="00C65EE0"/>
    <w:rsid w:val="00CB3A74"/>
    <w:rsid w:val="00CC133F"/>
    <w:rsid w:val="00CC413E"/>
    <w:rsid w:val="00CF7922"/>
    <w:rsid w:val="00D36BF6"/>
    <w:rsid w:val="00D50B60"/>
    <w:rsid w:val="00D62EA3"/>
    <w:rsid w:val="00D81172"/>
    <w:rsid w:val="00D83315"/>
    <w:rsid w:val="00DA1CC9"/>
    <w:rsid w:val="00DA57A0"/>
    <w:rsid w:val="00DC66E8"/>
    <w:rsid w:val="00DD18A7"/>
    <w:rsid w:val="00DD76B7"/>
    <w:rsid w:val="00DE38A5"/>
    <w:rsid w:val="00DE68A3"/>
    <w:rsid w:val="00DF07FF"/>
    <w:rsid w:val="00E14F5D"/>
    <w:rsid w:val="00E2240B"/>
    <w:rsid w:val="00E23AED"/>
    <w:rsid w:val="00E34F9A"/>
    <w:rsid w:val="00E75B97"/>
    <w:rsid w:val="00E905C4"/>
    <w:rsid w:val="00EB5270"/>
    <w:rsid w:val="00ED60DB"/>
    <w:rsid w:val="00F00B18"/>
    <w:rsid w:val="00F47762"/>
    <w:rsid w:val="00F51DE4"/>
    <w:rsid w:val="00F61A9B"/>
    <w:rsid w:val="00F86413"/>
    <w:rsid w:val="00FA3093"/>
    <w:rsid w:val="00FE09C1"/>
    <w:rsid w:val="00FE1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C4EB24B"/>
  <w15:chartTrackingRefBased/>
  <w15:docId w15:val="{12D05384-671F-46A2-9C30-785DF1C4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
    <w:name w:val="Body Text"/>
    <w:basedOn w:val="Normal"/>
    <w:rPr>
      <w:sz w:val="20"/>
    </w:rPr>
  </w:style>
  <w:style w:type="paragraph" w:styleId="BodyText2">
    <w:name w:val="Body Text 2"/>
    <w:basedOn w:val="Normal"/>
    <w:pPr>
      <w:tabs>
        <w:tab w:val="center" w:pos="7920"/>
      </w:tabs>
      <w:jc w:val="both"/>
    </w:pPr>
    <w:rPr>
      <w:sz w:val="20"/>
    </w:rPr>
  </w:style>
  <w:style w:type="paragraph" w:styleId="BalloonText">
    <w:name w:val="Balloon Text"/>
    <w:basedOn w:val="Normal"/>
    <w:semiHidden/>
    <w:rsid w:val="00FA3093"/>
    <w:rPr>
      <w:rFonts w:ascii="Tahoma" w:hAnsi="Tahoma" w:cs="Tahoma"/>
      <w:sz w:val="16"/>
      <w:szCs w:val="16"/>
    </w:rPr>
  </w:style>
  <w:style w:type="paragraph" w:styleId="BodyTextIndent">
    <w:name w:val="Body Text Indent"/>
    <w:basedOn w:val="Normal"/>
    <w:rsid w:val="00C65EE0"/>
    <w:pPr>
      <w:spacing w:after="120"/>
      <w:ind w:left="360"/>
    </w:pPr>
  </w:style>
  <w:style w:type="paragraph" w:styleId="Header">
    <w:name w:val="header"/>
    <w:basedOn w:val="Normal"/>
    <w:rsid w:val="000B0E4C"/>
    <w:pPr>
      <w:tabs>
        <w:tab w:val="center" w:pos="4320"/>
        <w:tab w:val="right" w:pos="8640"/>
      </w:tabs>
    </w:pPr>
  </w:style>
  <w:style w:type="paragraph" w:styleId="Footer">
    <w:name w:val="footer"/>
    <w:basedOn w:val="Normal"/>
    <w:link w:val="FooterChar"/>
    <w:uiPriority w:val="99"/>
    <w:rsid w:val="000B0E4C"/>
    <w:pPr>
      <w:tabs>
        <w:tab w:val="center" w:pos="4320"/>
        <w:tab w:val="right" w:pos="8640"/>
      </w:tabs>
    </w:pPr>
  </w:style>
  <w:style w:type="character" w:styleId="PageNumber">
    <w:name w:val="page number"/>
    <w:basedOn w:val="DefaultParagraphFont"/>
    <w:rsid w:val="0083475E"/>
  </w:style>
  <w:style w:type="character" w:customStyle="1" w:styleId="FooterChar">
    <w:name w:val="Footer Char"/>
    <w:link w:val="Footer"/>
    <w:uiPriority w:val="99"/>
    <w:rsid w:val="00C32FD4"/>
    <w:rPr>
      <w:sz w:val="24"/>
    </w:rPr>
  </w:style>
  <w:style w:type="character" w:customStyle="1" w:styleId="TitleChar">
    <w:name w:val="Title Char"/>
    <w:link w:val="Title"/>
    <w:rsid w:val="001E10E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7238">
      <w:bodyDiv w:val="1"/>
      <w:marLeft w:val="0"/>
      <w:marRight w:val="0"/>
      <w:marTop w:val="0"/>
      <w:marBottom w:val="0"/>
      <w:divBdr>
        <w:top w:val="none" w:sz="0" w:space="0" w:color="auto"/>
        <w:left w:val="none" w:sz="0" w:space="0" w:color="auto"/>
        <w:bottom w:val="none" w:sz="0" w:space="0" w:color="auto"/>
        <w:right w:val="none" w:sz="0" w:space="0" w:color="auto"/>
      </w:divBdr>
    </w:div>
    <w:div w:id="465664283">
      <w:bodyDiv w:val="1"/>
      <w:marLeft w:val="0"/>
      <w:marRight w:val="0"/>
      <w:marTop w:val="0"/>
      <w:marBottom w:val="0"/>
      <w:divBdr>
        <w:top w:val="none" w:sz="0" w:space="0" w:color="auto"/>
        <w:left w:val="none" w:sz="0" w:space="0" w:color="auto"/>
        <w:bottom w:val="none" w:sz="0" w:space="0" w:color="auto"/>
        <w:right w:val="none" w:sz="0" w:space="0" w:color="auto"/>
      </w:divBdr>
    </w:div>
    <w:div w:id="611136308">
      <w:bodyDiv w:val="1"/>
      <w:marLeft w:val="0"/>
      <w:marRight w:val="0"/>
      <w:marTop w:val="0"/>
      <w:marBottom w:val="0"/>
      <w:divBdr>
        <w:top w:val="none" w:sz="0" w:space="0" w:color="auto"/>
        <w:left w:val="none" w:sz="0" w:space="0" w:color="auto"/>
        <w:bottom w:val="none" w:sz="0" w:space="0" w:color="auto"/>
        <w:right w:val="none" w:sz="0" w:space="0" w:color="auto"/>
      </w:divBdr>
    </w:div>
    <w:div w:id="715272639">
      <w:bodyDiv w:val="1"/>
      <w:marLeft w:val="0"/>
      <w:marRight w:val="0"/>
      <w:marTop w:val="0"/>
      <w:marBottom w:val="0"/>
      <w:divBdr>
        <w:top w:val="none" w:sz="0" w:space="0" w:color="auto"/>
        <w:left w:val="none" w:sz="0" w:space="0" w:color="auto"/>
        <w:bottom w:val="none" w:sz="0" w:space="0" w:color="auto"/>
        <w:right w:val="none" w:sz="0" w:space="0" w:color="auto"/>
      </w:divBdr>
    </w:div>
    <w:div w:id="727151739">
      <w:bodyDiv w:val="1"/>
      <w:marLeft w:val="0"/>
      <w:marRight w:val="0"/>
      <w:marTop w:val="0"/>
      <w:marBottom w:val="0"/>
      <w:divBdr>
        <w:top w:val="none" w:sz="0" w:space="0" w:color="auto"/>
        <w:left w:val="none" w:sz="0" w:space="0" w:color="auto"/>
        <w:bottom w:val="none" w:sz="0" w:space="0" w:color="auto"/>
        <w:right w:val="none" w:sz="0" w:space="0" w:color="auto"/>
      </w:divBdr>
    </w:div>
    <w:div w:id="811479625">
      <w:bodyDiv w:val="1"/>
      <w:marLeft w:val="0"/>
      <w:marRight w:val="0"/>
      <w:marTop w:val="0"/>
      <w:marBottom w:val="0"/>
      <w:divBdr>
        <w:top w:val="none" w:sz="0" w:space="0" w:color="auto"/>
        <w:left w:val="none" w:sz="0" w:space="0" w:color="auto"/>
        <w:bottom w:val="none" w:sz="0" w:space="0" w:color="auto"/>
        <w:right w:val="none" w:sz="0" w:space="0" w:color="auto"/>
      </w:divBdr>
    </w:div>
    <w:div w:id="970356861">
      <w:bodyDiv w:val="1"/>
      <w:marLeft w:val="0"/>
      <w:marRight w:val="0"/>
      <w:marTop w:val="0"/>
      <w:marBottom w:val="0"/>
      <w:divBdr>
        <w:top w:val="none" w:sz="0" w:space="0" w:color="auto"/>
        <w:left w:val="none" w:sz="0" w:space="0" w:color="auto"/>
        <w:bottom w:val="none" w:sz="0" w:space="0" w:color="auto"/>
        <w:right w:val="none" w:sz="0" w:space="0" w:color="auto"/>
      </w:divBdr>
    </w:div>
    <w:div w:id="1001815209">
      <w:bodyDiv w:val="1"/>
      <w:marLeft w:val="0"/>
      <w:marRight w:val="0"/>
      <w:marTop w:val="0"/>
      <w:marBottom w:val="0"/>
      <w:divBdr>
        <w:top w:val="none" w:sz="0" w:space="0" w:color="auto"/>
        <w:left w:val="none" w:sz="0" w:space="0" w:color="auto"/>
        <w:bottom w:val="none" w:sz="0" w:space="0" w:color="auto"/>
        <w:right w:val="none" w:sz="0" w:space="0" w:color="auto"/>
      </w:divBdr>
    </w:div>
    <w:div w:id="1194466955">
      <w:bodyDiv w:val="1"/>
      <w:marLeft w:val="0"/>
      <w:marRight w:val="0"/>
      <w:marTop w:val="0"/>
      <w:marBottom w:val="0"/>
      <w:divBdr>
        <w:top w:val="none" w:sz="0" w:space="0" w:color="auto"/>
        <w:left w:val="none" w:sz="0" w:space="0" w:color="auto"/>
        <w:bottom w:val="none" w:sz="0" w:space="0" w:color="auto"/>
        <w:right w:val="none" w:sz="0" w:space="0" w:color="auto"/>
      </w:divBdr>
    </w:div>
    <w:div w:id="1257785961">
      <w:bodyDiv w:val="1"/>
      <w:marLeft w:val="0"/>
      <w:marRight w:val="0"/>
      <w:marTop w:val="0"/>
      <w:marBottom w:val="0"/>
      <w:divBdr>
        <w:top w:val="none" w:sz="0" w:space="0" w:color="auto"/>
        <w:left w:val="none" w:sz="0" w:space="0" w:color="auto"/>
        <w:bottom w:val="none" w:sz="0" w:space="0" w:color="auto"/>
        <w:right w:val="none" w:sz="0" w:space="0" w:color="auto"/>
      </w:divBdr>
    </w:div>
    <w:div w:id="1258057929">
      <w:bodyDiv w:val="1"/>
      <w:marLeft w:val="0"/>
      <w:marRight w:val="0"/>
      <w:marTop w:val="0"/>
      <w:marBottom w:val="0"/>
      <w:divBdr>
        <w:top w:val="none" w:sz="0" w:space="0" w:color="auto"/>
        <w:left w:val="none" w:sz="0" w:space="0" w:color="auto"/>
        <w:bottom w:val="none" w:sz="0" w:space="0" w:color="auto"/>
        <w:right w:val="none" w:sz="0" w:space="0" w:color="auto"/>
      </w:divBdr>
    </w:div>
    <w:div w:id="1306740190">
      <w:bodyDiv w:val="1"/>
      <w:marLeft w:val="0"/>
      <w:marRight w:val="0"/>
      <w:marTop w:val="0"/>
      <w:marBottom w:val="0"/>
      <w:divBdr>
        <w:top w:val="none" w:sz="0" w:space="0" w:color="auto"/>
        <w:left w:val="none" w:sz="0" w:space="0" w:color="auto"/>
        <w:bottom w:val="none" w:sz="0" w:space="0" w:color="auto"/>
        <w:right w:val="none" w:sz="0" w:space="0" w:color="auto"/>
      </w:divBdr>
    </w:div>
    <w:div w:id="1384910497">
      <w:bodyDiv w:val="1"/>
      <w:marLeft w:val="0"/>
      <w:marRight w:val="0"/>
      <w:marTop w:val="0"/>
      <w:marBottom w:val="0"/>
      <w:divBdr>
        <w:top w:val="none" w:sz="0" w:space="0" w:color="auto"/>
        <w:left w:val="none" w:sz="0" w:space="0" w:color="auto"/>
        <w:bottom w:val="none" w:sz="0" w:space="0" w:color="auto"/>
        <w:right w:val="none" w:sz="0" w:space="0" w:color="auto"/>
      </w:divBdr>
    </w:div>
    <w:div w:id="1420710233">
      <w:bodyDiv w:val="1"/>
      <w:marLeft w:val="0"/>
      <w:marRight w:val="0"/>
      <w:marTop w:val="0"/>
      <w:marBottom w:val="0"/>
      <w:divBdr>
        <w:top w:val="none" w:sz="0" w:space="0" w:color="auto"/>
        <w:left w:val="none" w:sz="0" w:space="0" w:color="auto"/>
        <w:bottom w:val="none" w:sz="0" w:space="0" w:color="auto"/>
        <w:right w:val="none" w:sz="0" w:space="0" w:color="auto"/>
      </w:divBdr>
    </w:div>
    <w:div w:id="1449356222">
      <w:bodyDiv w:val="1"/>
      <w:marLeft w:val="0"/>
      <w:marRight w:val="0"/>
      <w:marTop w:val="0"/>
      <w:marBottom w:val="0"/>
      <w:divBdr>
        <w:top w:val="none" w:sz="0" w:space="0" w:color="auto"/>
        <w:left w:val="none" w:sz="0" w:space="0" w:color="auto"/>
        <w:bottom w:val="none" w:sz="0" w:space="0" w:color="auto"/>
        <w:right w:val="none" w:sz="0" w:space="0" w:color="auto"/>
      </w:divBdr>
    </w:div>
    <w:div w:id="1540819426">
      <w:bodyDiv w:val="1"/>
      <w:marLeft w:val="0"/>
      <w:marRight w:val="0"/>
      <w:marTop w:val="0"/>
      <w:marBottom w:val="0"/>
      <w:divBdr>
        <w:top w:val="none" w:sz="0" w:space="0" w:color="auto"/>
        <w:left w:val="none" w:sz="0" w:space="0" w:color="auto"/>
        <w:bottom w:val="none" w:sz="0" w:space="0" w:color="auto"/>
        <w:right w:val="none" w:sz="0" w:space="0" w:color="auto"/>
      </w:divBdr>
    </w:div>
    <w:div w:id="1724407778">
      <w:bodyDiv w:val="1"/>
      <w:marLeft w:val="0"/>
      <w:marRight w:val="0"/>
      <w:marTop w:val="0"/>
      <w:marBottom w:val="0"/>
      <w:divBdr>
        <w:top w:val="none" w:sz="0" w:space="0" w:color="auto"/>
        <w:left w:val="none" w:sz="0" w:space="0" w:color="auto"/>
        <w:bottom w:val="none" w:sz="0" w:space="0" w:color="auto"/>
        <w:right w:val="none" w:sz="0" w:space="0" w:color="auto"/>
      </w:divBdr>
    </w:div>
    <w:div w:id="21209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462</Words>
  <Characters>2658</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NAME OF FUND</vt:lpstr>
    </vt:vector>
  </TitlesOfParts>
  <Company>Firstar Mutual Funds Services</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FUND</dc:title>
  <dc:subject/>
  <dc:creator>Firstar Mutual Funds Services</dc:creator>
  <cp:keywords/>
  <cp:lastModifiedBy>Carpenter, Ryan J</cp:lastModifiedBy>
  <cp:revision>8</cp:revision>
  <cp:lastPrinted>2026-01-23T19:09:00Z</cp:lastPrinted>
  <dcterms:created xsi:type="dcterms:W3CDTF">2025-01-22T21:03:00Z</dcterms:created>
  <dcterms:modified xsi:type="dcterms:W3CDTF">2026-02-20T15:52:00Z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2022-01-20T21:49:11Z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69518472-289e-4b53-8205-fbc0c9eafab6</vt:lpwstr>
  </property>
  <property fmtid="{D5CDD505-2E9C-101B-9397-08002B2CF9AE}" pid="8" name="MSIP_Label_320df1db-9955-4087-a541-42c2f5a9332e_ContentBits">
    <vt:lpwstr>0</vt:lpwstr>
  </property>
</Properties>
</file>