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Completed hypothetical invention disclosure</w:t>
      </w:r>
    </w:p>
    <w:p>
      <w:r>
        <w:t>All names, records, dates, results, and confirmation entries are invented. No actual engineering tests or legal reviews occurred. This completed intake record includes explicit unknowns and does not establish inventorship, ownership, patentability, or readiness to file.</w:t>
      </w:r>
    </w:p>
    <w:p>
      <w:r>
        <w:t>Source IDs S1–S5 refer to the companion hypothetical engineering source packet. Each response can be edited directly in this Word document.</w:t>
      </w:r>
    </w:p>
    <w:p>
      <w:pPr>
        <w:pStyle w:val="Heading1"/>
      </w:pPr>
      <w:r>
        <w:t>1. Record and contact</w:t>
      </w:r>
    </w:p>
    <w:p>
      <w:r>
        <w:t>Title: Pressure-aware filter-maintenance controller for an electronics cabinet. ID: HYP-026. Project: Cabinet cooling. Submitter: Priya Rao, controls engineer, Example Engineering Group; priya@example.invalid. Submitted: May 4, 2026. Version: 1. Access: Internal, restricted to the project and IP team.</w:t>
      </w:r>
    </w:p>
    <w:p>
      <w:r>
        <w:t>Source and remaining gap: S5 §1. Contact and company are fictional.</w:t>
      </w:r>
    </w:p>
    <w:p>
      <w:pPr>
        <w:pStyle w:val="Heading1"/>
      </w:pPr>
      <w:r>
        <w:t>2. Technical problem</w:t>
      </w:r>
    </w:p>
    <w:p>
      <w:r>
        <w:t>The existing cabinet uses scheduled filter replacement. A pressure reading during fan operation can reflect filter restriction or sensor offset. The team wants a maintenance signal that distinguishes these conditions. Fan pauses are permissible only in the bench setup; live-cabinet thermal constraints are unresolved.</w:t>
      </w:r>
    </w:p>
    <w:p>
      <w:r>
        <w:t>Source and remaining gap: S1 §§1–2; S2 §4. Live-cabinet operating limits are pending.</w:t>
      </w:r>
    </w:p>
    <w:p>
      <w:pPr>
        <w:pStyle w:val="Heading1"/>
      </w:pPr>
      <w:r>
        <w:t>3. Technical solution and operation</w:t>
      </w:r>
    </w:p>
    <w:p>
      <w:r>
        <w:t>A differential-pressure sensor measures across the filter. The controller samples pressure with the fan stopped, then at a known fan speed. It subtracts the stopped-fan reading from the running reading and compares the corrected value with a speed-indexed threshold. At 2,000 revolutions per minute (RPM), a value above 50 pascals (Pa) for 30 seconds triggers a maintenance alert; below 40 Pa for 60 seconds clears it. A stopped-fan reading outside ±5 Pa instead raises a sensor-review flag and suppresses the filter alert.</w:t>
      </w:r>
    </w:p>
    <w:p>
      <w:r>
        <w:t>Source and remaining gap: S2 §§1–3. Other-speed calibration entries are not provided.</w:t>
      </w:r>
    </w:p>
    <w:p>
      <w:pPr>
        <w:pStyle w:val="Heading1"/>
      </w:pPr>
      <w:r>
        <w:t>4. Candidate distinguishing features</w:t>
      </w:r>
    </w:p>
    <w:p>
      <w:r>
        <w:t>Relative to the team's scheduled-replacement baseline, the proposed differences are a stopped-fan offset sample, a speed-indexed comparison, separate fault handling, and persistence periods before alert changes. The team expects more informative maintenance signals. No comparative field-performance result or novelty assessment is reported.</w:t>
      </w:r>
    </w:p>
    <w:p>
      <w:r>
        <w:t>Source and remaining gap: S1 §1; S2 §§2–3; S3 §3. Benefit remains an expectation beyond the bench cases.</w:t>
      </w:r>
    </w:p>
    <w:p>
      <w:pPr>
        <w:pStyle w:val="Heading1"/>
      </w:pPr>
      <w:r>
        <w:t>5. Embodiments and alternatives</w:t>
      </w:r>
    </w:p>
    <w:p>
      <w:r>
        <w:t>Bench-tested: 24-volt fan, differential-pressure sensor, and controller with the stated thresholds. Proposed: calibration at other fan speeds. Speculative: 2 separate pressure sensors replacing the differential sensor. Pressure sampling, comparison logic, and output states are central to this design; display location is optional.</w:t>
      </w:r>
    </w:p>
    <w:p>
      <w:r>
        <w:t>Source and remaining gap: S2 §4; S3 §1. The separate-sensor variant and other speeds are untested.</w:t>
      </w:r>
    </w:p>
    <w:p>
      <w:pPr>
        <w:pStyle w:val="Heading1"/>
      </w:pPr>
      <w:r>
        <w:t>6. People and contributions</w:t>
      </w:r>
    </w:p>
    <w:p>
      <w:r>
        <w:t>Priya Rao: proposed stopped-fan offset sampling on April 3. Julian Chen, firmware engineer: proposed persistence timing and implemented state logic on April 9. Morgan Ellis, test engineer: assembled the rig and ran specified tests. All are fictional employees of Example Engineering Group; work contacts are recorded in S4. The submitter asks counsel to consider Priya and Julian as possible inventors and includes Morgan's activities for review.</w:t>
      </w:r>
    </w:p>
    <w:p>
      <w:r>
        <w:t>Source and remaining gap: S4 §§1–2. No legal inventorship determination has been made.</w:t>
      </w:r>
    </w:p>
    <w:p>
      <w:pPr>
        <w:pStyle w:val="Heading1"/>
      </w:pPr>
      <w:r>
        <w:t>7. Development chronology</w:t>
      </w:r>
    </w:p>
    <w:p>
      <w:r>
        <w:t>April 3: problem and sampling proposal recorded. April 9: controller design revised. April 20: rig assembled. May 2: bench cases run. May 4: intake record prepared. All events occurred in the fictional team's Lab A. These are record dates, with no earlier idea date asserted.</w:t>
      </w:r>
    </w:p>
    <w:p>
      <w:r>
        <w:t>Source and remaining gap: S4 §2. Earlier undocumented discussions are unknown.</w:t>
      </w:r>
    </w:p>
    <w:p>
      <w:pPr>
        <w:pStyle w:val="Heading1"/>
      </w:pPr>
      <w:r>
        <w:t>8. Evidence and limitations</w:t>
      </w:r>
    </w:p>
    <w:p>
      <w:r>
        <w:t>At 2,000 RPM and 23°C, corrected pressure was 20 Pa with a clean filter and 65 Pa with a restriction screen. The restricted case triggered after 30 seconds. An injected +8 Pa sensor offset produced a sensor-review flag and suppressed the filter alert. The clean case cleared the alert after 60 seconds. Only 1 rig, 1 speed, and 1 temperature were tested; leakage, thermal safety, and long-term drift were not evaluated.</w:t>
      </w:r>
    </w:p>
    <w:p>
      <w:r>
        <w:t>Source and remaining gap: S3 §§1–3. No production reliability or general performance claim is supported.</w:t>
      </w:r>
    </w:p>
    <w:p>
      <w:pPr>
        <w:pStyle w:val="Heading1"/>
      </w:pPr>
      <w:r>
        <w:t>9. Known related work</w:t>
      </w:r>
    </w:p>
    <w:p>
      <w:r>
        <w:t>The team knows its scheduled-replacement cabinet design, documented in S1. No external patent or publication references have been supplied, and no prior-art search is reported. This is an information gap, not evidence that relevant work is absent.</w:t>
      </w:r>
    </w:p>
    <w:p>
      <w:r>
        <w:t>Source and remaining gap: S1 §1; S5 §2. Related-work collection is assigned to the project team for counsel's scoped search.</w:t>
      </w:r>
    </w:p>
    <w:p>
      <w:pPr>
        <w:pStyle w:val="Heading1"/>
      </w:pPr>
      <w:r>
        <w:t>10. Business, funding, and agreements</w:t>
      </w:r>
    </w:p>
    <w:p>
      <w:r>
        <w:t>Intended use: filter-maintenance indication in industrial electronics cabinets. Business owner: fictional product manager Alex Park, alex@example.invalid. A live-cabinet evaluation is proposed; cost and schedule are unapproved. Internal project funding is reported. No grant, sponsor, or outside collaborator is listed in the project ledger. Purchased sensor terms have not been provided.</w:t>
      </w:r>
    </w:p>
    <w:p>
      <w:r>
        <w:t>Source and remaining gap: S1 §3; S5 §2. Agreement review and third-party terms are pending.</w:t>
      </w:r>
    </w:p>
    <w:p>
      <w:pPr>
        <w:pStyle w:val="Heading1"/>
      </w:pPr>
      <w:r>
        <w:t>11. Actual and planned external events</w:t>
      </w:r>
    </w:p>
    <w:p>
      <w:r>
        <w:t>April 28: Morgan emailed an assembly drawing to a fictional outside machining vendor. The vendor's confidentiality-agreement reference is unknown. May 15: a customer demonstration is planned; recipients and final slides are pending. The team reports no publication, sale, or offer in the event log, but has not reconciled every participant's calendar.</w:t>
      </w:r>
    </w:p>
    <w:p>
      <w:r>
        <w:t>Source and remaining gap: S5 §3. Obtain the sent drawing, agreement, recipient list, and final demonstration materials.</w:t>
      </w:r>
    </w:p>
    <w:p>
      <w:pPr>
        <w:pStyle w:val="Heading1"/>
      </w:pPr>
      <w:r>
        <w:t>12. Sources and missing information</w:t>
      </w:r>
    </w:p>
    <w:p>
      <w:r>
        <w:t>S1–S5 are listed with owners, versions, and locators. Open items: fan-pause safety, other-speed calibration, earlier discussions, purchased-component terms, vendor disclosure facts, and demonstration details. Owners and requested response dates appear in the gap log below.</w:t>
      </w:r>
    </w:p>
    <w:p>
      <w:r>
        <w:t>Source and remaining gap: S2 §4; S3 §3; S5 §§2–4. No blank answer has been treated as “none.”</w:t>
      </w:r>
    </w:p>
    <w:p>
      <w:pPr>
        <w:pStyle w:val="Heading1"/>
      </w:pPr>
      <w:r>
        <w:t>13. Factual confirmation and counsel handoff</w:t>
      </w:r>
    </w:p>
    <w:p>
      <w:r>
        <w:t>Sample confirmation entries dated May 4: Priya confirms the sampling description and flags thermal limits; Julian confirms the implemented thresholds and marks other-speed calibration pending; Morgan confirms only the reported bench observations and requests vendor-document follow-up. Counsel recipient: organizational IP intake queue, individual unassigned. Handoff requested May 4. Counsel review has not occurred; no search or drafting is authorized in this example's process.</w:t>
      </w:r>
    </w:p>
    <w:p>
      <w:r>
        <w:t>Source and remaining gap: S4 §3; S5 §4. Contribution, disclosure, agreement, and next-step questions remain open.</w:t>
      </w:r>
    </w:p>
    <w:p>
      <w:pPr>
        <w:pStyle w:val="Heading1"/>
      </w:pPr>
      <w:r>
        <w:t>Missing-information checklist</w:t>
      </w:r>
    </w:p>
    <w:tbl>
      <w:tblPr>
        <w:tblStyle w:val="TableGrid"/>
        <w:tblW w:type="auto" w:w="0"/>
        <w:tblLayout w:type="autofit"/>
        <w:tblLook w:firstColumn="1" w:firstRow="1" w:lastColumn="0" w:lastRow="0" w:noHBand="0" w:noVBand="1" w:val="04A0"/>
      </w:tblPr>
      <w:tblGrid>
        <w:gridCol w:w="3360"/>
        <w:gridCol w:w="3360"/>
        <w:gridCol w:w="3360"/>
      </w:tblGrid>
      <w:tr>
        <w:trPr>
          <w:tblHeader/>
        </w:trPr>
        <w:tc>
          <w:tcPr>
            <w:tcW w:type="dxa" w:w="3360"/>
            <w:shd w:fill="F3F0E8"/>
          </w:tcPr>
          <w:p>
            <w:r>
              <w:rPr>
                <w:b/>
                <w:sz w:val="18"/>
              </w:rPr>
              <w:t>Missing information</w:t>
            </w:r>
          </w:p>
        </w:tc>
        <w:tc>
          <w:tcPr>
            <w:tcW w:type="dxa" w:w="3360"/>
            <w:shd w:fill="F3F0E8"/>
          </w:tcPr>
          <w:p>
            <w:r>
              <w:rPr>
                <w:b/>
                <w:sz w:val="18"/>
              </w:rPr>
              <w:t>Question and needed record</w:t>
            </w:r>
          </w:p>
        </w:tc>
        <w:tc>
          <w:tcPr>
            <w:tcW w:type="dxa" w:w="3360"/>
            <w:shd w:fill="F3F0E8"/>
          </w:tcPr>
          <w:p>
            <w:r>
              <w:rPr>
                <w:b/>
                <w:sz w:val="18"/>
              </w:rPr>
              <w:t>Owner and requested date</w:t>
            </w:r>
          </w:p>
        </w:tc>
      </w:tr>
      <w:tr>
        <w:tc>
          <w:tcPr>
            <w:tcW w:type="dxa" w:w="3360"/>
          </w:tcPr>
          <w:p>
            <w:r>
              <w:rPr>
                <w:sz w:val="18"/>
              </w:rPr>
              <w:t>Operating limits</w:t>
            </w:r>
          </w:p>
        </w:tc>
        <w:tc>
          <w:tcPr>
            <w:tcW w:type="dxa" w:w="3360"/>
          </w:tcPr>
          <w:p>
            <w:r>
              <w:rPr>
                <w:sz w:val="18"/>
              </w:rPr>
              <w:t>Under what live-cabinet conditions can the fan pause? Provide the thermal assessment.</w:t>
            </w:r>
          </w:p>
        </w:tc>
        <w:tc>
          <w:tcPr>
            <w:tcW w:type="dxa" w:w="3360"/>
          </w:tcPr>
          <w:p>
            <w:r>
              <w:rPr>
                <w:sz w:val="18"/>
              </w:rPr>
              <w:t>Priya, May 6.</w:t>
            </w:r>
          </w:p>
        </w:tc>
      </w:tr>
      <w:tr>
        <w:tc>
          <w:tcPr>
            <w:tcW w:type="dxa" w:w="3360"/>
          </w:tcPr>
          <w:p>
            <w:r>
              <w:rPr>
                <w:sz w:val="18"/>
              </w:rPr>
              <w:t>Untested embodiments</w:t>
            </w:r>
          </w:p>
        </w:tc>
        <w:tc>
          <w:tcPr>
            <w:tcW w:type="dxa" w:w="3360"/>
          </w:tcPr>
          <w:p>
            <w:r>
              <w:rPr>
                <w:sz w:val="18"/>
              </w:rPr>
              <w:t>Which speeds have calibration values, and were they tested? Provide the calibration table and any reports.</w:t>
            </w:r>
          </w:p>
        </w:tc>
        <w:tc>
          <w:tcPr>
            <w:tcW w:type="dxa" w:w="3360"/>
          </w:tcPr>
          <w:p>
            <w:r>
              <w:rPr>
                <w:sz w:val="18"/>
              </w:rPr>
              <w:t>Julian, May 6.</w:t>
            </w:r>
          </w:p>
        </w:tc>
      </w:tr>
      <w:tr>
        <w:tc>
          <w:tcPr>
            <w:tcW w:type="dxa" w:w="3360"/>
          </w:tcPr>
          <w:p>
            <w:r>
              <w:rPr>
                <w:sz w:val="18"/>
              </w:rPr>
              <w:t>Development history</w:t>
            </w:r>
          </w:p>
        </w:tc>
        <w:tc>
          <w:tcPr>
            <w:tcW w:type="dxa" w:w="3360"/>
          </w:tcPr>
          <w:p>
            <w:r>
              <w:rPr>
                <w:sz w:val="18"/>
              </w:rPr>
              <w:t>Were there earlier discussions or technical contributions? Provide dated notes and individual accounts.</w:t>
            </w:r>
          </w:p>
        </w:tc>
        <w:tc>
          <w:tcPr>
            <w:tcW w:type="dxa" w:w="3360"/>
          </w:tcPr>
          <w:p>
            <w:r>
              <w:rPr>
                <w:sz w:val="18"/>
              </w:rPr>
              <w:t>All contributors, May 6.</w:t>
            </w:r>
          </w:p>
        </w:tc>
      </w:tr>
      <w:tr>
        <w:tc>
          <w:tcPr>
            <w:tcW w:type="dxa" w:w="3360"/>
          </w:tcPr>
          <w:p>
            <w:r>
              <w:rPr>
                <w:sz w:val="18"/>
              </w:rPr>
              <w:t>Third-party terms</w:t>
            </w:r>
          </w:p>
        </w:tc>
        <w:tc>
          <w:tcPr>
            <w:tcW w:type="dxa" w:w="3360"/>
          </w:tcPr>
          <w:p>
            <w:r>
              <w:rPr>
                <w:sz w:val="18"/>
              </w:rPr>
              <w:t>What purchased-component or vendor agreements apply? Provide the relevant terms and agreement records.</w:t>
            </w:r>
          </w:p>
        </w:tc>
        <w:tc>
          <w:tcPr>
            <w:tcW w:type="dxa" w:w="3360"/>
          </w:tcPr>
          <w:p>
            <w:r>
              <w:rPr>
                <w:sz w:val="18"/>
              </w:rPr>
              <w:t>Alex, May 5.</w:t>
            </w:r>
          </w:p>
        </w:tc>
      </w:tr>
      <w:tr>
        <w:tc>
          <w:tcPr>
            <w:tcW w:type="dxa" w:w="3360"/>
          </w:tcPr>
          <w:p>
            <w:r>
              <w:rPr>
                <w:sz w:val="18"/>
              </w:rPr>
              <w:t>External events</w:t>
            </w:r>
          </w:p>
        </w:tc>
        <w:tc>
          <w:tcPr>
            <w:tcW w:type="dxa" w:w="3360"/>
          </w:tcPr>
          <w:p>
            <w:r>
              <w:rPr>
                <w:sz w:val="18"/>
              </w:rPr>
              <w:t>Exactly what was sent on April 28, to whom, and under what access terms? What will be shown on May 15?</w:t>
            </w:r>
          </w:p>
        </w:tc>
        <w:tc>
          <w:tcPr>
            <w:tcW w:type="dxa" w:w="3360"/>
          </w:tcPr>
          <w:p>
            <w:r>
              <w:rPr>
                <w:sz w:val="18"/>
              </w:rPr>
              <w:t>Morgan and Alex, May 5.</w:t>
            </w:r>
          </w:p>
        </w:tc>
      </w:tr>
      <w:tr>
        <w:tc>
          <w:tcPr>
            <w:tcW w:type="dxa" w:w="3360"/>
          </w:tcPr>
          <w:p>
            <w:r>
              <w:rPr>
                <w:sz w:val="18"/>
              </w:rPr>
              <w:t>Legal next step</w:t>
            </w:r>
          </w:p>
        </w:tc>
        <w:tc>
          <w:tcPr>
            <w:tcW w:type="dxa" w:w="3360"/>
          </w:tcPr>
          <w:p>
            <w:r>
              <w:rPr>
                <w:sz w:val="18"/>
              </w:rPr>
              <w:t>Which contribution, timing, and rights questions require follow-up before a scoped search or drafting assignment?</w:t>
            </w:r>
          </w:p>
        </w:tc>
        <w:tc>
          <w:tcPr>
            <w:tcW w:type="dxa" w:w="3360"/>
          </w:tcPr>
          <w:p>
            <w:r>
              <w:rPr>
                <w:sz w:val="18"/>
              </w:rPr>
              <w:t>Assigned patent counsel, upon handoff.</w:t>
            </w:r>
          </w:p>
        </w:tc>
      </w:tr>
    </w:tbl>
    <w:p/>
    <w:p>
      <w:pPr>
        <w:pStyle w:val="Heading1"/>
      </w:pPr>
      <w:r>
        <w:t>Factual confirmation and counsel handoff</w:t>
      </w:r>
    </w:p>
    <w:p>
      <w:r>
        <w:t>I have reviewed the technical description, my recorded contribution, and the development and disclosure events within my knowledge. My corrections and uncertainties are recorded in the open-question log. This confirmation concerns factual accuracy, not a legal inventorship determination.</w:t>
      </w:r>
    </w:p>
    <w:p>
      <w:r>
        <w:t>All listed confirmation entries are simulated. Counsel review has not occurred, and no search or drafting is authorized in this example. Counsel confirmation before those assignments is a recommended organizational control, not a universal legal prerequisite or an enforced platform gate.</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 xml:space="preserve">Patlytics | Invention disclosure intake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3161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val="0"/>
      <w:bCs/>
      <w:color w:val="13251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val="0"/>
      <w:bCs/>
      <w:color w:val="13251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val="0"/>
      <w:color w:val="13251A"/>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Completed hypothetical invention disclosure</dc:title>
  <dc:subject>Educational invention disclosure intake record</dc:subject>
  <dc:creator>Patlytics</dc:creator>
  <cp:keywords/>
  <dc:description>generated by python-docx</dc:description>
  <cp:lastModifiedBy/>
  <cp:revision>1</cp:revision>
  <dcterms:created xsi:type="dcterms:W3CDTF">2026-10-09T09:35:13Z</dcterms:created>
  <dcterms:modified xsi:type="dcterms:W3CDTF">2026-10-09T09:47:23Z</dcterms:modified>
  <cp:category/>
</cp:coreProperties>
</file>