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Patent-practice AI acceptable-use policy template</w:t>
      </w:r>
    </w:p>
    <w:p>
      <w:pPr>
        <w:pStyle w:val="BodyText"/>
      </w:pPr>
      <w:r>
        <w:rPr>
          <w:b/>
        </w:rPr>
        <w:t>Scope:</w:t>
      </w:r>
      <w:r>
        <w:t xml:space="preserve"> Drafting framework for a U.S. patent practice, including work before the United States Patent and Trademark Office (USPTO). Firm counsel must adapt this template to applicable state rules, court orders, client agreements, and cross-border obligations before adoption. No provider is preapproved. Data tiers and approval conditions are proposed internal controls, not legal classifications or guarantees of compliance or privilege.</w:t>
      </w:r>
    </w:p>
    <w:tbl>
      <w:tblPr>
        <w:tblStyle w:val="TableGrid"/>
        <w:tblW w:type="auto" w:w="0"/>
        <w:jc w:val="center"/>
        <w:tblLook w:firstColumn="1" w:firstRow="1" w:lastColumn="0" w:lastRow="0" w:noHBand="0" w:noVBand="1" w:val="04A0"/>
      </w:tblPr>
      <w:tblGrid>
        <w:gridCol w:w="5112"/>
        <w:gridCol w:w="5112"/>
      </w:tblGrid>
      <w:tr>
        <w:trPr>
          <w:cantSplit/>
          <w:tblHeader w:val="true"/>
        </w:trPr>
        <w:tc>
          <w:tcPr>
            <w:tcW w:type="dxa" w:w="5112"/>
            <w:shd w:fill="047A48"/>
          </w:tcPr>
          <w:p>
            <w:pPr>
              <w:spacing w:before="80" w:after="80"/>
            </w:pPr>
            <w:r>
              <w:rPr>
                <w:b/>
                <w:color w:val="FCFCFA"/>
                <w:sz w:val="19"/>
              </w:rPr>
              <w:t>Policy field</w:t>
            </w:r>
          </w:p>
        </w:tc>
        <w:tc>
          <w:tcPr>
            <w:tcW w:type="dxa" w:w="5112"/>
            <w:shd w:fill="047A48"/>
          </w:tcPr>
          <w:p>
            <w:pPr>
              <w:spacing w:before="80" w:after="80"/>
            </w:pPr>
            <w:r>
              <w:rPr>
                <w:b/>
                <w:color w:val="FCFCFA"/>
                <w:sz w:val="19"/>
              </w:rPr>
              <w:t>Firm decision</w:t>
            </w:r>
          </w:p>
        </w:tc>
      </w:tr>
      <w:tr>
        <w:trPr>
          <w:cantSplit/>
        </w:trPr>
        <w:tc>
          <w:tcPr>
            <w:tcW w:type="dxa" w:w="5112"/>
          </w:tcPr>
          <w:p>
            <w:pPr>
              <w:spacing w:before="80" w:after="80"/>
            </w:pPr>
            <w:r>
              <w:rPr>
                <w:sz w:val="19"/>
              </w:rPr>
              <w:t>Firm</w:t>
            </w:r>
          </w:p>
        </w:tc>
        <w:tc>
          <w:tcPr>
            <w:tcW w:type="dxa" w:w="5112"/>
          </w:tcPr>
          <w:p>
            <w:pPr>
              <w:spacing w:before="80" w:after="80"/>
            </w:pPr>
            <w:r>
              <w:rPr>
                <w:sz w:val="19"/>
              </w:rPr>
              <w:t>[Firm name]</w:t>
            </w:r>
          </w:p>
        </w:tc>
      </w:tr>
      <w:tr>
        <w:trPr>
          <w:cantSplit/>
        </w:trPr>
        <w:tc>
          <w:tcPr>
            <w:tcW w:type="dxa" w:w="5112"/>
          </w:tcPr>
          <w:p>
            <w:pPr>
              <w:spacing w:before="80" w:after="80"/>
            </w:pPr>
            <w:r>
              <w:rPr>
                <w:sz w:val="19"/>
              </w:rPr>
              <w:t>Version and effective date</w:t>
            </w:r>
          </w:p>
        </w:tc>
        <w:tc>
          <w:tcPr>
            <w:tcW w:type="dxa" w:w="5112"/>
          </w:tcPr>
          <w:p>
            <w:pPr>
              <w:spacing w:before="80" w:after="80"/>
            </w:pPr>
            <w:r>
              <w:rPr>
                <w:sz w:val="19"/>
              </w:rPr>
              <w:t>[Version]; [Effective date]</w:t>
            </w:r>
          </w:p>
        </w:tc>
      </w:tr>
      <w:tr>
        <w:trPr>
          <w:cantSplit/>
        </w:trPr>
        <w:tc>
          <w:tcPr>
            <w:tcW w:type="dxa" w:w="5112"/>
          </w:tcPr>
          <w:p>
            <w:pPr>
              <w:spacing w:before="80" w:after="80"/>
            </w:pPr>
            <w:r>
              <w:rPr>
                <w:sz w:val="19"/>
              </w:rPr>
              <w:t>Applicable jurisdictions</w:t>
            </w:r>
          </w:p>
        </w:tc>
        <w:tc>
          <w:tcPr>
            <w:tcW w:type="dxa" w:w="5112"/>
          </w:tcPr>
          <w:p>
            <w:pPr>
              <w:spacing w:before="80" w:after="80"/>
            </w:pPr>
            <w:r>
              <w:rPr>
                <w:sz w:val="19"/>
              </w:rPr>
              <w:t>[Jurisdictions and practice scope]</w:t>
            </w:r>
          </w:p>
        </w:tc>
      </w:tr>
      <w:tr>
        <w:trPr>
          <w:cantSplit/>
        </w:trPr>
        <w:tc>
          <w:tcPr>
            <w:tcW w:type="dxa" w:w="5112"/>
          </w:tcPr>
          <w:p>
            <w:pPr>
              <w:spacing w:before="80" w:after="80"/>
            </w:pPr>
            <w:r>
              <w:rPr>
                <w:sz w:val="19"/>
              </w:rPr>
              <w:t>Policy owner</w:t>
            </w:r>
          </w:p>
        </w:tc>
        <w:tc>
          <w:tcPr>
            <w:tcW w:type="dxa" w:w="5112"/>
          </w:tcPr>
          <w:p>
            <w:pPr>
              <w:spacing w:before="80" w:after="80"/>
            </w:pPr>
            <w:r>
              <w:rPr>
                <w:sz w:val="19"/>
              </w:rPr>
              <w:t>[Name and role]</w:t>
            </w:r>
          </w:p>
        </w:tc>
      </w:tr>
      <w:tr>
        <w:trPr>
          <w:cantSplit/>
        </w:trPr>
        <w:tc>
          <w:tcPr>
            <w:tcW w:type="dxa" w:w="5112"/>
          </w:tcPr>
          <w:p>
            <w:pPr>
              <w:spacing w:before="80" w:after="80"/>
            </w:pPr>
            <w:r>
              <w:rPr>
                <w:sz w:val="19"/>
              </w:rPr>
              <w:t>Risk counsel</w:t>
            </w:r>
          </w:p>
        </w:tc>
        <w:tc>
          <w:tcPr>
            <w:tcW w:type="dxa" w:w="5112"/>
          </w:tcPr>
          <w:p>
            <w:pPr>
              <w:spacing w:before="80" w:after="80"/>
            </w:pPr>
            <w:r>
              <w:rPr>
                <w:sz w:val="19"/>
              </w:rPr>
              <w:t>[Name and contact]</w:t>
            </w:r>
          </w:p>
        </w:tc>
      </w:tr>
      <w:tr>
        <w:trPr>
          <w:cantSplit/>
        </w:trPr>
        <w:tc>
          <w:tcPr>
            <w:tcW w:type="dxa" w:w="5112"/>
          </w:tcPr>
          <w:p>
            <w:pPr>
              <w:spacing w:before="80" w:after="80"/>
            </w:pPr>
            <w:r>
              <w:rPr>
                <w:sz w:val="19"/>
              </w:rPr>
              <w:t>Security lead</w:t>
            </w:r>
          </w:p>
        </w:tc>
        <w:tc>
          <w:tcPr>
            <w:tcW w:type="dxa" w:w="5112"/>
          </w:tcPr>
          <w:p>
            <w:pPr>
              <w:spacing w:before="80" w:after="80"/>
            </w:pPr>
            <w:r>
              <w:rPr>
                <w:sz w:val="19"/>
              </w:rPr>
              <w:t>[Name and contact]</w:t>
            </w:r>
          </w:p>
        </w:tc>
      </w:tr>
      <w:tr>
        <w:trPr>
          <w:cantSplit/>
        </w:trPr>
        <w:tc>
          <w:tcPr>
            <w:tcW w:type="dxa" w:w="5112"/>
          </w:tcPr>
          <w:p>
            <w:pPr>
              <w:spacing w:before="80" w:after="80"/>
            </w:pPr>
            <w:r>
              <w:rPr>
                <w:sz w:val="19"/>
              </w:rPr>
              <w:t>Records owner</w:t>
            </w:r>
          </w:p>
        </w:tc>
        <w:tc>
          <w:tcPr>
            <w:tcW w:type="dxa" w:w="5112"/>
          </w:tcPr>
          <w:p>
            <w:pPr>
              <w:spacing w:before="80" w:after="80"/>
            </w:pPr>
            <w:r>
              <w:rPr>
                <w:sz w:val="19"/>
              </w:rPr>
              <w:t>[Name and contact]</w:t>
            </w:r>
          </w:p>
        </w:tc>
      </w:tr>
      <w:tr>
        <w:trPr>
          <w:cantSplit/>
        </w:trPr>
        <w:tc>
          <w:tcPr>
            <w:tcW w:type="dxa" w:w="5112"/>
          </w:tcPr>
          <w:p>
            <w:pPr>
              <w:spacing w:before="80" w:after="80"/>
            </w:pPr>
            <w:r>
              <w:rPr>
                <w:sz w:val="19"/>
              </w:rPr>
              <w:t>Incident lead and reporting contact</w:t>
            </w:r>
          </w:p>
        </w:tc>
        <w:tc>
          <w:tcPr>
            <w:tcW w:type="dxa" w:w="5112"/>
          </w:tcPr>
          <w:p>
            <w:pPr>
              <w:spacing w:before="80" w:after="80"/>
            </w:pPr>
            <w:r>
              <w:rPr>
                <w:sz w:val="19"/>
              </w:rPr>
              <w:t>[Name]; [Urgent reporting channel]</w:t>
            </w:r>
          </w:p>
        </w:tc>
      </w:tr>
      <w:tr>
        <w:trPr>
          <w:cantSplit/>
        </w:trPr>
        <w:tc>
          <w:tcPr>
            <w:tcW w:type="dxa" w:w="5112"/>
          </w:tcPr>
          <w:p>
            <w:pPr>
              <w:spacing w:before="80" w:after="80"/>
            </w:pPr>
            <w:r>
              <w:rPr>
                <w:sz w:val="19"/>
              </w:rPr>
              <w:t>Approval-register location</w:t>
            </w:r>
          </w:p>
        </w:tc>
        <w:tc>
          <w:tcPr>
            <w:tcW w:type="dxa" w:w="5112"/>
          </w:tcPr>
          <w:p>
            <w:pPr>
              <w:spacing w:before="80" w:after="80"/>
            </w:pPr>
            <w:r>
              <w:rPr>
                <w:sz w:val="19"/>
              </w:rPr>
              <w:t>[Restricted location]</w:t>
            </w:r>
          </w:p>
        </w:tc>
      </w:tr>
      <w:tr>
        <w:trPr>
          <w:cantSplit/>
        </w:trPr>
        <w:tc>
          <w:tcPr>
            <w:tcW w:type="dxa" w:w="5112"/>
          </w:tcPr>
          <w:p>
            <w:pPr>
              <w:spacing w:before="80" w:after="80"/>
            </w:pPr>
            <w:r>
              <w:rPr>
                <w:sz w:val="19"/>
              </w:rPr>
              <w:t>Review interval and next review</w:t>
            </w:r>
          </w:p>
        </w:tc>
        <w:tc>
          <w:tcPr>
            <w:tcW w:type="dxa" w:w="5112"/>
          </w:tcPr>
          <w:p>
            <w:pPr>
              <w:spacing w:before="80" w:after="80"/>
            </w:pPr>
            <w:r>
              <w:rPr>
                <w:sz w:val="19"/>
              </w:rPr>
              <w:t>[Interval]; [Date]</w:t>
            </w:r>
          </w:p>
        </w:tc>
      </w:tr>
      <w:tr>
        <w:trPr>
          <w:cantSplit/>
        </w:trPr>
        <w:tc>
          <w:tcPr>
            <w:tcW w:type="dxa" w:w="5112"/>
          </w:tcPr>
          <w:p>
            <w:pPr>
              <w:spacing w:before="80" w:after="80"/>
            </w:pPr>
            <w:r>
              <w:rPr>
                <w:sz w:val="19"/>
              </w:rPr>
              <w:t>Adoption approval</w:t>
            </w:r>
          </w:p>
        </w:tc>
        <w:tc>
          <w:tcPr>
            <w:tcW w:type="dxa" w:w="5112"/>
          </w:tcPr>
          <w:p>
            <w:pPr>
              <w:spacing w:before="80" w:after="80"/>
            </w:pPr>
            <w:r>
              <w:rPr>
                <w:sz w:val="19"/>
              </w:rPr>
              <w:t>[Approving attorney]; [Date]</w:t>
            </w:r>
          </w:p>
        </w:tc>
      </w:tr>
    </w:tbl>
    <w:p>
      <w:pPr>
        <w:pStyle w:val="Heading1"/>
      </w:pPr>
      <w:r>
        <w:t>1. Purpose, scope, and ownership</w:t>
      </w:r>
    </w:p>
    <w:p>
      <w:pPr>
        <w:pStyle w:val="BodyText"/>
      </w:pPr>
      <w:r>
        <w:t>This policy governs AI use for [Firm] work by partners, attorneys, patent agents, staff, contractors, and other personnel acting on the firm's behalf. It covers direct AI access and AI capabilities embedded in existing services, connectors, and browser extensions.</w:t>
      </w:r>
    </w:p>
    <w:p>
      <w:pPr>
        <w:pStyle w:val="BodyText"/>
      </w:pPr>
      <w:r>
        <w:t>[Policy owner] maintains the policy and approval register. [Risk counsel] owns professional-responsibility interpretation. [Security lead] owns technical assessments. The responsible attorney retains authority over substantive legal work and its release. Firm approval does not override law, court orders, or client restrictions.</w:t>
      </w:r>
    </w:p>
    <w:p>
      <w:pPr>
        <w:pStyle w:val="Heading1"/>
      </w:pPr>
      <w:r>
        <w:t>2. Approved environments and prohibited uses</w:t>
      </w:r>
    </w:p>
    <w:p>
      <w:pPr>
        <w:pStyle w:val="BodyText"/>
      </w:pPr>
      <w:r>
        <w:t>Personnel may use AI for firm work only within the accounts, configurations, tasks, and data tiers listed in [Approved-environment register]. Personal AI accounts and unapproved extensions or connectors are prohibited for firm work.</w:t>
      </w:r>
    </w:p>
    <w:p>
      <w:pPr>
        <w:pStyle w:val="BodyText"/>
      </w:pPr>
      <w:r>
        <w:t>Each approval identifies the service, account type, permitted inputs, access controls, retention and deletion terms, model-training treatment, processing locations, downstream providers, and accountable owner. A new connector or a material change in these conditions requires reassessment before affected work continues.</w:t>
      </w:r>
    </w:p>
    <w:p>
      <w:pPr>
        <w:pStyle w:val="BodyText"/>
      </w:pPr>
      <w:r>
        <w:t>Personnel must not use AI to fabricate evidence, experimental results, source quotations, or authorities, or issue unreviewed legal advice. Filing and external transmission require authorized human approval. Unapproved systems may not access firm repositories or matter files.</w:t>
      </w:r>
    </w:p>
    <w:p>
      <w:pPr>
        <w:pStyle w:val="BodyText"/>
      </w:pPr>
      <w:r>
        <w:t xml:space="preserve">For USPTO submissions, human approval is separate from signing and authenticated account access. The required signer personally supplies their own signature under </w:t>
      </w:r>
      <w:hyperlink r:id="rId11">
        <w:r>
          <w:rPr>
            <w:color w:val="047A48"/>
            <w:u w:val="single"/>
          </w:rPr>
          <w:t>37 CFR 1.4</w:t>
        </w:r>
      </w:hyperlink>
      <w:r>
        <w:t>, part of the Code of Federal Regulations (CFR). An authorized human filer may submit a document properly signed by another person.</w:t>
      </w:r>
    </w:p>
    <w:p>
      <w:pPr>
        <w:pStyle w:val="BodyText"/>
      </w:pPr>
      <w:r>
        <w:t xml:space="preserve">When a USPTO.gov account is required or used, an authorized natural person uses their own permitted credentials without sharing them. AI or automation may not obtain an account or be sponsored as support staff, as specified in the USPTO's September 2025 </w:t>
      </w:r>
      <w:hyperlink r:id="rId12">
        <w:r>
          <w:rPr>
            <w:color w:val="047A48"/>
            <w:u w:val="single"/>
          </w:rPr>
          <w:t>Patent Electronic System Legal Framework</w:t>
        </w:r>
      </w:hyperlink>
      <w:r>
        <w:t>.</w:t>
      </w:r>
    </w:p>
    <w:p>
      <w:pPr>
        <w:pStyle w:val="BodyText"/>
      </w:pPr>
      <w:r>
        <w:t xml:space="preserve">AI may assist preparation. Human-operated computer assistance remains permitted when it complies with USPTO rules. AI cannot act as signer or authenticated account user. The human presenter retains the applicable responsibilities under </w:t>
      </w:r>
      <w:hyperlink r:id="rId13">
        <w:r>
          <w:rPr>
            <w:color w:val="047A48"/>
            <w:u w:val="single"/>
          </w:rPr>
          <w:t>37 CFR 11.18</w:t>
        </w:r>
      </w:hyperlink>
      <w:r>
        <w:t>, including reasonable inquiry into the paper's legal and factual basis.</w:t>
      </w:r>
    </w:p>
    <w:p>
      <w:pPr>
        <w:pStyle w:val="Heading1"/>
      </w:pPr>
      <w:r>
        <w:t>3. Client instructions and matter authorization</w:t>
      </w:r>
    </w:p>
    <w:p>
      <w:pPr>
        <w:pStyle w:val="BodyText"/>
      </w:pPr>
      <w:r>
        <w:t>Before AI-assisted matter work begins, [Matter partner] records applicable engagement terms, outside-counsel instructions, protective orders, and disclosure or consent requirements in [Matter AI record]. The record states the permitted tasks, environments, data tiers, and reviewer.</w:t>
      </w:r>
    </w:p>
    <w:p>
      <w:pPr>
        <w:pStyle w:val="BodyText"/>
      </w:pPr>
      <w:r>
        <w:t>If an instruction is unclear, affected AI use stops pending resolution by the matter partner and risk counsel. Any client approval required or obtained is documented with its scope and conditions. Firm personnel may not waive a client's restriction internally.</w:t>
      </w:r>
    </w:p>
    <w:p>
      <w:pPr>
        <w:pStyle w:val="BodyText"/>
      </w:pPr>
      <w:r>
        <w:t xml:space="preserve">Disclosure and consent are separate questions. The American Bar Association's </w:t>
      </w:r>
      <w:hyperlink r:id="rId9">
        <w:r>
          <w:rPr>
            <w:color w:val="047A48"/>
            <w:u w:val="single"/>
          </w:rPr>
          <w:t>informed-consent guidance</w:t>
        </w:r>
      </w:hyperlink>
      <w:r>
        <w:t xml:space="preserve"> explains that their necessity depends on the circumstances. Where informed consent is required, generic engagement-letter language is insufficient. Your matter record should capture the actual use, information involved, benefits, risks, and client's decision.</w:t>
      </w:r>
    </w:p>
    <w:p>
      <w:pPr>
        <w:pStyle w:val="Heading1"/>
      </w:pPr>
      <w:r>
        <w:t>4. Sensitive invention information and data handling</w:t>
      </w:r>
    </w:p>
    <w:p>
      <w:pPr>
        <w:pStyle w:val="BodyText"/>
      </w:pPr>
      <w:r>
        <w:t>Personnel classify the entire request under [Data-tier schedule] before processing. Mixed requests and outputs retain the highest applicable tier unless an authorized reviewer approves reclassification. Only the minimum necessary information may be supplied.</w:t>
      </w:r>
    </w:p>
    <w:p>
      <w:pPr>
        <w:pStyle w:val="BodyText"/>
      </w:pPr>
      <w:r>
        <w:t>Tier 2 and Tier 3 processing requires the approvals specified in that schedule. Trade-secret, unpublished, export-restricted, and protective-order materials require assessment of the specific data path and access restrictions. Removing names alone is insufficient to reclassify technical material.</w:t>
      </w:r>
    </w:p>
    <w:p>
      <w:pPr>
        <w:pStyle w:val="BodyText"/>
      </w:pPr>
      <w:r>
        <w:t>Prompts, attachments, outputs, and review records remain within approved matter locations. Sharing links, downloads, and exports follow the same restrictions as the underlying material. Matter access controls and ethical walls apply to connected repositories and cross-matter retrieval.</w:t>
      </w:r>
    </w:p>
    <w:p>
      <w:pPr>
        <w:pStyle w:val="Heading1"/>
      </w:pPr>
      <w:r>
        <w:t>5. Permitted tasks, citations, and claim review</w:t>
      </w:r>
    </w:p>
    <w:p>
      <w:pPr>
        <w:pStyle w:val="BodyText"/>
      </w:pPr>
      <w:r>
        <w:t>AI may assist only with tasks listed in [Task-and-review schedule] and authorized for the matter. Every substantive output used in legal work requires review by a qualified practitioner under the responsible attorney's supervision. Attorneys retain legal judgment and final approval authority.</w:t>
      </w:r>
    </w:p>
    <w:p>
      <w:pPr>
        <w:pStyle w:val="BodyText"/>
      </w:pPr>
      <w:r>
        <w:t>The reviewer confirms source identity, quotations, locators, dates where relevant, claim text, and the reasoning supporting each material assertion. Drafts are reconciled with the controlling application, claims, office action, or evidence set. Unsupported citations and technical additions are corrected, removed, or escalated before reliance.</w:t>
      </w:r>
    </w:p>
    <w:p>
      <w:pPr>
        <w:pStyle w:val="BodyText"/>
      </w:pPr>
      <w:r>
        <w:t>For claims and specification drafts, review includes disclosure support, dependencies, technical accuracy, and inventor confirmation of newly proposed technical content. AI-generated experiments must never be represented as experiments actually performed. An unresolved issue prevents release of the affected work product.</w:t>
      </w:r>
    </w:p>
    <w:p>
      <w:pPr>
        <w:pStyle w:val="Heading1"/>
      </w:pPr>
      <w:r>
        <w:t>6. Records, retention, and billing</w:t>
      </w:r>
    </w:p>
    <w:p>
      <w:pPr>
        <w:pStyle w:val="BodyText"/>
      </w:pPr>
      <w:r>
        <w:t>[Matter AI record] identifies the task, environment, available version/configuration information, input classification, approval, reviewer, material corrections, and final work-product location. Required source evidence is retained in approved matter storage.</w:t>
      </w:r>
    </w:p>
    <w:p>
      <w:pPr>
        <w:pStyle w:val="BodyText"/>
      </w:pPr>
      <w:r>
        <w:t>[Records owner] assigns retention periods for prompts, outputs, and review records consistent with client terms, firm policy, and preservation obligations. Personnel must not delete records subject to a hold or incident-preservation instruction. This policy does not promise a universal retention period or privilege protection.</w:t>
      </w:r>
    </w:p>
    <w:p>
      <w:pPr>
        <w:pStyle w:val="BodyText"/>
      </w:pPr>
      <w:r>
        <w:t xml:space="preserve">Hourly entries reflect time actually spent performing and reviewing the work. Fixed-fee arrangements and AI-related expenses follow engagement terms and applicable fee rules. </w:t>
      </w:r>
      <w:hyperlink r:id="rId9">
        <w:r>
          <w:rPr>
            <w:color w:val="047A48"/>
            <w:u w:val="single"/>
          </w:rPr>
          <w:t>Formal Opinion 512</w:t>
        </w:r>
      </w:hyperlink>
      <w:r>
        <w:t xml:space="preserve"> distinguishes hourly time actually worked from historical time a task would have taken without AI.</w:t>
      </w:r>
    </w:p>
    <w:p>
      <w:pPr>
        <w:pStyle w:val="Heading1"/>
      </w:pPr>
      <w:r>
        <w:t>7. Incident reporting and containment</w:t>
      </w:r>
    </w:p>
    <w:p>
      <w:pPr>
        <w:pStyle w:val="BodyText"/>
      </w:pPr>
      <w:r>
        <w:t>Personnel immediately report suspected unauthorized uploads, cross-matter disclosures, unexpected access, and material output errors to [Incident contact] and [Matter partner]. They stop affected processing and prevent further distribution without destroying potentially relevant records.</w:t>
      </w:r>
    </w:p>
    <w:p>
      <w:pPr>
        <w:pStyle w:val="BodyText"/>
      </w:pPr>
      <w:r>
        <w:t>[Incident lead] coordinates containment, evidence preservation, and assessment with risk counsel and security. The assessment identifies affected information, recipients or systems, client restrictions, and any work product already sent or filed. Risk counsel determines notification, correction, and other required responses. Restart requires documented authorization.</w:t>
      </w:r>
    </w:p>
    <w:p>
      <w:pPr>
        <w:pStyle w:val="Heading1"/>
      </w:pPr>
      <w:r>
        <w:t>8. Training, exceptions, and review</w:t>
      </w:r>
    </w:p>
    <w:p>
      <w:pPr>
        <w:pStyle w:val="BodyText"/>
      </w:pPr>
      <w:r>
        <w:t>Personnel complete role-specific training before access to approved AI environments. Training covers data classification, client instructions, citation and claim review, permitted tasks, and incident reporting. Refresher training follows material policy or environment changes.</w:t>
      </w:r>
    </w:p>
    <w:p>
      <w:pPr>
        <w:pStyle w:val="BodyText"/>
      </w:pPr>
      <w:r>
        <w:t>[Policy owner] reviews the policy every [Review interval] and after a material incident, regulatory change, or change in provider terms or processing. Exceptions require written approval from [Risk counsel], [Security lead], and [Matter partner] as applicable, with a defined scope and expiry. No exception overrides a legal prohibition or client restriction. Personnel acknowledge the current policy.</w:t>
      </w:r>
    </w:p>
    <w:p>
      <w:pPr>
        <w:pStyle w:val="Heading1"/>
      </w:pPr>
      <w:r>
        <w:t>Data-tier schedule</w:t>
      </w:r>
    </w:p>
    <w:p>
      <w:pPr>
        <w:pStyle w:val="BodyText"/>
      </w:pPr>
      <w:r>
        <w:t>Classification covers prompts, attachments, connected repositories, and resulting outputs. Mixed requests inherit the highest applicable tier. Removing names does not downgrade sensitive invention content. Reclassification requires authorized reviewer approval. A public reference collection or search query may reveal confidential client strategy.</w:t>
      </w:r>
    </w:p>
    <w:tbl>
      <w:tblPr>
        <w:tblStyle w:val="TableGrid"/>
        <w:tblW w:type="auto" w:w="0"/>
        <w:jc w:val="center"/>
        <w:tblLook w:firstColumn="1" w:firstRow="1" w:lastColumn="0" w:lastRow="0" w:noHBand="0" w:noVBand="1" w:val="04A0"/>
      </w:tblPr>
      <w:tblGrid>
        <w:gridCol w:w="3408"/>
        <w:gridCol w:w="3408"/>
        <w:gridCol w:w="3408"/>
      </w:tblGrid>
      <w:tr>
        <w:trPr>
          <w:cantSplit/>
          <w:tblHeader w:val="true"/>
        </w:trPr>
        <w:tc>
          <w:tcPr>
            <w:tcW w:type="dxa" w:w="3408"/>
            <w:shd w:fill="047A48"/>
          </w:tcPr>
          <w:p>
            <w:pPr>
              <w:spacing w:before="80" w:after="80"/>
            </w:pPr>
            <w:r>
              <w:rPr>
                <w:b/>
                <w:color w:val="FCFCFA"/>
                <w:sz w:val="19"/>
              </w:rPr>
              <w:t>Data tier</w:t>
            </w:r>
          </w:p>
        </w:tc>
        <w:tc>
          <w:tcPr>
            <w:tcW w:type="dxa" w:w="3408"/>
            <w:shd w:fill="047A48"/>
          </w:tcPr>
          <w:p>
            <w:pPr>
              <w:spacing w:before="80" w:after="80"/>
            </w:pPr>
            <w:r>
              <w:rPr>
                <w:b/>
                <w:color w:val="FCFCFA"/>
                <w:sz w:val="19"/>
              </w:rPr>
              <w:t>Patent-practice examples</w:t>
            </w:r>
          </w:p>
        </w:tc>
        <w:tc>
          <w:tcPr>
            <w:tcW w:type="dxa" w:w="3408"/>
            <w:shd w:fill="047A48"/>
          </w:tcPr>
          <w:p>
            <w:pPr>
              <w:spacing w:before="80" w:after="80"/>
            </w:pPr>
            <w:r>
              <w:rPr>
                <w:b/>
                <w:color w:val="FCFCFA"/>
                <w:sz w:val="19"/>
              </w:rPr>
              <w:t>Recommended approval condition</w:t>
            </w:r>
          </w:p>
        </w:tc>
      </w:tr>
      <w:tr>
        <w:trPr>
          <w:cantSplit/>
        </w:trPr>
        <w:tc>
          <w:tcPr>
            <w:tcW w:type="dxa" w:w="3408"/>
          </w:tcPr>
          <w:p>
            <w:pPr>
              <w:spacing w:before="80" w:after="80"/>
            </w:pPr>
            <w:r>
              <w:rPr>
                <w:sz w:val="19"/>
              </w:rPr>
              <w:t>Tier 0: Public</w:t>
            </w:r>
          </w:p>
        </w:tc>
        <w:tc>
          <w:tcPr>
            <w:tcW w:type="dxa" w:w="3408"/>
          </w:tcPr>
          <w:p>
            <w:pPr>
              <w:spacing w:before="80" w:after="80"/>
            </w:pPr>
            <w:r>
              <w:rPr>
                <w:sz w:val="19"/>
              </w:rPr>
              <w:t>Published patents, public product manuals, and public technical papers</w:t>
            </w:r>
          </w:p>
        </w:tc>
        <w:tc>
          <w:tcPr>
            <w:tcW w:type="dxa" w:w="3408"/>
          </w:tcPr>
          <w:p>
            <w:pPr>
              <w:spacing w:before="80" w:after="80"/>
            </w:pPr>
            <w:r>
              <w:rPr>
                <w:sz w:val="19"/>
              </w:rPr>
              <w:t>Approved environment and task. Prompts contain no confidential matter context.</w:t>
            </w:r>
          </w:p>
        </w:tc>
      </w:tr>
      <w:tr>
        <w:trPr>
          <w:cantSplit/>
        </w:trPr>
        <w:tc>
          <w:tcPr>
            <w:tcW w:type="dxa" w:w="3408"/>
          </w:tcPr>
          <w:p>
            <w:pPr>
              <w:spacing w:before="80" w:after="80"/>
            </w:pPr>
            <w:r>
              <w:rPr>
                <w:sz w:val="19"/>
              </w:rPr>
              <w:t>Tier 1: Lower-sensitivity internal</w:t>
            </w:r>
          </w:p>
        </w:tc>
        <w:tc>
          <w:tcPr>
            <w:tcW w:type="dxa" w:w="3408"/>
          </w:tcPr>
          <w:p>
            <w:pPr>
              <w:spacing w:before="80" w:after="80"/>
            </w:pPr>
            <w:r>
              <w:rPr>
                <w:sz w:val="19"/>
              </w:rPr>
              <w:t>Generic administrative templates and internal summaries of public sources with no client strategy</w:t>
            </w:r>
          </w:p>
        </w:tc>
        <w:tc>
          <w:tcPr>
            <w:tcW w:type="dxa" w:w="3408"/>
          </w:tcPr>
          <w:p>
            <w:pPr>
              <w:spacing w:before="80" w:after="80"/>
            </w:pPr>
            <w:r>
              <w:rPr>
                <w:sz w:val="19"/>
              </w:rPr>
              <w:t>Firm-managed access and an approved internal use. Client or matter identifiers may require a higher tier.</w:t>
            </w:r>
          </w:p>
        </w:tc>
      </w:tr>
      <w:tr>
        <w:trPr>
          <w:cantSplit/>
        </w:trPr>
        <w:tc>
          <w:tcPr>
            <w:tcW w:type="dxa" w:w="3408"/>
          </w:tcPr>
          <w:p>
            <w:pPr>
              <w:spacing w:before="80" w:after="80"/>
            </w:pPr>
            <w:r>
              <w:rPr>
                <w:sz w:val="19"/>
              </w:rPr>
              <w:t>Tier 2: Sensitive client work product</w:t>
            </w:r>
          </w:p>
        </w:tc>
        <w:tc>
          <w:tcPr>
            <w:tcW w:type="dxa" w:w="3408"/>
          </w:tcPr>
          <w:p>
            <w:pPr>
              <w:spacing w:before="80" w:after="80"/>
            </w:pPr>
            <w:r>
              <w:rPr>
                <w:sz w:val="19"/>
              </w:rPr>
              <w:t>Prosecution strategy, draft claim charts, and confidential licensing analysis</w:t>
            </w:r>
          </w:p>
        </w:tc>
        <w:tc>
          <w:tcPr>
            <w:tcW w:type="dxa" w:w="3408"/>
          </w:tcPr>
          <w:p>
            <w:pPr>
              <w:spacing w:before="80" w:after="80"/>
            </w:pPr>
            <w:r>
              <w:rPr>
                <w:sz w:val="19"/>
              </w:rPr>
              <w:t>Matter-partner authorization, client-permission assessment, restricted access, and an approved environment for that category.</w:t>
            </w:r>
          </w:p>
        </w:tc>
      </w:tr>
      <w:tr>
        <w:trPr>
          <w:cantSplit/>
        </w:trPr>
        <w:tc>
          <w:tcPr>
            <w:tcW w:type="dxa" w:w="3408"/>
          </w:tcPr>
          <w:p>
            <w:pPr>
              <w:spacing w:before="80" w:after="80"/>
            </w:pPr>
            <w:r>
              <w:rPr>
                <w:sz w:val="19"/>
              </w:rPr>
              <w:t>Tier 3: Highly sensitive invention material</w:t>
            </w:r>
          </w:p>
        </w:tc>
        <w:tc>
          <w:tcPr>
            <w:tcW w:type="dxa" w:w="3408"/>
          </w:tcPr>
          <w:p>
            <w:pPr>
              <w:spacing w:before="80" w:after="80"/>
            </w:pPr>
            <w:r>
              <w:rPr>
                <w:sz w:val="19"/>
              </w:rPr>
              <w:t>Raw invention disclosures, unpublished application drafts, trade secrets, and nonpublic product specifications</w:t>
            </w:r>
          </w:p>
        </w:tc>
        <w:tc>
          <w:tcPr>
            <w:tcW w:type="dxa" w:w="3408"/>
          </w:tcPr>
          <w:p>
            <w:pPr>
              <w:spacing w:before="80" w:after="80"/>
            </w:pPr>
            <w:r>
              <w:rPr>
                <w:sz w:val="19"/>
              </w:rPr>
              <w:t>Default hold until the matter partner and risk/security leads approve the exact use and data path.</w:t>
            </w:r>
          </w:p>
        </w:tc>
      </w:tr>
    </w:tbl>
    <w:p>
      <w:pPr>
        <w:pStyle w:val="Heading1"/>
      </w:pPr>
      <w:r>
        <w:t>Task-and-review schedule</w:t>
      </w:r>
    </w:p>
    <w:p>
      <w:pPr>
        <w:pStyle w:val="BodyText"/>
      </w:pPr>
      <w:r>
        <w:t>Each task also requires an approved environment and matter authorization. A qualified practitioner reviews substantive work under the responsible attorney's supervision. Attorneys retain legal judgment and final release authority. Freedom to operate (FTO) assesses potential exposure for defined commercial activity; it is distinct from patentability, invalidity, and infringement analysis.</w:t>
      </w:r>
    </w:p>
    <w:tbl>
      <w:tblPr>
        <w:tblStyle w:val="TableGrid"/>
        <w:tblW w:type="auto" w:w="0"/>
        <w:jc w:val="center"/>
        <w:tblLook w:firstColumn="1" w:firstRow="1" w:lastColumn="0" w:lastRow="0" w:noHBand="0" w:noVBand="1" w:val="04A0"/>
      </w:tblPr>
      <w:tblGrid>
        <w:gridCol w:w="3408"/>
        <w:gridCol w:w="3408"/>
        <w:gridCol w:w="3408"/>
      </w:tblGrid>
      <w:tr>
        <w:trPr>
          <w:cantSplit/>
          <w:tblHeader w:val="true"/>
        </w:trPr>
        <w:tc>
          <w:tcPr>
            <w:tcW w:type="dxa" w:w="3408"/>
            <w:shd w:fill="047A48"/>
          </w:tcPr>
          <w:p>
            <w:pPr>
              <w:spacing w:before="80" w:after="80"/>
            </w:pPr>
            <w:r>
              <w:rPr>
                <w:b/>
                <w:color w:val="FCFCFA"/>
                <w:sz w:val="19"/>
              </w:rPr>
              <w:t>Proposed AI-assisted task</w:t>
            </w:r>
          </w:p>
        </w:tc>
        <w:tc>
          <w:tcPr>
            <w:tcW w:type="dxa" w:w="3408"/>
            <w:shd w:fill="047A48"/>
          </w:tcPr>
          <w:p>
            <w:pPr>
              <w:spacing w:before="80" w:after="80"/>
            </w:pPr>
            <w:r>
              <w:rPr>
                <w:b/>
                <w:color w:val="FCFCFA"/>
                <w:sz w:val="19"/>
              </w:rPr>
              <w:t>Permitted starting work</w:t>
            </w:r>
          </w:p>
        </w:tc>
        <w:tc>
          <w:tcPr>
            <w:tcW w:type="dxa" w:w="3408"/>
            <w:shd w:fill="047A48"/>
          </w:tcPr>
          <w:p>
            <w:pPr>
              <w:spacing w:before="80" w:after="80"/>
            </w:pPr>
            <w:r>
              <w:rPr>
                <w:b/>
                <w:color w:val="FCFCFA"/>
                <w:sz w:val="19"/>
              </w:rPr>
              <w:t>Required practitioner review before reliance</w:t>
            </w:r>
          </w:p>
        </w:tc>
      </w:tr>
      <w:tr>
        <w:trPr>
          <w:cantSplit/>
        </w:trPr>
        <w:tc>
          <w:tcPr>
            <w:tcW w:type="dxa" w:w="3408"/>
          </w:tcPr>
          <w:p>
            <w:pPr>
              <w:spacing w:before="80" w:after="80"/>
            </w:pPr>
            <w:r>
              <w:rPr>
                <w:sz w:val="19"/>
              </w:rPr>
              <w:t>Prior-art search</w:t>
            </w:r>
          </w:p>
        </w:tc>
        <w:tc>
          <w:tcPr>
            <w:tcW w:type="dxa" w:w="3408"/>
          </w:tcPr>
          <w:p>
            <w:pPr>
              <w:spacing w:before="80" w:after="80"/>
            </w:pPr>
            <w:r>
              <w:rPr>
                <w:sz w:val="19"/>
              </w:rPr>
              <w:t>Candidate references and source summaries from approved inputs</w:t>
            </w:r>
          </w:p>
        </w:tc>
        <w:tc>
          <w:tcPr>
            <w:tcW w:type="dxa" w:w="3408"/>
          </w:tcPr>
          <w:p>
            <w:pPr>
              <w:spacing w:before="80" w:after="80"/>
            </w:pPr>
            <w:r>
              <w:rPr>
                <w:sz w:val="19"/>
              </w:rPr>
              <w:t>Reference identity, relevant dates, cited passages, and search scope. The practitioner assesses relevance to patentability or invalidity.</w:t>
            </w:r>
          </w:p>
        </w:tc>
      </w:tr>
      <w:tr>
        <w:trPr>
          <w:cantSplit/>
        </w:trPr>
        <w:tc>
          <w:tcPr>
            <w:tcW w:type="dxa" w:w="3408"/>
          </w:tcPr>
          <w:p>
            <w:pPr>
              <w:spacing w:before="80" w:after="80"/>
            </w:pPr>
            <w:r>
              <w:rPr>
                <w:sz w:val="19"/>
              </w:rPr>
              <w:t>Patent application drafting</w:t>
            </w:r>
          </w:p>
        </w:tc>
        <w:tc>
          <w:tcPr>
            <w:tcW w:type="dxa" w:w="3408"/>
          </w:tcPr>
          <w:p>
            <w:pPr>
              <w:spacing w:before="80" w:after="80"/>
            </w:pPr>
            <w:r>
              <w:rPr>
                <w:sz w:val="19"/>
              </w:rPr>
              <w:t>A claim hierarchy and specification draft from authorized invention materials</w:t>
            </w:r>
          </w:p>
        </w:tc>
        <w:tc>
          <w:tcPr>
            <w:tcW w:type="dxa" w:w="3408"/>
          </w:tcPr>
          <w:p>
            <w:pPr>
              <w:spacing w:before="80" w:after="80"/>
            </w:pPr>
            <w:r>
              <w:rPr>
                <w:sz w:val="19"/>
              </w:rPr>
              <w:t>Technical accuracy, disclosure support, claim dependencies, and consistency with inventor instructions. Unsupported additions are resolved before use.</w:t>
            </w:r>
          </w:p>
        </w:tc>
      </w:tr>
      <w:tr>
        <w:trPr>
          <w:cantSplit/>
        </w:trPr>
        <w:tc>
          <w:tcPr>
            <w:tcW w:type="dxa" w:w="3408"/>
          </w:tcPr>
          <w:p>
            <w:pPr>
              <w:spacing w:before="80" w:after="80"/>
            </w:pPr>
            <w:r>
              <w:rPr>
                <w:sz w:val="19"/>
              </w:rPr>
              <w:t>Office action response, replying to an examiner’s rejection</w:t>
            </w:r>
          </w:p>
        </w:tc>
        <w:tc>
          <w:tcPr>
            <w:tcW w:type="dxa" w:w="3408"/>
          </w:tcPr>
          <w:p>
            <w:pPr>
              <w:spacing w:before="80" w:after="80"/>
            </w:pPr>
            <w:r>
              <w:rPr>
                <w:sz w:val="19"/>
              </w:rPr>
              <w:t>A proposed response using the actual office action, application, and cited references</w:t>
            </w:r>
          </w:p>
        </w:tc>
        <w:tc>
          <w:tcPr>
            <w:tcW w:type="dxa" w:w="3408"/>
          </w:tcPr>
          <w:p>
            <w:pPr>
              <w:spacing w:before="80" w:after="80"/>
            </w:pPr>
            <w:r>
              <w:rPr>
                <w:sz w:val="19"/>
              </w:rPr>
              <w:t>Rejection grounds, claim version, amendment support, citations, and legal arguments. The responsible practitioner approves the final response.</w:t>
            </w:r>
          </w:p>
        </w:tc>
      </w:tr>
      <w:tr>
        <w:trPr>
          <w:cantSplit/>
        </w:trPr>
        <w:tc>
          <w:tcPr>
            <w:tcW w:type="dxa" w:w="3408"/>
          </w:tcPr>
          <w:p>
            <w:pPr>
              <w:spacing w:before="80" w:after="80"/>
            </w:pPr>
            <w:r>
              <w:rPr>
                <w:sz w:val="19"/>
              </w:rPr>
              <w:t>Infringement or invalidity claim chart</w:t>
            </w:r>
          </w:p>
        </w:tc>
        <w:tc>
          <w:tcPr>
            <w:tcW w:type="dxa" w:w="3408"/>
          </w:tcPr>
          <w:p>
            <w:pPr>
              <w:spacing w:before="80" w:after="80"/>
            </w:pPr>
            <w:r>
              <w:rPr>
                <w:sz w:val="19"/>
              </w:rPr>
              <w:t>A first-pass mapping of claim elements to product evidence or prior art</w:t>
            </w:r>
          </w:p>
        </w:tc>
        <w:tc>
          <w:tcPr>
            <w:tcW w:type="dxa" w:w="3408"/>
          </w:tcPr>
          <w:p>
            <w:pPr>
              <w:spacing w:before="80" w:after="80"/>
            </w:pPr>
            <w:r>
              <w:rPr>
                <w:sz w:val="19"/>
              </w:rPr>
              <w:t>Exact claim text, the meaning assigned to its terms, each source passage, and the reasoning for each mapping. Gaps remain explicit.</w:t>
            </w:r>
          </w:p>
        </w:tc>
      </w:tr>
      <w:tr>
        <w:trPr>
          <w:cantSplit/>
        </w:trPr>
        <w:tc>
          <w:tcPr>
            <w:tcW w:type="dxa" w:w="3408"/>
          </w:tcPr>
          <w:p>
            <w:pPr>
              <w:spacing w:before="80" w:after="80"/>
            </w:pPr>
            <w:r>
              <w:rPr>
                <w:sz w:val="19"/>
              </w:rPr>
              <w:t>Freedom to operate (FTO) review</w:t>
            </w:r>
          </w:p>
        </w:tc>
        <w:tc>
          <w:tcPr>
            <w:tcW w:type="dxa" w:w="3408"/>
          </w:tcPr>
          <w:p>
            <w:pPr>
              <w:spacing w:before="80" w:after="80"/>
            </w:pPr>
            <w:r>
              <w:rPr>
                <w:sz w:val="19"/>
              </w:rPr>
              <w:t>Candidate patents and mappings relevant to a defined product</w:t>
            </w:r>
          </w:p>
        </w:tc>
        <w:tc>
          <w:tcPr>
            <w:tcW w:type="dxa" w:w="3408"/>
          </w:tcPr>
          <w:p>
            <w:pPr>
              <w:spacing w:before="80" w:after="80"/>
            </w:pPr>
            <w:r>
              <w:rPr>
                <w:sz w:val="19"/>
              </w:rPr>
              <w:t>Jurisdiction, relevant claims, legal status, review date, and product configuration. Counsel makes any clearance or risk judgment.</w:t>
            </w:r>
          </w:p>
        </w:tc>
      </w:tr>
    </w:tbl>
    <w:p>
      <w:pPr>
        <w:pStyle w:val="Heading1"/>
      </w:pPr>
      <w:r>
        <w:t>Approved-environment register</w:t>
      </w:r>
    </w:p>
    <w:p>
      <w:pPr>
        <w:pStyle w:val="BodyText"/>
      </w:pPr>
      <w:r>
        <w:t>Complete a separate entry for each approved account, configuration, and connected data path. Keep contractual evidence and sensitive technical details in restricted locations.</w:t>
      </w:r>
    </w:p>
    <w:tbl>
      <w:tblPr>
        <w:tblStyle w:val="TableGrid"/>
        <w:tblW w:type="auto" w:w="0"/>
        <w:jc w:val="center"/>
        <w:tblLook w:firstColumn="1" w:firstRow="1" w:lastColumn="0" w:lastRow="0" w:noHBand="0" w:noVBand="1" w:val="04A0"/>
      </w:tblPr>
      <w:tblGrid>
        <w:gridCol w:w="5112"/>
        <w:gridCol w:w="5112"/>
      </w:tblGrid>
      <w:tr>
        <w:trPr>
          <w:cantSplit/>
          <w:tblHeader w:val="true"/>
        </w:trPr>
        <w:tc>
          <w:tcPr>
            <w:tcW w:type="dxa" w:w="5112"/>
            <w:shd w:fill="047A48"/>
          </w:tcPr>
          <w:p>
            <w:pPr>
              <w:spacing w:before="80" w:after="80"/>
            </w:pPr>
            <w:r>
              <w:rPr>
                <w:b/>
                <w:color w:val="FCFCFA"/>
                <w:sz w:val="19"/>
              </w:rPr>
              <w:t>Field</w:t>
            </w:r>
          </w:p>
        </w:tc>
        <w:tc>
          <w:tcPr>
            <w:tcW w:type="dxa" w:w="5112"/>
            <w:shd w:fill="047A48"/>
          </w:tcPr>
          <w:p>
            <w:pPr>
              <w:spacing w:before="80" w:after="80"/>
            </w:pPr>
            <w:r>
              <w:rPr>
                <w:b/>
                <w:color w:val="FCFCFA"/>
                <w:sz w:val="19"/>
              </w:rPr>
              <w:t>Approved entry</w:t>
            </w:r>
          </w:p>
        </w:tc>
      </w:tr>
      <w:tr>
        <w:trPr>
          <w:cantSplit/>
        </w:trPr>
        <w:tc>
          <w:tcPr>
            <w:tcW w:type="dxa" w:w="5112"/>
          </w:tcPr>
          <w:p>
            <w:pPr>
              <w:spacing w:before="80" w:after="80"/>
            </w:pPr>
            <w:r>
              <w:rPr>
                <w:sz w:val="19"/>
              </w:rPr>
              <w:t>Service and approval identifier</w:t>
            </w:r>
          </w:p>
        </w:tc>
        <w:tc>
          <w:tcPr>
            <w:tcW w:type="dxa" w:w="5112"/>
          </w:tcPr>
          <w:p>
            <w:pPr>
              <w:spacing w:before="80" w:after="80"/>
            </w:pPr>
            <w:r>
              <w:rPr>
                <w:sz w:val="19"/>
              </w:rPr>
              <w:t>[Service]; [Approval identifier]</w:t>
            </w:r>
          </w:p>
        </w:tc>
      </w:tr>
      <w:tr>
        <w:trPr>
          <w:cantSplit/>
        </w:trPr>
        <w:tc>
          <w:tcPr>
            <w:tcW w:type="dxa" w:w="5112"/>
          </w:tcPr>
          <w:p>
            <w:pPr>
              <w:spacing w:before="80" w:after="80"/>
            </w:pPr>
            <w:r>
              <w:rPr>
                <w:sz w:val="19"/>
              </w:rPr>
              <w:t>Account type and workspace</w:t>
            </w:r>
          </w:p>
        </w:tc>
        <w:tc>
          <w:tcPr>
            <w:tcW w:type="dxa" w:w="5112"/>
          </w:tcPr>
          <w:p>
            <w:pPr>
              <w:spacing w:before="80" w:after="80"/>
            </w:pPr>
            <w:r>
              <w:rPr>
                <w:sz w:val="19"/>
              </w:rPr>
              <w:t>[Managed account]; [Workspace]</w:t>
            </w:r>
          </w:p>
        </w:tc>
      </w:tr>
      <w:tr>
        <w:trPr>
          <w:cantSplit/>
        </w:trPr>
        <w:tc>
          <w:tcPr>
            <w:tcW w:type="dxa" w:w="5112"/>
          </w:tcPr>
          <w:p>
            <w:pPr>
              <w:spacing w:before="80" w:after="80"/>
            </w:pPr>
            <w:r>
              <w:rPr>
                <w:sz w:val="19"/>
              </w:rPr>
              <w:t>Approved tasks and data tiers</w:t>
            </w:r>
          </w:p>
        </w:tc>
        <w:tc>
          <w:tcPr>
            <w:tcW w:type="dxa" w:w="5112"/>
          </w:tcPr>
          <w:p>
            <w:pPr>
              <w:spacing w:before="80" w:after="80"/>
            </w:pPr>
            <w:r>
              <w:rPr>
                <w:sz w:val="19"/>
              </w:rPr>
              <w:t>[Task list]; [Tier limits]</w:t>
            </w:r>
          </w:p>
        </w:tc>
      </w:tr>
      <w:tr>
        <w:trPr>
          <w:cantSplit/>
        </w:trPr>
        <w:tc>
          <w:tcPr>
            <w:tcW w:type="dxa" w:w="5112"/>
          </w:tcPr>
          <w:p>
            <w:pPr>
              <w:spacing w:before="80" w:after="80"/>
            </w:pPr>
            <w:r>
              <w:rPr>
                <w:sz w:val="19"/>
              </w:rPr>
              <w:t>Permitted jurisdictions or matter restrictions</w:t>
            </w:r>
          </w:p>
        </w:tc>
        <w:tc>
          <w:tcPr>
            <w:tcW w:type="dxa" w:w="5112"/>
          </w:tcPr>
          <w:p>
            <w:pPr>
              <w:spacing w:before="80" w:after="80"/>
            </w:pPr>
            <w:r>
              <w:rPr>
                <w:sz w:val="19"/>
              </w:rPr>
              <w:t>[Limits]</w:t>
            </w:r>
          </w:p>
        </w:tc>
      </w:tr>
      <w:tr>
        <w:trPr>
          <w:cantSplit/>
        </w:trPr>
        <w:tc>
          <w:tcPr>
            <w:tcW w:type="dxa" w:w="5112"/>
          </w:tcPr>
          <w:p>
            <w:pPr>
              <w:spacing w:before="80" w:after="80"/>
            </w:pPr>
            <w:r>
              <w:rPr>
                <w:sz w:val="19"/>
              </w:rPr>
              <w:t>Identity, access, and ethical-wall controls</w:t>
            </w:r>
          </w:p>
        </w:tc>
        <w:tc>
          <w:tcPr>
            <w:tcW w:type="dxa" w:w="5112"/>
          </w:tcPr>
          <w:p>
            <w:pPr>
              <w:spacing w:before="80" w:after="80"/>
            </w:pPr>
            <w:r>
              <w:rPr>
                <w:sz w:val="19"/>
              </w:rPr>
              <w:t>[Configuration and owner]</w:t>
            </w:r>
          </w:p>
        </w:tc>
      </w:tr>
      <w:tr>
        <w:trPr>
          <w:cantSplit/>
        </w:trPr>
        <w:tc>
          <w:tcPr>
            <w:tcW w:type="dxa" w:w="5112"/>
          </w:tcPr>
          <w:p>
            <w:pPr>
              <w:spacing w:before="80" w:after="80"/>
            </w:pPr>
            <w:r>
              <w:rPr>
                <w:sz w:val="19"/>
              </w:rPr>
              <w:t>Connected repositories and extensions</w:t>
            </w:r>
          </w:p>
        </w:tc>
        <w:tc>
          <w:tcPr>
            <w:tcW w:type="dxa" w:w="5112"/>
          </w:tcPr>
          <w:p>
            <w:pPr>
              <w:spacing w:before="80" w:after="80"/>
            </w:pPr>
            <w:r>
              <w:rPr>
                <w:sz w:val="19"/>
              </w:rPr>
              <w:t>[Approved connections]; [Permissions]</w:t>
            </w:r>
          </w:p>
        </w:tc>
      </w:tr>
      <w:tr>
        <w:trPr>
          <w:cantSplit/>
        </w:trPr>
        <w:tc>
          <w:tcPr>
            <w:tcW w:type="dxa" w:w="5112"/>
          </w:tcPr>
          <w:p>
            <w:pPr>
              <w:spacing w:before="80" w:after="80"/>
            </w:pPr>
            <w:r>
              <w:rPr>
                <w:sz w:val="19"/>
              </w:rPr>
              <w:t>Input/output retention and deletion</w:t>
            </w:r>
          </w:p>
        </w:tc>
        <w:tc>
          <w:tcPr>
            <w:tcW w:type="dxa" w:w="5112"/>
          </w:tcPr>
          <w:p>
            <w:pPr>
              <w:spacing w:before="80" w:after="80"/>
            </w:pPr>
            <w:r>
              <w:rPr>
                <w:sz w:val="19"/>
              </w:rPr>
              <w:t>[Terms]; [History/log/back-up scope]; [Evidence location]</w:t>
            </w:r>
          </w:p>
        </w:tc>
      </w:tr>
      <w:tr>
        <w:trPr>
          <w:cantSplit/>
        </w:trPr>
        <w:tc>
          <w:tcPr>
            <w:tcW w:type="dxa" w:w="5112"/>
          </w:tcPr>
          <w:p>
            <w:pPr>
              <w:spacing w:before="80" w:after="80"/>
            </w:pPr>
            <w:r>
              <w:rPr>
                <w:sz w:val="19"/>
              </w:rPr>
              <w:t>Model-training treatment</w:t>
            </w:r>
          </w:p>
        </w:tc>
        <w:tc>
          <w:tcPr>
            <w:tcW w:type="dxa" w:w="5112"/>
          </w:tcPr>
          <w:p>
            <w:pPr>
              <w:spacing w:before="80" w:after="80"/>
            </w:pPr>
            <w:r>
              <w:rPr>
                <w:sz w:val="19"/>
              </w:rPr>
              <w:t>[Contractual terms]; [Evidence location]</w:t>
            </w:r>
          </w:p>
        </w:tc>
      </w:tr>
      <w:tr>
        <w:trPr>
          <w:cantSplit/>
        </w:trPr>
        <w:tc>
          <w:tcPr>
            <w:tcW w:type="dxa" w:w="5112"/>
          </w:tcPr>
          <w:p>
            <w:pPr>
              <w:spacing w:before="80" w:after="80"/>
            </w:pPr>
            <w:r>
              <w:rPr>
                <w:sz w:val="19"/>
              </w:rPr>
              <w:t>Processing locations and provider-personnel access</w:t>
            </w:r>
          </w:p>
        </w:tc>
        <w:tc>
          <w:tcPr>
            <w:tcW w:type="dxa" w:w="5112"/>
          </w:tcPr>
          <w:p>
            <w:pPr>
              <w:spacing w:before="80" w:after="80"/>
            </w:pPr>
            <w:r>
              <w:rPr>
                <w:sz w:val="19"/>
              </w:rPr>
              <w:t>[Locations]; [Access limits]; [Evidence location]</w:t>
            </w:r>
          </w:p>
        </w:tc>
      </w:tr>
      <w:tr>
        <w:trPr>
          <w:cantSplit/>
        </w:trPr>
        <w:tc>
          <w:tcPr>
            <w:tcW w:type="dxa" w:w="5112"/>
          </w:tcPr>
          <w:p>
            <w:pPr>
              <w:spacing w:before="80" w:after="80"/>
            </w:pPr>
            <w:r>
              <w:rPr>
                <w:sz w:val="19"/>
              </w:rPr>
              <w:t>Downstream providers and processing</w:t>
            </w:r>
          </w:p>
        </w:tc>
        <w:tc>
          <w:tcPr>
            <w:tcW w:type="dxa" w:w="5112"/>
          </w:tcPr>
          <w:p>
            <w:pPr>
              <w:spacing w:before="80" w:after="80"/>
            </w:pPr>
            <w:r>
              <w:rPr>
                <w:sz w:val="19"/>
              </w:rPr>
              <w:t>[Provider list]; [Scope]; [Evidence location]</w:t>
            </w:r>
          </w:p>
        </w:tc>
      </w:tr>
      <w:tr>
        <w:trPr>
          <w:cantSplit/>
        </w:trPr>
        <w:tc>
          <w:tcPr>
            <w:tcW w:type="dxa" w:w="5112"/>
          </w:tcPr>
          <w:p>
            <w:pPr>
              <w:spacing w:before="80" w:after="80"/>
            </w:pPr>
            <w:r>
              <w:rPr>
                <w:sz w:val="19"/>
              </w:rPr>
              <w:t>Incident-notification terms</w:t>
            </w:r>
          </w:p>
        </w:tc>
        <w:tc>
          <w:tcPr>
            <w:tcW w:type="dxa" w:w="5112"/>
          </w:tcPr>
          <w:p>
            <w:pPr>
              <w:spacing w:before="80" w:after="80"/>
            </w:pPr>
            <w:r>
              <w:rPr>
                <w:sz w:val="19"/>
              </w:rPr>
              <w:t>[Terms]; [Reporting contact]</w:t>
            </w:r>
          </w:p>
        </w:tc>
      </w:tr>
      <w:tr>
        <w:trPr>
          <w:cantSplit/>
        </w:trPr>
        <w:tc>
          <w:tcPr>
            <w:tcW w:type="dxa" w:w="5112"/>
          </w:tcPr>
          <w:p>
            <w:pPr>
              <w:spacing w:before="80" w:after="80"/>
            </w:pPr>
            <w:r>
              <w:rPr>
                <w:sz w:val="19"/>
              </w:rPr>
              <w:t>Risk and security decision</w:t>
            </w:r>
          </w:p>
        </w:tc>
        <w:tc>
          <w:tcPr>
            <w:tcW w:type="dxa" w:w="5112"/>
          </w:tcPr>
          <w:p>
            <w:pPr>
              <w:spacing w:before="80" w:after="80"/>
            </w:pPr>
            <w:r>
              <w:rPr>
                <w:sz w:val="19"/>
              </w:rPr>
              <w:t>[Approvers]; [Conditions]; [Date]</w:t>
            </w:r>
          </w:p>
        </w:tc>
      </w:tr>
      <w:tr>
        <w:trPr>
          <w:cantSplit/>
        </w:trPr>
        <w:tc>
          <w:tcPr>
            <w:tcW w:type="dxa" w:w="5112"/>
          </w:tcPr>
          <w:p>
            <w:pPr>
              <w:spacing w:before="80" w:after="80"/>
            </w:pPr>
            <w:r>
              <w:rPr>
                <w:sz w:val="19"/>
              </w:rPr>
              <w:t>Expiry or reassessment trigger</w:t>
            </w:r>
          </w:p>
        </w:tc>
        <w:tc>
          <w:tcPr>
            <w:tcW w:type="dxa" w:w="5112"/>
          </w:tcPr>
          <w:p>
            <w:pPr>
              <w:spacing w:before="80" w:after="80"/>
            </w:pPr>
            <w:r>
              <w:rPr>
                <w:sz w:val="19"/>
              </w:rPr>
              <w:t>[Date]; [Triggers]</w:t>
            </w:r>
          </w:p>
        </w:tc>
      </w:tr>
    </w:tbl>
    <w:p>
      <w:pPr>
        <w:pStyle w:val="Heading1"/>
      </w:pPr>
      <w:r>
        <w:t>Matter AI record</w:t>
      </w:r>
    </w:p>
    <w:p>
      <w:pPr>
        <w:pStyle w:val="BodyText"/>
      </w:pPr>
      <w:r>
        <w:t>Keep this record within restricted matter storage. Reference sensitive materials by their approved location rather than copying them into a broadly accessible register.</w:t>
      </w:r>
    </w:p>
    <w:tbl>
      <w:tblPr>
        <w:tblStyle w:val="TableGrid"/>
        <w:tblW w:type="auto" w:w="0"/>
        <w:jc w:val="center"/>
        <w:tblLook w:firstColumn="1" w:firstRow="1" w:lastColumn="0" w:lastRow="0" w:noHBand="0" w:noVBand="1" w:val="04A0"/>
      </w:tblPr>
      <w:tblGrid>
        <w:gridCol w:w="5112"/>
        <w:gridCol w:w="5112"/>
      </w:tblGrid>
      <w:tr>
        <w:trPr>
          <w:cantSplit/>
          <w:tblHeader w:val="true"/>
        </w:trPr>
        <w:tc>
          <w:tcPr>
            <w:tcW w:type="dxa" w:w="5112"/>
            <w:shd w:fill="047A48"/>
          </w:tcPr>
          <w:p>
            <w:pPr>
              <w:spacing w:before="80" w:after="80"/>
            </w:pPr>
            <w:r>
              <w:rPr>
                <w:b/>
                <w:color w:val="FCFCFA"/>
                <w:sz w:val="19"/>
              </w:rPr>
              <w:t>Field</w:t>
            </w:r>
          </w:p>
        </w:tc>
        <w:tc>
          <w:tcPr>
            <w:tcW w:type="dxa" w:w="5112"/>
            <w:shd w:fill="047A48"/>
          </w:tcPr>
          <w:p>
            <w:pPr>
              <w:spacing w:before="80" w:after="80"/>
            </w:pPr>
            <w:r>
              <w:rPr>
                <w:b/>
                <w:color w:val="FCFCFA"/>
                <w:sz w:val="19"/>
              </w:rPr>
              <w:t>Matter decision</w:t>
            </w:r>
          </w:p>
        </w:tc>
      </w:tr>
      <w:tr>
        <w:trPr>
          <w:cantSplit/>
        </w:trPr>
        <w:tc>
          <w:tcPr>
            <w:tcW w:type="dxa" w:w="5112"/>
          </w:tcPr>
          <w:p>
            <w:pPr>
              <w:spacing w:before="80" w:after="80"/>
            </w:pPr>
            <w:r>
              <w:rPr>
                <w:sz w:val="19"/>
              </w:rPr>
              <w:t>Matter and responsible attorney</w:t>
            </w:r>
          </w:p>
        </w:tc>
        <w:tc>
          <w:tcPr>
            <w:tcW w:type="dxa" w:w="5112"/>
          </w:tcPr>
          <w:p>
            <w:pPr>
              <w:spacing w:before="80" w:after="80"/>
            </w:pPr>
            <w:r>
              <w:rPr>
                <w:sz w:val="19"/>
              </w:rPr>
              <w:t>[Matter identifier]; [Attorney]</w:t>
            </w:r>
          </w:p>
        </w:tc>
      </w:tr>
      <w:tr>
        <w:trPr>
          <w:cantSplit/>
        </w:trPr>
        <w:tc>
          <w:tcPr>
            <w:tcW w:type="dxa" w:w="5112"/>
          </w:tcPr>
          <w:p>
            <w:pPr>
              <w:spacing w:before="80" w:after="80"/>
            </w:pPr>
            <w:r>
              <w:rPr>
                <w:sz w:val="19"/>
              </w:rPr>
              <w:t>Proposed task and work product</w:t>
            </w:r>
          </w:p>
        </w:tc>
        <w:tc>
          <w:tcPr>
            <w:tcW w:type="dxa" w:w="5112"/>
          </w:tcPr>
          <w:p>
            <w:pPr>
              <w:spacing w:before="80" w:after="80"/>
            </w:pPr>
            <w:r>
              <w:rPr>
                <w:sz w:val="19"/>
              </w:rPr>
              <w:t>[Task]; [Intended use]</w:t>
            </w:r>
          </w:p>
        </w:tc>
      </w:tr>
      <w:tr>
        <w:trPr>
          <w:cantSplit/>
        </w:trPr>
        <w:tc>
          <w:tcPr>
            <w:tcW w:type="dxa" w:w="5112"/>
          </w:tcPr>
          <w:p>
            <w:pPr>
              <w:spacing w:before="80" w:after="80"/>
            </w:pPr>
            <w:r>
              <w:rPr>
                <w:sz w:val="19"/>
              </w:rPr>
              <w:t>Client restrictions and controlling terms</w:t>
            </w:r>
          </w:p>
        </w:tc>
        <w:tc>
          <w:tcPr>
            <w:tcW w:type="dxa" w:w="5112"/>
          </w:tcPr>
          <w:p>
            <w:pPr>
              <w:spacing w:before="80" w:after="80"/>
            </w:pPr>
            <w:r>
              <w:rPr>
                <w:sz w:val="19"/>
              </w:rPr>
              <w:t>[Instruction]; [Evidence location]</w:t>
            </w:r>
          </w:p>
        </w:tc>
      </w:tr>
      <w:tr>
        <w:trPr>
          <w:cantSplit/>
        </w:trPr>
        <w:tc>
          <w:tcPr>
            <w:tcW w:type="dxa" w:w="5112"/>
          </w:tcPr>
          <w:p>
            <w:pPr>
              <w:spacing w:before="80" w:after="80"/>
            </w:pPr>
            <w:r>
              <w:rPr>
                <w:sz w:val="19"/>
              </w:rPr>
              <w:t>Disclosure or informed-consent assessment</w:t>
            </w:r>
          </w:p>
        </w:tc>
        <w:tc>
          <w:tcPr>
            <w:tcW w:type="dxa" w:w="5112"/>
          </w:tcPr>
          <w:p>
            <w:pPr>
              <w:spacing w:before="80" w:after="80"/>
            </w:pPr>
            <w:r>
              <w:rPr>
                <w:sz w:val="19"/>
              </w:rPr>
              <w:t>[Counsel decision and basis]</w:t>
            </w:r>
          </w:p>
        </w:tc>
      </w:tr>
      <w:tr>
        <w:trPr>
          <w:cantSplit/>
        </w:trPr>
        <w:tc>
          <w:tcPr>
            <w:tcW w:type="dxa" w:w="5112"/>
          </w:tcPr>
          <w:p>
            <w:pPr>
              <w:spacing w:before="80" w:after="80"/>
            </w:pPr>
            <w:r>
              <w:rPr>
                <w:sz w:val="19"/>
              </w:rPr>
              <w:t>Client decision, scope, and conditions</w:t>
            </w:r>
          </w:p>
        </w:tc>
        <w:tc>
          <w:tcPr>
            <w:tcW w:type="dxa" w:w="5112"/>
          </w:tcPr>
          <w:p>
            <w:pPr>
              <w:spacing w:before="80" w:after="80"/>
            </w:pPr>
            <w:r>
              <w:rPr>
                <w:sz w:val="19"/>
              </w:rPr>
              <w:t>[Decision]; [Date]; [Evidence location]</w:t>
            </w:r>
          </w:p>
        </w:tc>
      </w:tr>
      <w:tr>
        <w:trPr>
          <w:cantSplit/>
        </w:trPr>
        <w:tc>
          <w:tcPr>
            <w:tcW w:type="dxa" w:w="5112"/>
          </w:tcPr>
          <w:p>
            <w:pPr>
              <w:spacing w:before="80" w:after="80"/>
            </w:pPr>
            <w:r>
              <w:rPr>
                <w:sz w:val="19"/>
              </w:rPr>
              <w:t>Highest input tier and basis</w:t>
            </w:r>
          </w:p>
        </w:tc>
        <w:tc>
          <w:tcPr>
            <w:tcW w:type="dxa" w:w="5112"/>
          </w:tcPr>
          <w:p>
            <w:pPr>
              <w:spacing w:before="80" w:after="80"/>
            </w:pPr>
            <w:r>
              <w:rPr>
                <w:sz w:val="19"/>
              </w:rPr>
              <w:t>[Tier]; [Reason]</w:t>
            </w:r>
          </w:p>
        </w:tc>
      </w:tr>
      <w:tr>
        <w:trPr>
          <w:cantSplit/>
        </w:trPr>
        <w:tc>
          <w:tcPr>
            <w:tcW w:type="dxa" w:w="5112"/>
          </w:tcPr>
          <w:p>
            <w:pPr>
              <w:spacing w:before="80" w:after="80"/>
            </w:pPr>
            <w:r>
              <w:rPr>
                <w:sz w:val="19"/>
              </w:rPr>
              <w:t>Approved environment and connections</w:t>
            </w:r>
          </w:p>
        </w:tc>
        <w:tc>
          <w:tcPr>
            <w:tcW w:type="dxa" w:w="5112"/>
          </w:tcPr>
          <w:p>
            <w:pPr>
              <w:spacing w:before="80" w:after="80"/>
            </w:pPr>
            <w:r>
              <w:rPr>
                <w:sz w:val="19"/>
              </w:rPr>
              <w:t>[Approval identifier]; [Data path]</w:t>
            </w:r>
          </w:p>
        </w:tc>
      </w:tr>
      <w:tr>
        <w:trPr>
          <w:cantSplit/>
        </w:trPr>
        <w:tc>
          <w:tcPr>
            <w:tcW w:type="dxa" w:w="5112"/>
          </w:tcPr>
          <w:p>
            <w:pPr>
              <w:spacing w:before="80" w:after="80"/>
            </w:pPr>
            <w:r>
              <w:rPr>
                <w:sz w:val="19"/>
              </w:rPr>
              <w:t>Cross-border, export, or protective-order assessment</w:t>
            </w:r>
          </w:p>
        </w:tc>
        <w:tc>
          <w:tcPr>
            <w:tcW w:type="dxa" w:w="5112"/>
          </w:tcPr>
          <w:p>
            <w:pPr>
              <w:spacing w:before="80" w:after="80"/>
            </w:pPr>
            <w:r>
              <w:rPr>
                <w:sz w:val="19"/>
              </w:rPr>
              <w:t>[Decision]; [Approver]; [Evidence location]</w:t>
            </w:r>
          </w:p>
        </w:tc>
      </w:tr>
      <w:tr>
        <w:trPr>
          <w:cantSplit/>
        </w:trPr>
        <w:tc>
          <w:tcPr>
            <w:tcW w:type="dxa" w:w="5112"/>
          </w:tcPr>
          <w:p>
            <w:pPr>
              <w:spacing w:before="80" w:after="80"/>
            </w:pPr>
            <w:r>
              <w:rPr>
                <w:sz w:val="19"/>
              </w:rPr>
              <w:t>Reviewer and release authority</w:t>
            </w:r>
          </w:p>
        </w:tc>
        <w:tc>
          <w:tcPr>
            <w:tcW w:type="dxa" w:w="5112"/>
          </w:tcPr>
          <w:p>
            <w:pPr>
              <w:spacing w:before="80" w:after="80"/>
            </w:pPr>
            <w:r>
              <w:rPr>
                <w:sz w:val="19"/>
              </w:rPr>
              <w:t>[Practitioner]; [Responsible attorney]</w:t>
            </w:r>
          </w:p>
        </w:tc>
      </w:tr>
      <w:tr>
        <w:trPr>
          <w:cantSplit/>
        </w:trPr>
        <w:tc>
          <w:tcPr>
            <w:tcW w:type="dxa" w:w="5112"/>
          </w:tcPr>
          <w:p>
            <w:pPr>
              <w:spacing w:before="80" w:after="80"/>
            </w:pPr>
            <w:r>
              <w:rPr>
                <w:sz w:val="19"/>
              </w:rPr>
              <w:t>Task scope</w:t>
            </w:r>
          </w:p>
        </w:tc>
        <w:tc>
          <w:tcPr>
            <w:tcW w:type="dxa" w:w="5112"/>
          </w:tcPr>
          <w:p>
            <w:pPr>
              <w:spacing w:before="80" w:after="80"/>
            </w:pPr>
            <w:r>
              <w:rPr>
                <w:sz w:val="19"/>
              </w:rPr>
              <w:t>[Jurisdiction]; [Relevant date]; [Claim/product version, if applicable]</w:t>
            </w:r>
          </w:p>
        </w:tc>
      </w:tr>
      <w:tr>
        <w:trPr>
          <w:cantSplit/>
        </w:trPr>
        <w:tc>
          <w:tcPr>
            <w:tcW w:type="dxa" w:w="5112"/>
          </w:tcPr>
          <w:p>
            <w:pPr>
              <w:spacing w:before="80" w:after="80"/>
            </w:pPr>
            <w:r>
              <w:rPr>
                <w:sz w:val="19"/>
              </w:rPr>
              <w:t>Records, retention, and preservation</w:t>
            </w:r>
          </w:p>
        </w:tc>
        <w:tc>
          <w:tcPr>
            <w:tcW w:type="dxa" w:w="5112"/>
          </w:tcPr>
          <w:p>
            <w:pPr>
              <w:spacing w:before="80" w:after="80"/>
            </w:pPr>
            <w:r>
              <w:rPr>
                <w:sz w:val="19"/>
              </w:rPr>
              <w:t>[Location]; [Retention rule]; [Hold status]</w:t>
            </w:r>
          </w:p>
        </w:tc>
      </w:tr>
      <w:tr>
        <w:trPr>
          <w:cantSplit/>
        </w:trPr>
        <w:tc>
          <w:tcPr>
            <w:tcW w:type="dxa" w:w="5112"/>
          </w:tcPr>
          <w:p>
            <w:pPr>
              <w:spacing w:before="80" w:after="80"/>
            </w:pPr>
            <w:r>
              <w:rPr>
                <w:sz w:val="19"/>
              </w:rPr>
              <w:t>Matter authorization</w:t>
            </w:r>
          </w:p>
        </w:tc>
        <w:tc>
          <w:tcPr>
            <w:tcW w:type="dxa" w:w="5112"/>
          </w:tcPr>
          <w:p>
            <w:pPr>
              <w:spacing w:before="80" w:after="80"/>
            </w:pPr>
            <w:r>
              <w:rPr>
                <w:sz w:val="19"/>
              </w:rPr>
              <w:t>[Matter partner]; [Conditions]; [Date]</w:t>
            </w:r>
          </w:p>
        </w:tc>
      </w:tr>
    </w:tbl>
    <w:p>
      <w:pPr>
        <w:pStyle w:val="Heading1"/>
      </w:pPr>
      <w:r>
        <w:t>Work-product review record</w:t>
      </w:r>
    </w:p>
    <w:tbl>
      <w:tblPr>
        <w:tblStyle w:val="TableGrid"/>
        <w:tblW w:type="auto" w:w="0"/>
        <w:jc w:val="center"/>
        <w:tblLook w:firstColumn="1" w:firstRow="1" w:lastColumn="0" w:lastRow="0" w:noHBand="0" w:noVBand="1" w:val="04A0"/>
      </w:tblPr>
      <w:tblGrid>
        <w:gridCol w:w="5112"/>
        <w:gridCol w:w="5112"/>
      </w:tblGrid>
      <w:tr>
        <w:trPr>
          <w:cantSplit/>
          <w:tblHeader w:val="true"/>
        </w:trPr>
        <w:tc>
          <w:tcPr>
            <w:tcW w:type="dxa" w:w="5112"/>
            <w:shd w:fill="047A48"/>
          </w:tcPr>
          <w:p>
            <w:pPr>
              <w:spacing w:before="80" w:after="80"/>
            </w:pPr>
            <w:r>
              <w:rPr>
                <w:b/>
                <w:color w:val="FCFCFA"/>
                <w:sz w:val="19"/>
              </w:rPr>
              <w:t>Field</w:t>
            </w:r>
          </w:p>
        </w:tc>
        <w:tc>
          <w:tcPr>
            <w:tcW w:type="dxa" w:w="5112"/>
            <w:shd w:fill="047A48"/>
          </w:tcPr>
          <w:p>
            <w:pPr>
              <w:spacing w:before="80" w:after="80"/>
            </w:pPr>
            <w:r>
              <w:rPr>
                <w:b/>
                <w:color w:val="FCFCFA"/>
                <w:sz w:val="19"/>
              </w:rPr>
              <w:t>Review entry</w:t>
            </w:r>
          </w:p>
        </w:tc>
      </w:tr>
      <w:tr>
        <w:trPr>
          <w:cantSplit/>
        </w:trPr>
        <w:tc>
          <w:tcPr>
            <w:tcW w:type="dxa" w:w="5112"/>
          </w:tcPr>
          <w:p>
            <w:pPr>
              <w:spacing w:before="80" w:after="80"/>
            </w:pPr>
            <w:r>
              <w:rPr>
                <w:sz w:val="19"/>
              </w:rPr>
              <w:t>Work product and task</w:t>
            </w:r>
          </w:p>
        </w:tc>
        <w:tc>
          <w:tcPr>
            <w:tcW w:type="dxa" w:w="5112"/>
          </w:tcPr>
          <w:p>
            <w:pPr>
              <w:spacing w:before="80" w:after="80"/>
            </w:pPr>
            <w:r>
              <w:rPr>
                <w:sz w:val="19"/>
              </w:rPr>
              <w:t>[Identifier]; [Task]</w:t>
            </w:r>
          </w:p>
        </w:tc>
      </w:tr>
      <w:tr>
        <w:trPr>
          <w:cantSplit/>
        </w:trPr>
        <w:tc>
          <w:tcPr>
            <w:tcW w:type="dxa" w:w="5112"/>
          </w:tcPr>
          <w:p>
            <w:pPr>
              <w:spacing w:before="80" w:after="80"/>
            </w:pPr>
            <w:r>
              <w:rPr>
                <w:sz w:val="19"/>
              </w:rPr>
              <w:t>Environment and available version information</w:t>
            </w:r>
          </w:p>
        </w:tc>
        <w:tc>
          <w:tcPr>
            <w:tcW w:type="dxa" w:w="5112"/>
          </w:tcPr>
          <w:p>
            <w:pPr>
              <w:spacing w:before="80" w:after="80"/>
            </w:pPr>
            <w:r>
              <w:rPr>
                <w:sz w:val="19"/>
              </w:rPr>
              <w:t>[Approval identifier]; [Available model/configuration details]; [Date]</w:t>
            </w:r>
          </w:p>
        </w:tc>
      </w:tr>
      <w:tr>
        <w:trPr>
          <w:cantSplit/>
        </w:trPr>
        <w:tc>
          <w:tcPr>
            <w:tcW w:type="dxa" w:w="5112"/>
          </w:tcPr>
          <w:p>
            <w:pPr>
              <w:spacing w:before="80" w:after="80"/>
            </w:pPr>
            <w:r>
              <w:rPr>
                <w:sz w:val="19"/>
              </w:rPr>
              <w:t>Approved inputs and tier</w:t>
            </w:r>
          </w:p>
        </w:tc>
        <w:tc>
          <w:tcPr>
            <w:tcW w:type="dxa" w:w="5112"/>
          </w:tcPr>
          <w:p>
            <w:pPr>
              <w:spacing w:before="80" w:after="80"/>
            </w:pPr>
            <w:r>
              <w:rPr>
                <w:sz w:val="19"/>
              </w:rPr>
              <w:t>[Source locations]; [Tier]</w:t>
            </w:r>
          </w:p>
        </w:tc>
      </w:tr>
      <w:tr>
        <w:trPr>
          <w:cantSplit/>
        </w:trPr>
        <w:tc>
          <w:tcPr>
            <w:tcW w:type="dxa" w:w="5112"/>
          </w:tcPr>
          <w:p>
            <w:pPr>
              <w:spacing w:before="80" w:after="80"/>
            </w:pPr>
            <w:r>
              <w:rPr>
                <w:sz w:val="19"/>
              </w:rPr>
              <w:t>Controlling versions</w:t>
            </w:r>
          </w:p>
        </w:tc>
        <w:tc>
          <w:tcPr>
            <w:tcW w:type="dxa" w:w="5112"/>
          </w:tcPr>
          <w:p>
            <w:pPr>
              <w:spacing w:before="80" w:after="80"/>
            </w:pPr>
            <w:r>
              <w:rPr>
                <w:sz w:val="19"/>
              </w:rPr>
              <w:t>[Application/claim/office-action/product/evidence version]</w:t>
            </w:r>
          </w:p>
        </w:tc>
      </w:tr>
      <w:tr>
        <w:trPr>
          <w:cantSplit/>
        </w:trPr>
        <w:tc>
          <w:tcPr>
            <w:tcW w:type="dxa" w:w="5112"/>
          </w:tcPr>
          <w:p>
            <w:pPr>
              <w:spacing w:before="80" w:after="80"/>
            </w:pPr>
            <w:r>
              <w:rPr>
                <w:sz w:val="19"/>
              </w:rPr>
              <w:t>Source and quotation review</w:t>
            </w:r>
          </w:p>
        </w:tc>
        <w:tc>
          <w:tcPr>
            <w:tcW w:type="dxa" w:w="5112"/>
          </w:tcPr>
          <w:p>
            <w:pPr>
              <w:spacing w:before="80" w:after="80"/>
            </w:pPr>
            <w:r>
              <w:rPr>
                <w:sz w:val="19"/>
              </w:rPr>
              <w:t>[Source identities, locators, relevant dates, and review result]</w:t>
            </w:r>
          </w:p>
        </w:tc>
      </w:tr>
      <w:tr>
        <w:trPr>
          <w:cantSplit/>
        </w:trPr>
        <w:tc>
          <w:tcPr>
            <w:tcW w:type="dxa" w:w="5112"/>
          </w:tcPr>
          <w:p>
            <w:pPr>
              <w:spacing w:before="80" w:after="80"/>
            </w:pPr>
            <w:r>
              <w:rPr>
                <w:sz w:val="19"/>
              </w:rPr>
              <w:t>Substantive review</w:t>
            </w:r>
          </w:p>
        </w:tc>
        <w:tc>
          <w:tcPr>
            <w:tcW w:type="dxa" w:w="5112"/>
          </w:tcPr>
          <w:p>
            <w:pPr>
              <w:spacing w:before="80" w:after="80"/>
            </w:pPr>
            <w:r>
              <w:rPr>
                <w:sz w:val="19"/>
              </w:rPr>
              <w:t>[Technical support]; [Claim mapping or legal reasoning]; [Review result]</w:t>
            </w:r>
          </w:p>
        </w:tc>
      </w:tr>
      <w:tr>
        <w:trPr>
          <w:cantSplit/>
        </w:trPr>
        <w:tc>
          <w:tcPr>
            <w:tcW w:type="dxa" w:w="5112"/>
          </w:tcPr>
          <w:p>
            <w:pPr>
              <w:spacing w:before="80" w:after="80"/>
            </w:pPr>
            <w:r>
              <w:rPr>
                <w:sz w:val="19"/>
              </w:rPr>
              <w:t>Inventor confirmation where applicable</w:t>
            </w:r>
          </w:p>
        </w:tc>
        <w:tc>
          <w:tcPr>
            <w:tcW w:type="dxa" w:w="5112"/>
          </w:tcPr>
          <w:p>
            <w:pPr>
              <w:spacing w:before="80" w:after="80"/>
            </w:pPr>
            <w:r>
              <w:rPr>
                <w:sz w:val="19"/>
              </w:rPr>
              <w:t>[Technical additions]; [Confirmation location]</w:t>
            </w:r>
          </w:p>
        </w:tc>
      </w:tr>
      <w:tr>
        <w:trPr>
          <w:cantSplit/>
        </w:trPr>
        <w:tc>
          <w:tcPr>
            <w:tcW w:type="dxa" w:w="5112"/>
          </w:tcPr>
          <w:p>
            <w:pPr>
              <w:spacing w:before="80" w:after="80"/>
            </w:pPr>
            <w:r>
              <w:rPr>
                <w:sz w:val="19"/>
              </w:rPr>
              <w:t>Material corrections and unresolved issues</w:t>
            </w:r>
          </w:p>
        </w:tc>
        <w:tc>
          <w:tcPr>
            <w:tcW w:type="dxa" w:w="5112"/>
          </w:tcPr>
          <w:p>
            <w:pPr>
              <w:spacing w:before="80" w:after="80"/>
            </w:pPr>
            <w:r>
              <w:rPr>
                <w:sz w:val="19"/>
              </w:rPr>
              <w:t>[Disposition]; [Hold or escalation]</w:t>
            </w:r>
          </w:p>
        </w:tc>
      </w:tr>
      <w:tr>
        <w:trPr>
          <w:cantSplit/>
        </w:trPr>
        <w:tc>
          <w:tcPr>
            <w:tcW w:type="dxa" w:w="5112"/>
          </w:tcPr>
          <w:p>
            <w:pPr>
              <w:spacing w:before="80" w:after="80"/>
            </w:pPr>
            <w:r>
              <w:rPr>
                <w:sz w:val="19"/>
              </w:rPr>
              <w:t>Reviewer</w:t>
            </w:r>
          </w:p>
        </w:tc>
        <w:tc>
          <w:tcPr>
            <w:tcW w:type="dxa" w:w="5112"/>
          </w:tcPr>
          <w:p>
            <w:pPr>
              <w:spacing w:before="80" w:after="80"/>
            </w:pPr>
            <w:r>
              <w:rPr>
                <w:sz w:val="19"/>
              </w:rPr>
              <w:t>[Name]; [Date]</w:t>
            </w:r>
          </w:p>
        </w:tc>
      </w:tr>
      <w:tr>
        <w:trPr>
          <w:cantSplit/>
        </w:trPr>
        <w:tc>
          <w:tcPr>
            <w:tcW w:type="dxa" w:w="5112"/>
          </w:tcPr>
          <w:p>
            <w:pPr>
              <w:spacing w:before="80" w:after="80"/>
            </w:pPr>
            <w:r>
              <w:rPr>
                <w:sz w:val="19"/>
              </w:rPr>
              <w:t>Final attorney approval and approved use</w:t>
            </w:r>
          </w:p>
        </w:tc>
        <w:tc>
          <w:tcPr>
            <w:tcW w:type="dxa" w:w="5112"/>
          </w:tcPr>
          <w:p>
            <w:pPr>
              <w:spacing w:before="80" w:after="80"/>
            </w:pPr>
            <w:r>
              <w:rPr>
                <w:sz w:val="19"/>
              </w:rPr>
              <w:t>[Attorney]; [Date]; [Release scope]</w:t>
            </w:r>
          </w:p>
        </w:tc>
      </w:tr>
      <w:tr>
        <w:trPr>
          <w:cantSplit/>
        </w:trPr>
        <w:tc>
          <w:tcPr>
            <w:tcW w:type="dxa" w:w="5112"/>
          </w:tcPr>
          <w:p>
            <w:pPr>
              <w:spacing w:before="80" w:after="80"/>
            </w:pPr>
            <w:r>
              <w:rPr>
                <w:sz w:val="19"/>
              </w:rPr>
              <w:t>Final work-product location</w:t>
            </w:r>
          </w:p>
        </w:tc>
        <w:tc>
          <w:tcPr>
            <w:tcW w:type="dxa" w:w="5112"/>
          </w:tcPr>
          <w:p>
            <w:pPr>
              <w:spacing w:before="80" w:after="80"/>
            </w:pPr>
            <w:r>
              <w:rPr>
                <w:sz w:val="19"/>
              </w:rPr>
              <w:t>[Restricted location]</w:t>
            </w:r>
          </w:p>
        </w:tc>
      </w:tr>
    </w:tbl>
    <w:p>
      <w:pPr>
        <w:pStyle w:val="Heading1"/>
      </w:pPr>
      <w:r>
        <w:t>Incident record</w:t>
      </w:r>
    </w:p>
    <w:p>
      <w:pPr>
        <w:pStyle w:val="BodyText"/>
      </w:pPr>
      <w:r>
        <w:t>An incident record supports response decisions. It does not authorize disclosure or replace preservation, notification, or correction obligations.</w:t>
      </w:r>
    </w:p>
    <w:tbl>
      <w:tblPr>
        <w:tblStyle w:val="TableGrid"/>
        <w:tblW w:type="auto" w:w="0"/>
        <w:jc w:val="center"/>
        <w:tblLook w:firstColumn="1" w:firstRow="1" w:lastColumn="0" w:lastRow="0" w:noHBand="0" w:noVBand="1" w:val="04A0"/>
      </w:tblPr>
      <w:tblGrid>
        <w:gridCol w:w="5112"/>
        <w:gridCol w:w="5112"/>
      </w:tblGrid>
      <w:tr>
        <w:trPr>
          <w:cantSplit/>
          <w:tblHeader w:val="true"/>
        </w:trPr>
        <w:tc>
          <w:tcPr>
            <w:tcW w:type="dxa" w:w="5112"/>
            <w:shd w:fill="047A48"/>
          </w:tcPr>
          <w:p>
            <w:pPr>
              <w:spacing w:before="80" w:after="80"/>
            </w:pPr>
            <w:r>
              <w:rPr>
                <w:b/>
                <w:color w:val="FCFCFA"/>
                <w:sz w:val="19"/>
              </w:rPr>
              <w:t>Field</w:t>
            </w:r>
          </w:p>
        </w:tc>
        <w:tc>
          <w:tcPr>
            <w:tcW w:type="dxa" w:w="5112"/>
            <w:shd w:fill="047A48"/>
          </w:tcPr>
          <w:p>
            <w:pPr>
              <w:spacing w:before="80" w:after="80"/>
            </w:pPr>
            <w:r>
              <w:rPr>
                <w:b/>
                <w:color w:val="FCFCFA"/>
                <w:sz w:val="19"/>
              </w:rPr>
              <w:t>Incident entry</w:t>
            </w:r>
          </w:p>
        </w:tc>
      </w:tr>
      <w:tr>
        <w:trPr>
          <w:cantSplit/>
        </w:trPr>
        <w:tc>
          <w:tcPr>
            <w:tcW w:type="dxa" w:w="5112"/>
          </w:tcPr>
          <w:p>
            <w:pPr>
              <w:spacing w:before="80" w:after="80"/>
            </w:pPr>
            <w:r>
              <w:rPr>
                <w:sz w:val="19"/>
              </w:rPr>
              <w:t>Reporter and reporting time</w:t>
            </w:r>
          </w:p>
        </w:tc>
        <w:tc>
          <w:tcPr>
            <w:tcW w:type="dxa" w:w="5112"/>
          </w:tcPr>
          <w:p>
            <w:pPr>
              <w:spacing w:before="80" w:after="80"/>
            </w:pPr>
            <w:r>
              <w:rPr>
                <w:sz w:val="19"/>
              </w:rPr>
              <w:t>[Name]; [Time]</w:t>
            </w:r>
          </w:p>
        </w:tc>
      </w:tr>
      <w:tr>
        <w:trPr>
          <w:cantSplit/>
        </w:trPr>
        <w:tc>
          <w:tcPr>
            <w:tcW w:type="dxa" w:w="5112"/>
          </w:tcPr>
          <w:p>
            <w:pPr>
              <w:spacing w:before="80" w:after="80"/>
            </w:pPr>
            <w:r>
              <w:rPr>
                <w:sz w:val="19"/>
              </w:rPr>
              <w:t>Incident category</w:t>
            </w:r>
          </w:p>
        </w:tc>
        <w:tc>
          <w:tcPr>
            <w:tcW w:type="dxa" w:w="5112"/>
          </w:tcPr>
          <w:p>
            <w:pPr>
              <w:spacing w:before="80" w:after="80"/>
            </w:pPr>
            <w:r>
              <w:rPr>
                <w:sz w:val="19"/>
              </w:rPr>
              <w:t>[Unauthorized upload/access, cross-matter disclosure, or material output error]</w:t>
            </w:r>
          </w:p>
        </w:tc>
      </w:tr>
      <w:tr>
        <w:trPr>
          <w:cantSplit/>
        </w:trPr>
        <w:tc>
          <w:tcPr>
            <w:tcW w:type="dxa" w:w="5112"/>
          </w:tcPr>
          <w:p>
            <w:pPr>
              <w:spacing w:before="80" w:after="80"/>
            </w:pPr>
            <w:r>
              <w:rPr>
                <w:sz w:val="19"/>
              </w:rPr>
              <w:t>Affected matter and environment</w:t>
            </w:r>
          </w:p>
        </w:tc>
        <w:tc>
          <w:tcPr>
            <w:tcW w:type="dxa" w:w="5112"/>
          </w:tcPr>
          <w:p>
            <w:pPr>
              <w:spacing w:before="80" w:after="80"/>
            </w:pPr>
            <w:r>
              <w:rPr>
                <w:sz w:val="19"/>
              </w:rPr>
              <w:t>[Identifiers]</w:t>
            </w:r>
          </w:p>
        </w:tc>
      </w:tr>
      <w:tr>
        <w:trPr>
          <w:cantSplit/>
        </w:trPr>
        <w:tc>
          <w:tcPr>
            <w:tcW w:type="dxa" w:w="5112"/>
          </w:tcPr>
          <w:p>
            <w:pPr>
              <w:spacing w:before="80" w:after="80"/>
            </w:pPr>
            <w:r>
              <w:rPr>
                <w:sz w:val="19"/>
              </w:rPr>
              <w:t>Information and recipients/systems potentially affected</w:t>
            </w:r>
          </w:p>
        </w:tc>
        <w:tc>
          <w:tcPr>
            <w:tcW w:type="dxa" w:w="5112"/>
          </w:tcPr>
          <w:p>
            <w:pPr>
              <w:spacing w:before="80" w:after="80"/>
            </w:pPr>
            <w:r>
              <w:rPr>
                <w:sz w:val="19"/>
              </w:rPr>
              <w:t>[Restricted evidence location]; [Scope]</w:t>
            </w:r>
          </w:p>
        </w:tc>
      </w:tr>
      <w:tr>
        <w:trPr>
          <w:cantSplit/>
        </w:trPr>
        <w:tc>
          <w:tcPr>
            <w:tcW w:type="dxa" w:w="5112"/>
          </w:tcPr>
          <w:p>
            <w:pPr>
              <w:spacing w:before="80" w:after="80"/>
            </w:pPr>
            <w:r>
              <w:rPr>
                <w:sz w:val="19"/>
              </w:rPr>
              <w:t>Work product already sent or filed</w:t>
            </w:r>
          </w:p>
        </w:tc>
        <w:tc>
          <w:tcPr>
            <w:tcW w:type="dxa" w:w="5112"/>
          </w:tcPr>
          <w:p>
            <w:pPr>
              <w:spacing w:before="80" w:after="80"/>
            </w:pPr>
            <w:r>
              <w:rPr>
                <w:sz w:val="19"/>
              </w:rPr>
              <w:t>[Identifiers]; [Recipients]; [Time]</w:t>
            </w:r>
          </w:p>
        </w:tc>
      </w:tr>
      <w:tr>
        <w:trPr>
          <w:cantSplit/>
        </w:trPr>
        <w:tc>
          <w:tcPr>
            <w:tcW w:type="dxa" w:w="5112"/>
          </w:tcPr>
          <w:p>
            <w:pPr>
              <w:spacing w:before="80" w:after="80"/>
            </w:pPr>
            <w:r>
              <w:rPr>
                <w:sz w:val="19"/>
              </w:rPr>
              <w:t>Immediate containment</w:t>
            </w:r>
          </w:p>
        </w:tc>
        <w:tc>
          <w:tcPr>
            <w:tcW w:type="dxa" w:w="5112"/>
          </w:tcPr>
          <w:p>
            <w:pPr>
              <w:spacing w:before="80" w:after="80"/>
            </w:pPr>
            <w:r>
              <w:rPr>
                <w:sz w:val="19"/>
              </w:rPr>
              <w:t>[Action]; [Owner]; [Time]</w:t>
            </w:r>
          </w:p>
        </w:tc>
      </w:tr>
      <w:tr>
        <w:trPr>
          <w:cantSplit/>
        </w:trPr>
        <w:tc>
          <w:tcPr>
            <w:tcW w:type="dxa" w:w="5112"/>
          </w:tcPr>
          <w:p>
            <w:pPr>
              <w:spacing w:before="80" w:after="80"/>
            </w:pPr>
            <w:r>
              <w:rPr>
                <w:sz w:val="19"/>
              </w:rPr>
              <w:t>Evidence-preservation instruction</w:t>
            </w:r>
          </w:p>
        </w:tc>
        <w:tc>
          <w:tcPr>
            <w:tcW w:type="dxa" w:w="5112"/>
          </w:tcPr>
          <w:p>
            <w:pPr>
              <w:spacing w:before="80" w:after="80"/>
            </w:pPr>
            <w:r>
              <w:rPr>
                <w:sz w:val="19"/>
              </w:rPr>
              <w:t>[Instruction]; [Owner]; [Record locations]</w:t>
            </w:r>
          </w:p>
        </w:tc>
      </w:tr>
      <w:tr>
        <w:trPr>
          <w:cantSplit/>
        </w:trPr>
        <w:tc>
          <w:tcPr>
            <w:tcW w:type="dxa" w:w="5112"/>
          </w:tcPr>
          <w:p>
            <w:pPr>
              <w:spacing w:before="80" w:after="80"/>
            </w:pPr>
            <w:r>
              <w:rPr>
                <w:sz w:val="19"/>
              </w:rPr>
              <w:t>Risk/security assessment</w:t>
            </w:r>
          </w:p>
        </w:tc>
        <w:tc>
          <w:tcPr>
            <w:tcW w:type="dxa" w:w="5112"/>
          </w:tcPr>
          <w:p>
            <w:pPr>
              <w:spacing w:before="80" w:after="80"/>
            </w:pPr>
            <w:r>
              <w:rPr>
                <w:sz w:val="19"/>
              </w:rPr>
              <w:t>[Owners]; [Decision]; [Date]</w:t>
            </w:r>
          </w:p>
        </w:tc>
      </w:tr>
      <w:tr>
        <w:trPr>
          <w:cantSplit/>
        </w:trPr>
        <w:tc>
          <w:tcPr>
            <w:tcW w:type="dxa" w:w="5112"/>
          </w:tcPr>
          <w:p>
            <w:pPr>
              <w:spacing w:before="80" w:after="80"/>
            </w:pPr>
            <w:r>
              <w:rPr>
                <w:sz w:val="19"/>
              </w:rPr>
              <w:t>Notification or corrective response</w:t>
            </w:r>
          </w:p>
        </w:tc>
        <w:tc>
          <w:tcPr>
            <w:tcW w:type="dxa" w:w="5112"/>
          </w:tcPr>
          <w:p>
            <w:pPr>
              <w:spacing w:before="80" w:after="80"/>
            </w:pPr>
            <w:r>
              <w:rPr>
                <w:sz w:val="19"/>
              </w:rPr>
              <w:t>[Counsel decision]; [Action owner]; [Deadline]</w:t>
            </w:r>
          </w:p>
        </w:tc>
      </w:tr>
      <w:tr>
        <w:trPr>
          <w:cantSplit/>
        </w:trPr>
        <w:tc>
          <w:tcPr>
            <w:tcW w:type="dxa" w:w="5112"/>
          </w:tcPr>
          <w:p>
            <w:pPr>
              <w:spacing w:before="80" w:after="80"/>
            </w:pPr>
            <w:r>
              <w:rPr>
                <w:sz w:val="19"/>
              </w:rPr>
              <w:t>Authorized restart</w:t>
            </w:r>
          </w:p>
        </w:tc>
        <w:tc>
          <w:tcPr>
            <w:tcW w:type="dxa" w:w="5112"/>
          </w:tcPr>
          <w:p>
            <w:pPr>
              <w:spacing w:before="80" w:after="80"/>
            </w:pPr>
            <w:r>
              <w:rPr>
                <w:sz w:val="19"/>
              </w:rPr>
              <w:t>[Approver]; [Conditions]; [Date]</w:t>
            </w:r>
          </w:p>
        </w:tc>
      </w:tr>
      <w:tr>
        <w:trPr>
          <w:cantSplit/>
        </w:trPr>
        <w:tc>
          <w:tcPr>
            <w:tcW w:type="dxa" w:w="5112"/>
          </w:tcPr>
          <w:p>
            <w:pPr>
              <w:spacing w:before="80" w:after="80"/>
            </w:pPr>
            <w:r>
              <w:rPr>
                <w:sz w:val="19"/>
              </w:rPr>
              <w:t>Policy or training change</w:t>
            </w:r>
          </w:p>
        </w:tc>
        <w:tc>
          <w:tcPr>
            <w:tcW w:type="dxa" w:w="5112"/>
          </w:tcPr>
          <w:p>
            <w:pPr>
              <w:spacing w:before="80" w:after="80"/>
            </w:pPr>
            <w:r>
              <w:rPr>
                <w:sz w:val="19"/>
              </w:rPr>
              <w:t>[Change]; [Owner]</w:t>
            </w:r>
          </w:p>
        </w:tc>
      </w:tr>
    </w:tbl>
    <w:p>
      <w:pPr>
        <w:pStyle w:val="Heading1"/>
      </w:pPr>
      <w:r>
        <w:t>Exception and training records</w:t>
      </w:r>
    </w:p>
    <w:p>
      <w:pPr>
        <w:pStyle w:val="BodyText"/>
      </w:pPr>
      <w:r>
        <w:t>An exception entry records [Request], [Reason], [Task and data scope], [Client-permission evidence], [Risk/security/matter approvers], [Compensating controls], and [Expiry]. No exception overrides law, court orders, or client restrictions.</w:t>
      </w:r>
    </w:p>
    <w:p>
      <w:pPr>
        <w:pStyle w:val="BodyText"/>
      </w:pPr>
      <w:r>
        <w:t>A training entry records [Person and role], [Approved environments/tasks], [Training completed], [Completion date], [Policy version acknowledged], and [Refresher trigger or date].</w:t>
      </w:r>
    </w:p>
    <w:sectPr w:rsidR="00FC693F" w:rsidRPr="0006063C" w:rsidSect="00034616">
      <w:footerReference w:type="default" r:id="rId10"/>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0E201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Besley" w:hAnsi="Besley"/>
      <w:b w:val="0"/>
      <w:bCs/>
      <w:color w:val="0E2016"/>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Besley" w:hAnsi="Besley"/>
      <w:b w:val="0"/>
      <w:bCs/>
      <w:color w:val="0E2016"/>
      <w:sz w:val="30"/>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Besley" w:hAnsi="Besley"/>
      <w:b w:val="0"/>
      <w:bCs/>
      <w:color w:val="0E201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40"/>
      <w:contextualSpacing/>
    </w:pPr>
    <w:rPr>
      <w:rFonts w:asciiTheme="majorHAnsi" w:eastAsiaTheme="majorEastAsia" w:hAnsiTheme="majorHAnsi" w:cstheme="majorBidi" w:ascii="Besley" w:hAnsi="Besley"/>
      <w:b w:val="0"/>
      <w:color w:val="0E2016"/>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64" w:lineRule="auto"/>
    </w:pPr>
    <w:rPr>
      <w:rFonts w:ascii="Arial" w:hAnsi="Arial"/>
      <w:color w:val="0E2016"/>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americanbar.org/content/dam/aba/administrative/professional_responsibility/ethics-opinions/aba-formal-opinion-512.pdf" TargetMode="External"/><Relationship Id="rId10" Type="http://schemas.openxmlformats.org/officeDocument/2006/relationships/footer" Target="footer1.xml"/><Relationship Id="rId11" Type="http://schemas.openxmlformats.org/officeDocument/2006/relationships/hyperlink" Target="https://www.ecfr.gov/current/title-37/section-1.4" TargetMode="External"/><Relationship Id="rId12" Type="http://schemas.openxmlformats.org/officeDocument/2006/relationships/hyperlink" Target="https://www.uspto.gov/sites/default/files/documents/2025LegalFrameworkPES.pdf" TargetMode="External"/><Relationship Id="rId13" Type="http://schemas.openxmlformats.org/officeDocument/2006/relationships/hyperlink" Target="https://www.ecfr.gov/current/title-37/section-11.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Patent-practice AI acceptable-use policy template</dc:title>
  <dc:subject>Adaptable U.S. patent-practice policy clauses, schedules, and records</dc:subject>
  <dc:creator>Patlytics</dc:creator>
  <cp:keywords>law firm AI policy, patent practice, attorney review</cp:keywords>
  <dc:description>generated by python-docx</dc:description>
  <cp:lastModifiedBy/>
  <cp:revision>1</cp:revision>
  <dcterms:created xsi:type="dcterms:W3CDTF">2013-12-23T23:15:00Z</dcterms:created>
  <dcterms:modified xsi:type="dcterms:W3CDTF">2013-12-23T23:15:00Z</dcterms:modified>
  <cp:category/>
</cp:coreProperties>
</file>