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1612" w14:textId="77777777" w:rsidR="006447BF" w:rsidRPr="00F04243" w:rsidRDefault="006447BF" w:rsidP="006447BF">
      <w:pPr>
        <w:jc w:val="both"/>
        <w:rPr>
          <w:b/>
          <w:bCs/>
        </w:rPr>
      </w:pPr>
      <w:r w:rsidRPr="00F04243">
        <w:rPr>
          <w:b/>
          <w:bCs/>
        </w:rPr>
        <w:t xml:space="preserve">NOTICE OF PUBLIC HEARING CONDUCTED BY </w:t>
      </w:r>
      <w:r>
        <w:rPr>
          <w:b/>
          <w:bCs/>
        </w:rPr>
        <w:t xml:space="preserve">KNOX COUNTY, INDIANA </w:t>
      </w:r>
      <w:r w:rsidRPr="00F04243">
        <w:rPr>
          <w:b/>
          <w:bCs/>
        </w:rPr>
        <w:t>WITH RESPECT TO NOT TO EXCEED $</w:t>
      </w:r>
      <w:r>
        <w:rPr>
          <w:b/>
          <w:bCs/>
        </w:rPr>
        <w:t>156,823,000</w:t>
      </w:r>
      <w:r w:rsidRPr="00F04243">
        <w:rPr>
          <w:b/>
          <w:bCs/>
        </w:rPr>
        <w:t xml:space="preserve"> OF PUBLIC FINANCE AUTHORITY </w:t>
      </w:r>
      <w:r w:rsidRPr="00AE0862">
        <w:rPr>
          <w:b/>
          <w:bCs/>
          <w:szCs w:val="24"/>
        </w:rPr>
        <w:t xml:space="preserve">REVENUE BONDS (INPERIUM PROJECT) SERIES 2026 </w:t>
      </w:r>
    </w:p>
    <w:p w14:paraId="6FA67339" w14:textId="77777777" w:rsidR="006447BF" w:rsidRPr="002B7F6E" w:rsidRDefault="006447BF" w:rsidP="006447BF">
      <w:pPr>
        <w:jc w:val="both"/>
      </w:pPr>
    </w:p>
    <w:p w14:paraId="5F9F44DF" w14:textId="3AAB734F" w:rsidR="006447BF" w:rsidRDefault="006447BF" w:rsidP="006447BF">
      <w:pPr>
        <w:pStyle w:val="BodyTextFirstIndent"/>
        <w:ind w:firstLine="0"/>
        <w:jc w:val="both"/>
        <w:rPr>
          <w:sz w:val="22"/>
          <w:szCs w:val="22"/>
        </w:rPr>
      </w:pPr>
      <w:r>
        <w:rPr>
          <w:sz w:val="22"/>
          <w:szCs w:val="22"/>
        </w:rPr>
        <w:t>Notice is hereby given that on Tuesday, May 1</w:t>
      </w:r>
      <w:r w:rsidR="001D1192">
        <w:rPr>
          <w:sz w:val="22"/>
          <w:szCs w:val="22"/>
        </w:rPr>
        <w:t>9</w:t>
      </w:r>
      <w:r>
        <w:rPr>
          <w:sz w:val="22"/>
          <w:szCs w:val="22"/>
        </w:rPr>
        <w:t>, 2026, a public hearing, as required by Section 147(f) of the Internal Revenue Code of 1986, as amended (the “</w:t>
      </w:r>
      <w:r w:rsidRPr="00CD539D">
        <w:rPr>
          <w:b/>
          <w:bCs/>
          <w:sz w:val="22"/>
          <w:szCs w:val="22"/>
        </w:rPr>
        <w:t>Code</w:t>
      </w:r>
      <w:r>
        <w:rPr>
          <w:sz w:val="22"/>
          <w:szCs w:val="22"/>
        </w:rPr>
        <w:t>”), will be held by Knox County, Indiana (the “</w:t>
      </w:r>
      <w:r w:rsidRPr="000472F0">
        <w:rPr>
          <w:b/>
          <w:bCs/>
          <w:sz w:val="22"/>
          <w:szCs w:val="22"/>
        </w:rPr>
        <w:t>County</w:t>
      </w:r>
      <w:r>
        <w:rPr>
          <w:sz w:val="22"/>
          <w:szCs w:val="22"/>
        </w:rPr>
        <w:t>”) with respect to the proposed issuance by the Public Finance Authority (the “</w:t>
      </w:r>
      <w:r w:rsidRPr="00CD539D">
        <w:rPr>
          <w:b/>
          <w:bCs/>
          <w:sz w:val="22"/>
          <w:szCs w:val="22"/>
        </w:rPr>
        <w:t>Authority</w:t>
      </w:r>
      <w:r>
        <w:rPr>
          <w:sz w:val="22"/>
          <w:szCs w:val="22"/>
        </w:rPr>
        <w:t>”) of its Revenue Bonds (</w:t>
      </w:r>
      <w:proofErr w:type="spellStart"/>
      <w:r>
        <w:rPr>
          <w:sz w:val="22"/>
          <w:szCs w:val="22"/>
        </w:rPr>
        <w:t>Inperium</w:t>
      </w:r>
      <w:proofErr w:type="spellEnd"/>
      <w:r>
        <w:rPr>
          <w:sz w:val="22"/>
          <w:szCs w:val="22"/>
        </w:rPr>
        <w:t xml:space="preserve"> Project) Series 2026 in one or more series (the “</w:t>
      </w:r>
      <w:r>
        <w:rPr>
          <w:b/>
          <w:bCs/>
          <w:sz w:val="22"/>
          <w:szCs w:val="22"/>
        </w:rPr>
        <w:t>Bond</w:t>
      </w:r>
      <w:r w:rsidRPr="0011226D">
        <w:rPr>
          <w:b/>
          <w:bCs/>
          <w:sz w:val="22"/>
          <w:szCs w:val="22"/>
        </w:rPr>
        <w:t>s</w:t>
      </w:r>
      <w:r>
        <w:rPr>
          <w:sz w:val="22"/>
          <w:szCs w:val="22"/>
        </w:rPr>
        <w:t xml:space="preserve">”), in an amount not to exceed </w:t>
      </w:r>
      <w:r w:rsidRPr="00094882">
        <w:rPr>
          <w:sz w:val="22"/>
          <w:szCs w:val="22"/>
        </w:rPr>
        <w:t>$156,823,000</w:t>
      </w:r>
      <w:r>
        <w:rPr>
          <w:sz w:val="22"/>
          <w:szCs w:val="22"/>
        </w:rPr>
        <w:t xml:space="preserve"> (as further detailed below) (the “</w:t>
      </w:r>
      <w:r w:rsidRPr="003A11D8">
        <w:rPr>
          <w:b/>
          <w:bCs/>
          <w:sz w:val="22"/>
          <w:szCs w:val="22"/>
        </w:rPr>
        <w:t>Bonds</w:t>
      </w:r>
      <w:r w:rsidRPr="003A11D8">
        <w:rPr>
          <w:sz w:val="22"/>
          <w:szCs w:val="22"/>
        </w:rPr>
        <w:t>”), a portion of which in an amount not to exceed $</w:t>
      </w:r>
      <w:r>
        <w:rPr>
          <w:sz w:val="22"/>
          <w:szCs w:val="22"/>
        </w:rPr>
        <w:t>17,366,000</w:t>
      </w:r>
      <w:r w:rsidRPr="003A11D8">
        <w:rPr>
          <w:sz w:val="22"/>
          <w:szCs w:val="22"/>
        </w:rPr>
        <w:t xml:space="preserve"> will be allocated to and used in </w:t>
      </w:r>
      <w:r>
        <w:rPr>
          <w:sz w:val="22"/>
          <w:szCs w:val="22"/>
        </w:rPr>
        <w:t xml:space="preserve">Knox County, Indiana.  The hearing will commence at </w:t>
      </w:r>
      <w:r w:rsidR="001D1192">
        <w:rPr>
          <w:sz w:val="22"/>
          <w:szCs w:val="22"/>
        </w:rPr>
        <w:t>5</w:t>
      </w:r>
      <w:r>
        <w:rPr>
          <w:sz w:val="22"/>
          <w:szCs w:val="22"/>
        </w:rPr>
        <w:t xml:space="preserve">:30 p.m., or as soon thereafter as the matter can be </w:t>
      </w:r>
      <w:proofErr w:type="gramStart"/>
      <w:r>
        <w:rPr>
          <w:sz w:val="22"/>
          <w:szCs w:val="22"/>
        </w:rPr>
        <w:t>heard,</w:t>
      </w:r>
      <w:r w:rsidRPr="00D476B7">
        <w:rPr>
          <w:sz w:val="22"/>
          <w:szCs w:val="22"/>
        </w:rPr>
        <w:t xml:space="preserve"> </w:t>
      </w:r>
      <w:r>
        <w:rPr>
          <w:sz w:val="22"/>
          <w:szCs w:val="22"/>
        </w:rPr>
        <w:t>and</w:t>
      </w:r>
      <w:proofErr w:type="gramEnd"/>
      <w:r>
        <w:rPr>
          <w:sz w:val="22"/>
          <w:szCs w:val="22"/>
        </w:rPr>
        <w:t xml:space="preserve"> will be held at the </w:t>
      </w:r>
      <w:r w:rsidRPr="00DE7A17">
        <w:rPr>
          <w:b/>
          <w:bCs/>
          <w:sz w:val="22"/>
          <w:szCs w:val="22"/>
        </w:rPr>
        <w:t>Vincennes City Hall</w:t>
      </w:r>
      <w:r>
        <w:rPr>
          <w:sz w:val="22"/>
          <w:szCs w:val="22"/>
        </w:rPr>
        <w:t xml:space="preserve"> located at 203 Vigo Street, Vincennes IN 47591.  The Bonds will constitute “qualified 501(c)(3) bonds” within the meaning of Section 145(a) of the Code.  </w:t>
      </w:r>
    </w:p>
    <w:p w14:paraId="7C21FFE4" w14:textId="77777777" w:rsidR="006447BF" w:rsidRDefault="006447BF" w:rsidP="006447BF">
      <w:pPr>
        <w:pStyle w:val="BodyTextFirstIndent"/>
        <w:ind w:firstLine="0"/>
        <w:jc w:val="both"/>
        <w:rPr>
          <w:sz w:val="22"/>
          <w:szCs w:val="22"/>
        </w:rPr>
      </w:pPr>
    </w:p>
    <w:p w14:paraId="3F62C8B6" w14:textId="77777777" w:rsidR="006447BF" w:rsidRDefault="006447BF" w:rsidP="006447BF">
      <w:pPr>
        <w:pStyle w:val="BodyTextFirstIndent"/>
        <w:ind w:firstLine="0"/>
        <w:jc w:val="both"/>
        <w:rPr>
          <w:sz w:val="22"/>
          <w:szCs w:val="22"/>
        </w:rPr>
      </w:pPr>
      <w:r>
        <w:rPr>
          <w:sz w:val="22"/>
          <w:szCs w:val="22"/>
        </w:rPr>
        <w:t>The Bonds are expected to be issued pursuant to Section 66.0304 of the Wisconsin Statutes, as amended, by the Authority, a commission organized under and pursuant to the provisions of Section 66.0301, 66.0303 and 66.0304 of the Wisconsin Statutes, as amended.</w:t>
      </w:r>
    </w:p>
    <w:p w14:paraId="4BBAC3C3" w14:textId="77777777" w:rsidR="006447BF" w:rsidRDefault="006447BF" w:rsidP="006447BF">
      <w:pPr>
        <w:jc w:val="both"/>
        <w:rPr>
          <w:sz w:val="22"/>
          <w:szCs w:val="22"/>
          <w:u w:val="single"/>
        </w:rPr>
      </w:pPr>
    </w:p>
    <w:p w14:paraId="56F4DAEB" w14:textId="77777777" w:rsidR="006447BF" w:rsidRDefault="006447BF" w:rsidP="006447BF">
      <w:pPr>
        <w:jc w:val="both"/>
        <w:rPr>
          <w:sz w:val="22"/>
          <w:szCs w:val="22"/>
        </w:rPr>
      </w:pPr>
      <w:r w:rsidRPr="003D61D1">
        <w:rPr>
          <w:sz w:val="22"/>
          <w:szCs w:val="22"/>
          <w:u w:val="single"/>
        </w:rPr>
        <w:t>PROJECT</w:t>
      </w:r>
      <w:r>
        <w:rPr>
          <w:sz w:val="22"/>
          <w:szCs w:val="22"/>
        </w:rPr>
        <w:t>:</w:t>
      </w:r>
    </w:p>
    <w:p w14:paraId="0A7F435D" w14:textId="77777777" w:rsidR="006447BF" w:rsidRDefault="006447BF" w:rsidP="006447BF">
      <w:pPr>
        <w:jc w:val="both"/>
        <w:rPr>
          <w:sz w:val="22"/>
          <w:szCs w:val="22"/>
        </w:rPr>
      </w:pPr>
    </w:p>
    <w:p w14:paraId="4F480008" w14:textId="77777777" w:rsidR="006447BF" w:rsidRDefault="006447BF" w:rsidP="006447BF">
      <w:pPr>
        <w:jc w:val="both"/>
        <w:rPr>
          <w:sz w:val="22"/>
          <w:szCs w:val="22"/>
        </w:rPr>
      </w:pPr>
      <w:proofErr w:type="spellStart"/>
      <w:r w:rsidRPr="00CA347E">
        <w:rPr>
          <w:sz w:val="22"/>
          <w:szCs w:val="22"/>
        </w:rPr>
        <w:t>Inperium</w:t>
      </w:r>
      <w:proofErr w:type="spellEnd"/>
      <w:r w:rsidRPr="00CA347E">
        <w:rPr>
          <w:sz w:val="22"/>
          <w:szCs w:val="22"/>
        </w:rPr>
        <w:t xml:space="preserve">, Inc., a Pennsylvania nonprofit corporation that is exempt from federal income tax as an organization described in Section 501(c)(3) of the </w:t>
      </w:r>
      <w:r>
        <w:rPr>
          <w:sz w:val="22"/>
          <w:szCs w:val="22"/>
        </w:rPr>
        <w:t>Code</w:t>
      </w:r>
      <w:r w:rsidRPr="00CA347E">
        <w:rPr>
          <w:sz w:val="22"/>
          <w:szCs w:val="22"/>
        </w:rPr>
        <w:t xml:space="preserve"> (together with its affiliates or assigns, </w:t>
      </w:r>
      <w:r>
        <w:rPr>
          <w:sz w:val="22"/>
          <w:szCs w:val="22"/>
        </w:rPr>
        <w:t xml:space="preserve">including, but not limited to, the affiliate owners referenced on Schedule A below, </w:t>
      </w:r>
      <w:r w:rsidRPr="00CA347E">
        <w:rPr>
          <w:sz w:val="22"/>
          <w:szCs w:val="22"/>
        </w:rPr>
        <w:t>the "</w:t>
      </w:r>
      <w:r w:rsidRPr="00CA347E">
        <w:rPr>
          <w:b/>
          <w:sz w:val="22"/>
          <w:szCs w:val="22"/>
        </w:rPr>
        <w:t>Borrower</w:t>
      </w:r>
      <w:r w:rsidRPr="00CA347E">
        <w:rPr>
          <w:sz w:val="22"/>
          <w:szCs w:val="22"/>
        </w:rPr>
        <w:t xml:space="preserve">"), </w:t>
      </w:r>
      <w:r>
        <w:rPr>
          <w:sz w:val="22"/>
          <w:szCs w:val="22"/>
        </w:rPr>
        <w:t xml:space="preserve">and is </w:t>
      </w:r>
      <w:r w:rsidRPr="00CA347E">
        <w:rPr>
          <w:sz w:val="22"/>
          <w:szCs w:val="22"/>
        </w:rPr>
        <w:t>the parent corporation of a network of multiple affiliated corporations and limited liability companies that offer a diverse array of human services</w:t>
      </w:r>
      <w:r>
        <w:rPr>
          <w:sz w:val="22"/>
          <w:szCs w:val="22"/>
        </w:rPr>
        <w:t>,</w:t>
      </w:r>
      <w:r w:rsidRPr="00CA347E">
        <w:rPr>
          <w:sz w:val="22"/>
          <w:szCs w:val="22"/>
        </w:rPr>
        <w:t xml:space="preserve"> has requested the Authority to issue </w:t>
      </w:r>
      <w:r>
        <w:rPr>
          <w:sz w:val="22"/>
          <w:szCs w:val="22"/>
        </w:rPr>
        <w:t xml:space="preserve">the Bonds, the proceeds of </w:t>
      </w:r>
      <w:r w:rsidRPr="00CA347E">
        <w:rPr>
          <w:sz w:val="22"/>
          <w:szCs w:val="22"/>
        </w:rPr>
        <w:t>which</w:t>
      </w:r>
      <w:r>
        <w:rPr>
          <w:sz w:val="22"/>
          <w:szCs w:val="22"/>
        </w:rPr>
        <w:t xml:space="preserve"> will be loaned to the Borrower and</w:t>
      </w:r>
      <w:r w:rsidRPr="00CA347E">
        <w:rPr>
          <w:sz w:val="22"/>
          <w:szCs w:val="22"/>
        </w:rPr>
        <w:t>, together with other available funds</w:t>
      </w:r>
      <w:r>
        <w:rPr>
          <w:sz w:val="22"/>
          <w:szCs w:val="22"/>
        </w:rPr>
        <w:t xml:space="preserve"> </w:t>
      </w:r>
      <w:r w:rsidRPr="00CA347E">
        <w:rPr>
          <w:sz w:val="22"/>
          <w:szCs w:val="22"/>
        </w:rPr>
        <w:t>used to pay all or a portion of the costs of a project (the “</w:t>
      </w:r>
      <w:r w:rsidRPr="00CA347E">
        <w:rPr>
          <w:b/>
          <w:bCs/>
          <w:sz w:val="22"/>
          <w:szCs w:val="22"/>
        </w:rPr>
        <w:t>Project</w:t>
      </w:r>
      <w:r w:rsidRPr="00CA347E">
        <w:rPr>
          <w:sz w:val="22"/>
          <w:szCs w:val="22"/>
        </w:rPr>
        <w:t>”) consisting of</w:t>
      </w:r>
      <w:r>
        <w:rPr>
          <w:sz w:val="22"/>
          <w:szCs w:val="22"/>
        </w:rPr>
        <w:t>:</w:t>
      </w:r>
    </w:p>
    <w:p w14:paraId="1836040E" w14:textId="77777777" w:rsidR="006447BF" w:rsidRPr="00F66BCE" w:rsidRDefault="006447BF" w:rsidP="006447BF">
      <w:pPr>
        <w:pStyle w:val="ListParagraph"/>
        <w:numPr>
          <w:ilvl w:val="0"/>
          <w:numId w:val="12"/>
        </w:numPr>
        <w:ind w:left="0" w:firstLine="360"/>
        <w:jc w:val="both"/>
        <w:rPr>
          <w:sz w:val="22"/>
          <w:szCs w:val="22"/>
        </w:rPr>
      </w:pPr>
      <w:r w:rsidRPr="00C06F3E">
        <w:rPr>
          <w:sz w:val="22"/>
          <w:szCs w:val="22"/>
        </w:rPr>
        <w:t>the acqui</w:t>
      </w:r>
      <w:r w:rsidRPr="00C06F3E">
        <w:rPr>
          <w:sz w:val="22"/>
          <w:szCs w:val="22"/>
        </w:rPr>
        <w:softHyphen/>
        <w:t>sition of</w:t>
      </w:r>
      <w:r>
        <w:rPr>
          <w:sz w:val="22"/>
          <w:szCs w:val="22"/>
        </w:rPr>
        <w:t xml:space="preserve">, or the reimbursement of acquisition costs related to, three </w:t>
      </w:r>
      <w:r w:rsidRPr="00C06F3E">
        <w:rPr>
          <w:sz w:val="22"/>
          <w:szCs w:val="22"/>
        </w:rPr>
        <w:t xml:space="preserve">nonprofit, federally tax-exempt 501(c)(3) providers of human services, KidsPeace Corporation, Children &amp; </w:t>
      </w:r>
      <w:r>
        <w:rPr>
          <w:sz w:val="22"/>
          <w:szCs w:val="22"/>
        </w:rPr>
        <w:t>Family Services Corporation</w:t>
      </w:r>
      <w:r w:rsidRPr="00C06F3E">
        <w:rPr>
          <w:sz w:val="22"/>
          <w:szCs w:val="22"/>
        </w:rPr>
        <w:t xml:space="preserve"> and Crystal Lake Supportive </w:t>
      </w:r>
      <w:r>
        <w:rPr>
          <w:sz w:val="22"/>
          <w:szCs w:val="22"/>
        </w:rPr>
        <w:t>Environments Inc.</w:t>
      </w:r>
      <w:r w:rsidRPr="00C06F3E">
        <w:rPr>
          <w:sz w:val="22"/>
          <w:szCs w:val="22"/>
        </w:rPr>
        <w:t xml:space="preserve"> d/b/a Attain, Inc.</w:t>
      </w:r>
      <w:r>
        <w:rPr>
          <w:sz w:val="22"/>
          <w:szCs w:val="22"/>
        </w:rPr>
        <w:t>, and their respective tax-exempt affiliates</w:t>
      </w:r>
      <w:r w:rsidRPr="00C06F3E">
        <w:rPr>
          <w:sz w:val="22"/>
          <w:szCs w:val="22"/>
        </w:rPr>
        <w:t xml:space="preserve"> (the “</w:t>
      </w:r>
      <w:r w:rsidRPr="00C06F3E">
        <w:rPr>
          <w:b/>
          <w:bCs/>
          <w:sz w:val="22"/>
          <w:szCs w:val="22"/>
        </w:rPr>
        <w:t>Acquired Providers</w:t>
      </w:r>
      <w:r w:rsidRPr="00C06F3E">
        <w:rPr>
          <w:sz w:val="22"/>
          <w:szCs w:val="22"/>
        </w:rPr>
        <w:t>”) with facilities and integrated operations</w:t>
      </w:r>
      <w:r>
        <w:rPr>
          <w:sz w:val="22"/>
          <w:szCs w:val="22"/>
        </w:rPr>
        <w:t xml:space="preserve"> </w:t>
      </w:r>
      <w:r w:rsidRPr="00CB16F3">
        <w:rPr>
          <w:sz w:val="22"/>
          <w:szCs w:val="22"/>
        </w:rPr>
        <w:t xml:space="preserve">offering </w:t>
      </w:r>
      <w:r>
        <w:rPr>
          <w:sz w:val="22"/>
          <w:szCs w:val="22"/>
        </w:rPr>
        <w:t>an array</w:t>
      </w:r>
      <w:r w:rsidRPr="00CB16F3">
        <w:rPr>
          <w:sz w:val="22"/>
          <w:szCs w:val="22"/>
        </w:rPr>
        <w:t xml:space="preserve"> of human services, including, but not limited to, mental and behavioral health services</w:t>
      </w:r>
      <w:r>
        <w:rPr>
          <w:sz w:val="22"/>
          <w:szCs w:val="22"/>
        </w:rPr>
        <w:t>,</w:t>
      </w:r>
      <w:r w:rsidRPr="00C06F3E">
        <w:rPr>
          <w:sz w:val="22"/>
          <w:szCs w:val="22"/>
        </w:rPr>
        <w:t xml:space="preserve"> located in Pennsylvania, Florida, Indiana and Maine (the “</w:t>
      </w:r>
      <w:r w:rsidRPr="00C06F3E">
        <w:rPr>
          <w:b/>
          <w:bCs/>
          <w:sz w:val="22"/>
          <w:szCs w:val="22"/>
        </w:rPr>
        <w:t>Acquisition Jurisdictions</w:t>
      </w:r>
      <w:r w:rsidRPr="00C06F3E">
        <w:rPr>
          <w:sz w:val="22"/>
          <w:szCs w:val="22"/>
        </w:rPr>
        <w:t xml:space="preserve">”) through the purchase of sole membership interests in such Acquired Providers; </w:t>
      </w:r>
    </w:p>
    <w:p w14:paraId="6B465C0F" w14:textId="77777777" w:rsidR="006447BF" w:rsidRDefault="006447BF" w:rsidP="006447BF">
      <w:pPr>
        <w:pStyle w:val="ListParagraph"/>
        <w:numPr>
          <w:ilvl w:val="0"/>
          <w:numId w:val="12"/>
        </w:numPr>
        <w:ind w:left="0" w:firstLine="360"/>
        <w:jc w:val="both"/>
        <w:rPr>
          <w:sz w:val="22"/>
          <w:szCs w:val="22"/>
        </w:rPr>
      </w:pPr>
      <w:r w:rsidRPr="00C06F3E">
        <w:rPr>
          <w:sz w:val="22"/>
          <w:szCs w:val="22"/>
        </w:rPr>
        <w:t>the construction, improve</w:t>
      </w:r>
      <w:r w:rsidRPr="00C06F3E">
        <w:rPr>
          <w:sz w:val="22"/>
          <w:szCs w:val="22"/>
        </w:rPr>
        <w:softHyphen/>
        <w:t xml:space="preserve">ment, and/or equipping of the facilities of </w:t>
      </w:r>
      <w:r>
        <w:rPr>
          <w:sz w:val="22"/>
          <w:szCs w:val="22"/>
        </w:rPr>
        <w:t>the Borrower, including, but not limited to, the facilities of the Acquired Providers located in the Acquisition Jurisdictions;</w:t>
      </w:r>
    </w:p>
    <w:p w14:paraId="05469687" w14:textId="77777777" w:rsidR="006447BF" w:rsidRDefault="006447BF" w:rsidP="006447BF">
      <w:pPr>
        <w:pStyle w:val="ListParagraph"/>
        <w:numPr>
          <w:ilvl w:val="0"/>
          <w:numId w:val="12"/>
        </w:numPr>
        <w:ind w:left="0" w:firstLine="360"/>
        <w:jc w:val="both"/>
        <w:rPr>
          <w:sz w:val="22"/>
          <w:szCs w:val="22"/>
        </w:rPr>
      </w:pPr>
      <w:r w:rsidRPr="00C06F3E">
        <w:rPr>
          <w:sz w:val="22"/>
          <w:szCs w:val="22"/>
        </w:rPr>
        <w:t xml:space="preserve">the refinancing of lines of credit used by Borrower to fund </w:t>
      </w:r>
      <w:r>
        <w:rPr>
          <w:sz w:val="22"/>
          <w:szCs w:val="22"/>
        </w:rPr>
        <w:t xml:space="preserve">some or a portion of </w:t>
      </w:r>
      <w:r w:rsidRPr="00C06F3E">
        <w:rPr>
          <w:sz w:val="22"/>
          <w:szCs w:val="22"/>
        </w:rPr>
        <w:t xml:space="preserve">the purchase of the membership interests of </w:t>
      </w:r>
      <w:r>
        <w:rPr>
          <w:sz w:val="22"/>
          <w:szCs w:val="22"/>
        </w:rPr>
        <w:t xml:space="preserve">some or all of </w:t>
      </w:r>
      <w:r w:rsidRPr="00C06F3E">
        <w:rPr>
          <w:sz w:val="22"/>
          <w:szCs w:val="22"/>
        </w:rPr>
        <w:t xml:space="preserve">the Acquired Providers; </w:t>
      </w:r>
    </w:p>
    <w:p w14:paraId="00095BE4" w14:textId="77777777" w:rsidR="006447BF" w:rsidRDefault="006447BF" w:rsidP="006447BF">
      <w:pPr>
        <w:pStyle w:val="ListParagraph"/>
        <w:numPr>
          <w:ilvl w:val="0"/>
          <w:numId w:val="12"/>
        </w:numPr>
        <w:ind w:left="0" w:firstLine="360"/>
        <w:jc w:val="both"/>
        <w:rPr>
          <w:sz w:val="22"/>
          <w:szCs w:val="22"/>
        </w:rPr>
      </w:pPr>
      <w:r w:rsidRPr="00C06F3E">
        <w:rPr>
          <w:sz w:val="22"/>
          <w:szCs w:val="22"/>
        </w:rPr>
        <w:t>the acquisition by Borrower of information technology software and equipment to be part of its headquarters network located in</w:t>
      </w:r>
      <w:r w:rsidRPr="00C06F3E">
        <w:rPr>
          <w:color w:val="000000"/>
          <w:sz w:val="22"/>
          <w:szCs w:val="22"/>
        </w:rPr>
        <w:t xml:space="preserve"> Reading, P</w:t>
      </w:r>
      <w:r>
        <w:rPr>
          <w:color w:val="000000"/>
          <w:sz w:val="22"/>
          <w:szCs w:val="22"/>
        </w:rPr>
        <w:t>ennsylvania</w:t>
      </w:r>
      <w:r w:rsidRPr="00C06F3E">
        <w:rPr>
          <w:color w:val="000000"/>
          <w:sz w:val="22"/>
          <w:szCs w:val="22"/>
        </w:rPr>
        <w:t>,</w:t>
      </w:r>
      <w:r w:rsidRPr="00C06F3E">
        <w:rPr>
          <w:sz w:val="22"/>
          <w:szCs w:val="22"/>
        </w:rPr>
        <w:t xml:space="preserve"> for the delivery of its exempt services (the “</w:t>
      </w:r>
      <w:r w:rsidRPr="00C06F3E">
        <w:rPr>
          <w:b/>
          <w:bCs/>
          <w:sz w:val="22"/>
          <w:szCs w:val="22"/>
        </w:rPr>
        <w:t>Technology Jurisdiction</w:t>
      </w:r>
      <w:r w:rsidRPr="00C06F3E">
        <w:rPr>
          <w:sz w:val="22"/>
          <w:szCs w:val="22"/>
        </w:rPr>
        <w:t xml:space="preserve">”); and </w:t>
      </w:r>
    </w:p>
    <w:p w14:paraId="0216D8B4" w14:textId="77777777" w:rsidR="006447BF" w:rsidRDefault="006447BF" w:rsidP="006447BF">
      <w:pPr>
        <w:pStyle w:val="ListParagraph"/>
        <w:numPr>
          <w:ilvl w:val="0"/>
          <w:numId w:val="12"/>
        </w:numPr>
        <w:ind w:left="0" w:firstLine="360"/>
        <w:jc w:val="both"/>
        <w:rPr>
          <w:sz w:val="22"/>
          <w:szCs w:val="22"/>
        </w:rPr>
      </w:pPr>
      <w:r w:rsidRPr="00C06F3E">
        <w:rPr>
          <w:sz w:val="22"/>
          <w:szCs w:val="22"/>
        </w:rPr>
        <w:t xml:space="preserve">the funding of required reserves and </w:t>
      </w:r>
      <w:r>
        <w:rPr>
          <w:sz w:val="22"/>
          <w:szCs w:val="22"/>
        </w:rPr>
        <w:t xml:space="preserve">certain </w:t>
      </w:r>
      <w:r w:rsidRPr="00C06F3E">
        <w:rPr>
          <w:sz w:val="22"/>
          <w:szCs w:val="22"/>
        </w:rPr>
        <w:t xml:space="preserve">costs of issuance.  </w:t>
      </w:r>
    </w:p>
    <w:p w14:paraId="41841E93" w14:textId="77777777" w:rsidR="006447BF" w:rsidRDefault="006447BF" w:rsidP="006447BF">
      <w:pPr>
        <w:jc w:val="both"/>
        <w:rPr>
          <w:sz w:val="22"/>
          <w:szCs w:val="22"/>
        </w:rPr>
      </w:pPr>
    </w:p>
    <w:p w14:paraId="0495C2D8" w14:textId="77777777" w:rsidR="006447BF" w:rsidRPr="0038556E" w:rsidRDefault="006447BF" w:rsidP="006447BF">
      <w:pPr>
        <w:jc w:val="both"/>
        <w:rPr>
          <w:sz w:val="22"/>
          <w:szCs w:val="22"/>
        </w:rPr>
      </w:pPr>
      <w:r w:rsidRPr="0038556E">
        <w:rPr>
          <w:sz w:val="22"/>
          <w:szCs w:val="22"/>
        </w:rPr>
        <w:t>The Acquisition Jurisdictions and Technology Jurisdiction are collectively referred to herein as the "</w:t>
      </w:r>
      <w:r w:rsidRPr="0038556E">
        <w:rPr>
          <w:b/>
          <w:sz w:val="22"/>
          <w:szCs w:val="22"/>
        </w:rPr>
        <w:t>Project Jurisdic</w:t>
      </w:r>
      <w:r w:rsidRPr="0038556E">
        <w:rPr>
          <w:b/>
          <w:sz w:val="22"/>
          <w:szCs w:val="22"/>
        </w:rPr>
        <w:softHyphen/>
        <w:t>tions</w:t>
      </w:r>
      <w:r w:rsidRPr="0038556E">
        <w:rPr>
          <w:sz w:val="22"/>
          <w:szCs w:val="22"/>
        </w:rPr>
        <w:t xml:space="preserve">".    </w:t>
      </w:r>
    </w:p>
    <w:p w14:paraId="006086C7" w14:textId="77777777" w:rsidR="006447BF" w:rsidRDefault="006447BF" w:rsidP="006447BF">
      <w:pPr>
        <w:jc w:val="both"/>
        <w:rPr>
          <w:sz w:val="22"/>
          <w:szCs w:val="22"/>
        </w:rPr>
      </w:pPr>
    </w:p>
    <w:p w14:paraId="121F3D83" w14:textId="77777777" w:rsidR="006447BF" w:rsidRDefault="006447BF" w:rsidP="006447BF">
      <w:pPr>
        <w:keepNext/>
        <w:keepLines/>
        <w:jc w:val="both"/>
        <w:rPr>
          <w:sz w:val="22"/>
          <w:szCs w:val="22"/>
        </w:rPr>
      </w:pPr>
      <w:r>
        <w:rPr>
          <w:sz w:val="22"/>
          <w:szCs w:val="22"/>
        </w:rPr>
        <w:lastRenderedPageBreak/>
        <w:t>The maximum principal amount of the Bonds issued for the Project is further detailed as follows:</w:t>
      </w:r>
    </w:p>
    <w:p w14:paraId="53878D6D" w14:textId="77777777" w:rsidR="006447BF" w:rsidRDefault="006447BF" w:rsidP="006447BF">
      <w:pPr>
        <w:keepNext/>
        <w:keepLines/>
        <w:ind w:firstLine="720"/>
        <w:jc w:val="both"/>
        <w:rPr>
          <w:sz w:val="22"/>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4"/>
        <w:gridCol w:w="2116"/>
      </w:tblGrid>
      <w:tr w:rsidR="006447BF" w14:paraId="43ADBC00" w14:textId="77777777" w:rsidTr="00452415">
        <w:trPr>
          <w:cnfStyle w:val="100000000000" w:firstRow="1" w:lastRow="0" w:firstColumn="0" w:lastColumn="0" w:oddVBand="0" w:evenVBand="0" w:oddHBand="0" w:evenHBand="0" w:firstRowFirstColumn="0" w:firstRowLastColumn="0" w:lastRowFirstColumn="0" w:lastRowLastColumn="0"/>
          <w:tblHeader w:val="0"/>
        </w:trPr>
        <w:tc>
          <w:tcPr>
            <w:tcW w:w="7244" w:type="dxa"/>
          </w:tcPr>
          <w:p w14:paraId="124977B5" w14:textId="77777777" w:rsidR="006447BF" w:rsidRDefault="006447BF" w:rsidP="00452415">
            <w:pPr>
              <w:keepNext/>
              <w:keepLines/>
              <w:ind w:left="-105"/>
              <w:jc w:val="both"/>
              <w:rPr>
                <w:sz w:val="22"/>
                <w:szCs w:val="22"/>
              </w:rPr>
            </w:pPr>
            <w:r>
              <w:rPr>
                <w:sz w:val="22"/>
                <w:szCs w:val="22"/>
              </w:rPr>
              <w:t xml:space="preserve">KidsPeace Corporation in Pennsylvania and Maine </w:t>
            </w:r>
          </w:p>
        </w:tc>
        <w:tc>
          <w:tcPr>
            <w:tcW w:w="2116" w:type="dxa"/>
            <w:vAlign w:val="bottom"/>
          </w:tcPr>
          <w:p w14:paraId="27821008" w14:textId="77777777" w:rsidR="006447BF" w:rsidRDefault="006447BF" w:rsidP="00452415">
            <w:pPr>
              <w:keepNext/>
              <w:keepLines/>
              <w:ind w:left="-105"/>
              <w:jc w:val="both"/>
              <w:rPr>
                <w:sz w:val="22"/>
                <w:szCs w:val="22"/>
              </w:rPr>
            </w:pPr>
            <w:r>
              <w:rPr>
                <w:sz w:val="22"/>
                <w:szCs w:val="22"/>
              </w:rPr>
              <w:t>$113,045,000</w:t>
            </w:r>
          </w:p>
        </w:tc>
      </w:tr>
      <w:tr w:rsidR="006447BF" w14:paraId="412FDAB9" w14:textId="77777777" w:rsidTr="00452415">
        <w:tc>
          <w:tcPr>
            <w:tcW w:w="7244" w:type="dxa"/>
          </w:tcPr>
          <w:p w14:paraId="7B123592" w14:textId="77777777" w:rsidR="006447BF" w:rsidRDefault="006447BF" w:rsidP="00452415">
            <w:pPr>
              <w:keepNext/>
              <w:keepLines/>
              <w:ind w:left="-105"/>
              <w:jc w:val="both"/>
              <w:rPr>
                <w:sz w:val="22"/>
                <w:szCs w:val="22"/>
              </w:rPr>
            </w:pPr>
            <w:r>
              <w:rPr>
                <w:sz w:val="22"/>
                <w:szCs w:val="22"/>
              </w:rPr>
              <w:t xml:space="preserve">Children &amp; Family Services Corporation in Indiana* </w:t>
            </w:r>
          </w:p>
        </w:tc>
        <w:tc>
          <w:tcPr>
            <w:tcW w:w="2116" w:type="dxa"/>
            <w:vAlign w:val="bottom"/>
          </w:tcPr>
          <w:p w14:paraId="049E1F9F" w14:textId="77777777" w:rsidR="006447BF" w:rsidRDefault="006447BF" w:rsidP="00452415">
            <w:pPr>
              <w:keepNext/>
              <w:keepLines/>
              <w:ind w:left="-105"/>
              <w:jc w:val="both"/>
              <w:rPr>
                <w:sz w:val="22"/>
                <w:szCs w:val="22"/>
              </w:rPr>
            </w:pPr>
            <w:proofErr w:type="gramStart"/>
            <w:r>
              <w:rPr>
                <w:sz w:val="22"/>
                <w:szCs w:val="22"/>
              </w:rPr>
              <w:t>$  11,423,000</w:t>
            </w:r>
            <w:proofErr w:type="gramEnd"/>
          </w:p>
        </w:tc>
      </w:tr>
      <w:tr w:rsidR="006447BF" w14:paraId="53F7C366" w14:textId="77777777" w:rsidTr="00452415">
        <w:tc>
          <w:tcPr>
            <w:tcW w:w="7244" w:type="dxa"/>
          </w:tcPr>
          <w:p w14:paraId="63E6BB61" w14:textId="77777777" w:rsidR="006447BF" w:rsidRDefault="006447BF" w:rsidP="00452415">
            <w:pPr>
              <w:keepNext/>
              <w:keepLines/>
              <w:ind w:left="-105"/>
              <w:jc w:val="both"/>
              <w:rPr>
                <w:sz w:val="22"/>
                <w:szCs w:val="22"/>
              </w:rPr>
            </w:pPr>
            <w:r>
              <w:rPr>
                <w:sz w:val="22"/>
                <w:szCs w:val="22"/>
              </w:rPr>
              <w:t xml:space="preserve">Crystal Lake Supportive Environments Inc. d/b/a Attain, Inc. in Florida </w:t>
            </w:r>
          </w:p>
        </w:tc>
        <w:tc>
          <w:tcPr>
            <w:tcW w:w="2116" w:type="dxa"/>
            <w:vAlign w:val="bottom"/>
          </w:tcPr>
          <w:p w14:paraId="25AF5FB7" w14:textId="77777777" w:rsidR="006447BF" w:rsidRDefault="006447BF" w:rsidP="00452415">
            <w:pPr>
              <w:keepNext/>
              <w:keepLines/>
              <w:ind w:left="-105"/>
              <w:jc w:val="both"/>
              <w:rPr>
                <w:sz w:val="22"/>
                <w:szCs w:val="22"/>
              </w:rPr>
            </w:pPr>
            <w:proofErr w:type="gramStart"/>
            <w:r>
              <w:rPr>
                <w:sz w:val="22"/>
                <w:szCs w:val="22"/>
              </w:rPr>
              <w:t>$  26,412,000</w:t>
            </w:r>
            <w:proofErr w:type="gramEnd"/>
          </w:p>
        </w:tc>
      </w:tr>
      <w:tr w:rsidR="006447BF" w14:paraId="51557A2F" w14:textId="77777777" w:rsidTr="00452415">
        <w:tc>
          <w:tcPr>
            <w:tcW w:w="7244" w:type="dxa"/>
          </w:tcPr>
          <w:p w14:paraId="63100AAD" w14:textId="77777777" w:rsidR="006447BF" w:rsidRDefault="006447BF" w:rsidP="00452415">
            <w:pPr>
              <w:ind w:left="-105"/>
              <w:jc w:val="both"/>
              <w:rPr>
                <w:sz w:val="22"/>
                <w:szCs w:val="22"/>
              </w:rPr>
            </w:pPr>
            <w:r>
              <w:rPr>
                <w:sz w:val="22"/>
                <w:szCs w:val="22"/>
              </w:rPr>
              <w:t>Technology acquisition and capital expenditures*</w:t>
            </w:r>
          </w:p>
        </w:tc>
        <w:tc>
          <w:tcPr>
            <w:tcW w:w="2116" w:type="dxa"/>
            <w:vAlign w:val="bottom"/>
          </w:tcPr>
          <w:p w14:paraId="79767AE4" w14:textId="77777777" w:rsidR="006447BF" w:rsidRDefault="006447BF" w:rsidP="00452415">
            <w:pPr>
              <w:ind w:left="-105"/>
              <w:jc w:val="both"/>
              <w:rPr>
                <w:sz w:val="22"/>
                <w:szCs w:val="22"/>
              </w:rPr>
            </w:pPr>
            <w:r w:rsidRPr="00164B71">
              <w:rPr>
                <w:sz w:val="22"/>
                <w:szCs w:val="22"/>
                <w:u w:val="single"/>
              </w:rPr>
              <w:t>$    5,943,000</w:t>
            </w:r>
          </w:p>
        </w:tc>
      </w:tr>
      <w:tr w:rsidR="006447BF" w14:paraId="15116EF2" w14:textId="77777777" w:rsidTr="00452415">
        <w:tc>
          <w:tcPr>
            <w:tcW w:w="7244" w:type="dxa"/>
          </w:tcPr>
          <w:p w14:paraId="573D3291" w14:textId="77777777" w:rsidR="006447BF" w:rsidRDefault="006447BF" w:rsidP="00452415">
            <w:pPr>
              <w:ind w:left="-105"/>
              <w:jc w:val="both"/>
              <w:rPr>
                <w:sz w:val="22"/>
                <w:szCs w:val="22"/>
              </w:rPr>
            </w:pPr>
            <w:r>
              <w:rPr>
                <w:sz w:val="22"/>
                <w:szCs w:val="22"/>
              </w:rPr>
              <w:t xml:space="preserve">      TOTAL</w:t>
            </w:r>
          </w:p>
        </w:tc>
        <w:tc>
          <w:tcPr>
            <w:tcW w:w="2116" w:type="dxa"/>
            <w:vAlign w:val="bottom"/>
          </w:tcPr>
          <w:p w14:paraId="61C9C82E" w14:textId="77777777" w:rsidR="006447BF" w:rsidRDefault="006447BF" w:rsidP="00452415">
            <w:pPr>
              <w:ind w:left="-105"/>
              <w:jc w:val="both"/>
              <w:rPr>
                <w:sz w:val="22"/>
                <w:szCs w:val="22"/>
              </w:rPr>
            </w:pPr>
            <w:r>
              <w:rPr>
                <w:sz w:val="22"/>
                <w:szCs w:val="22"/>
              </w:rPr>
              <w:t>$156,823,000</w:t>
            </w:r>
          </w:p>
        </w:tc>
      </w:tr>
    </w:tbl>
    <w:p w14:paraId="58D9F269" w14:textId="77777777" w:rsidR="006447BF" w:rsidRDefault="006447BF" w:rsidP="006447BF">
      <w:pPr>
        <w:jc w:val="both"/>
        <w:rPr>
          <w:sz w:val="22"/>
          <w:szCs w:val="22"/>
        </w:rPr>
      </w:pPr>
      <w:r>
        <w:rPr>
          <w:sz w:val="22"/>
          <w:szCs w:val="22"/>
        </w:rPr>
        <w:t xml:space="preserve">       </w:t>
      </w:r>
    </w:p>
    <w:p w14:paraId="3C357E56" w14:textId="77777777" w:rsidR="006447BF" w:rsidRDefault="006447BF" w:rsidP="006447BF">
      <w:pPr>
        <w:jc w:val="both"/>
        <w:rPr>
          <w:sz w:val="22"/>
          <w:szCs w:val="22"/>
        </w:rPr>
      </w:pPr>
      <w:r>
        <w:rPr>
          <w:sz w:val="22"/>
          <w:szCs w:val="22"/>
        </w:rPr>
        <w:t xml:space="preserve"> *</w:t>
      </w:r>
      <w:r w:rsidRPr="00E36C82">
        <w:rPr>
          <w:sz w:val="22"/>
          <w:szCs w:val="22"/>
        </w:rPr>
        <w:t xml:space="preserve"> </w:t>
      </w:r>
      <w:r>
        <w:rPr>
          <w:sz w:val="22"/>
          <w:szCs w:val="22"/>
        </w:rPr>
        <w:t>The Project Jurisdiction located in Indiana for which the hearing is being held</w:t>
      </w:r>
      <w:r w:rsidRPr="00CA347E">
        <w:rPr>
          <w:sz w:val="22"/>
          <w:szCs w:val="22"/>
        </w:rPr>
        <w:t xml:space="preserve"> </w:t>
      </w:r>
      <w:r>
        <w:rPr>
          <w:sz w:val="22"/>
          <w:szCs w:val="22"/>
        </w:rPr>
        <w:t>is</w:t>
      </w:r>
      <w:r w:rsidRPr="00CA347E">
        <w:rPr>
          <w:sz w:val="22"/>
          <w:szCs w:val="22"/>
        </w:rPr>
        <w:t xml:space="preserve"> more fully detailed in </w:t>
      </w:r>
      <w:r w:rsidRPr="00CA347E">
        <w:rPr>
          <w:sz w:val="22"/>
          <w:szCs w:val="22"/>
          <w:u w:val="single"/>
        </w:rPr>
        <w:t>Exhibit A</w:t>
      </w:r>
      <w:r w:rsidRPr="00CA347E">
        <w:rPr>
          <w:sz w:val="22"/>
          <w:szCs w:val="22"/>
        </w:rPr>
        <w:t xml:space="preserve"> below.</w:t>
      </w:r>
    </w:p>
    <w:p w14:paraId="6B3C7B10" w14:textId="77777777" w:rsidR="006447BF" w:rsidRDefault="006447BF" w:rsidP="006447BF">
      <w:pPr>
        <w:pStyle w:val="BodyTextFirstIndent"/>
        <w:ind w:firstLine="0"/>
        <w:jc w:val="both"/>
        <w:rPr>
          <w:sz w:val="22"/>
          <w:szCs w:val="22"/>
        </w:rPr>
      </w:pPr>
    </w:p>
    <w:p w14:paraId="0A49FC24" w14:textId="77777777" w:rsidR="006447BF" w:rsidRDefault="006447BF" w:rsidP="006447BF">
      <w:pPr>
        <w:jc w:val="both"/>
        <w:rPr>
          <w:sz w:val="22"/>
          <w:szCs w:val="22"/>
        </w:rPr>
      </w:pPr>
      <w:r w:rsidRPr="00413EA7">
        <w:rPr>
          <w:sz w:val="22"/>
          <w:szCs w:val="22"/>
        </w:rPr>
        <w:t xml:space="preserve">All of the facilities and equipment to be financed or refinanced with the proceeds of the Bonds are or will be </w:t>
      </w:r>
      <w:r>
        <w:rPr>
          <w:sz w:val="22"/>
          <w:szCs w:val="22"/>
        </w:rPr>
        <w:t xml:space="preserve">initially </w:t>
      </w:r>
      <w:r w:rsidRPr="00413EA7">
        <w:rPr>
          <w:sz w:val="22"/>
          <w:szCs w:val="22"/>
        </w:rPr>
        <w:t>owned and/or operated by the Borrower either directly, as a sole corporate member or otherwise.</w:t>
      </w:r>
      <w:r>
        <w:rPr>
          <w:sz w:val="22"/>
          <w:szCs w:val="22"/>
        </w:rPr>
        <w:t xml:space="preserve">  The Bonds will be special limited obligations of the Authority payable solely from the loan repayments to be made by the Borrower to the Authority, and certain funds and accounts established by the bond indenture for the Bonds.  </w:t>
      </w:r>
      <w:r w:rsidRPr="000A5D14">
        <w:rPr>
          <w:sz w:val="22"/>
          <w:szCs w:val="22"/>
        </w:rPr>
        <w:t>This notice is given pursuant</w:t>
      </w:r>
      <w:r>
        <w:rPr>
          <w:sz w:val="22"/>
          <w:szCs w:val="22"/>
        </w:rPr>
        <w:t xml:space="preserve"> </w:t>
      </w:r>
      <w:r w:rsidRPr="000A5D14">
        <w:rPr>
          <w:sz w:val="22"/>
          <w:szCs w:val="22"/>
        </w:rPr>
        <w:t>to the provisions of Section 147(f) of the Code</w:t>
      </w:r>
      <w:r>
        <w:rPr>
          <w:sz w:val="22"/>
          <w:szCs w:val="22"/>
        </w:rPr>
        <w:t xml:space="preserve">, </w:t>
      </w:r>
      <w:r w:rsidRPr="00CB17EE">
        <w:rPr>
          <w:sz w:val="22"/>
          <w:szCs w:val="22"/>
        </w:rPr>
        <w:t>Section 66.0304(11)(a) of the Wisconsin Statutes and Section 4 of the</w:t>
      </w:r>
      <w:r>
        <w:rPr>
          <w:sz w:val="22"/>
          <w:szCs w:val="22"/>
        </w:rPr>
        <w:t xml:space="preserve"> </w:t>
      </w:r>
      <w:r w:rsidRPr="00CB17EE">
        <w:rPr>
          <w:sz w:val="22"/>
          <w:szCs w:val="22"/>
        </w:rPr>
        <w:t>Amended and Restated Joint Exercise of Powers Agreement Relating to the Public Finance Authority</w:t>
      </w:r>
      <w:r w:rsidRPr="000A5D14">
        <w:rPr>
          <w:sz w:val="22"/>
          <w:szCs w:val="22"/>
        </w:rPr>
        <w:t>.</w:t>
      </w:r>
    </w:p>
    <w:p w14:paraId="535AB723" w14:textId="77777777" w:rsidR="006447BF" w:rsidRDefault="006447BF" w:rsidP="006447BF">
      <w:pPr>
        <w:pStyle w:val="BodyTextFirstIndent"/>
        <w:ind w:firstLine="0"/>
        <w:jc w:val="both"/>
        <w:rPr>
          <w:sz w:val="22"/>
          <w:szCs w:val="22"/>
        </w:rPr>
      </w:pPr>
    </w:p>
    <w:p w14:paraId="5A308D2F" w14:textId="2BD44329" w:rsidR="006447BF" w:rsidRPr="001D1192" w:rsidRDefault="006447BF" w:rsidP="006447BF">
      <w:pPr>
        <w:jc w:val="both"/>
        <w:rPr>
          <w:sz w:val="22"/>
          <w:szCs w:val="22"/>
        </w:rPr>
      </w:pPr>
      <w:r>
        <w:rPr>
          <w:sz w:val="22"/>
          <w:szCs w:val="22"/>
        </w:rPr>
        <w:t>The hearing will provide a reasonable opportunity to be heard for persons wishing to express their views on the merits of the Project, its Indiana locations, the issuance of the Bonds for the Project and/or related matters.  Oral comments will be limited to 10 minutes per speaker.  A person wishing to speak at the hearing will be asked to provide his or her name, address and the person(s’) or entity(</w:t>
      </w:r>
      <w:proofErr w:type="spellStart"/>
      <w:r>
        <w:rPr>
          <w:sz w:val="22"/>
          <w:szCs w:val="22"/>
        </w:rPr>
        <w:t>ies</w:t>
      </w:r>
      <w:proofErr w:type="spellEnd"/>
      <w:r>
        <w:rPr>
          <w:sz w:val="22"/>
          <w:szCs w:val="22"/>
        </w:rPr>
        <w:t>) he or she represents, if any, prior to speaking</w:t>
      </w:r>
      <w:r w:rsidRPr="00B8323A">
        <w:rPr>
          <w:b/>
          <w:bCs/>
          <w:sz w:val="22"/>
          <w:szCs w:val="22"/>
        </w:rPr>
        <w:t xml:space="preserve">.  </w:t>
      </w:r>
      <w:r w:rsidRPr="001D1192">
        <w:rPr>
          <w:sz w:val="22"/>
          <w:szCs w:val="22"/>
        </w:rPr>
        <w:t xml:space="preserve">Written comments will be accepted by the Knox County Auditor’s Office located </w:t>
      </w:r>
      <w:proofErr w:type="gramStart"/>
      <w:r w:rsidRPr="001D1192">
        <w:rPr>
          <w:sz w:val="22"/>
          <w:szCs w:val="22"/>
        </w:rPr>
        <w:t>at  111</w:t>
      </w:r>
      <w:proofErr w:type="gramEnd"/>
      <w:r w:rsidRPr="001D1192">
        <w:rPr>
          <w:sz w:val="22"/>
          <w:szCs w:val="22"/>
        </w:rPr>
        <w:t xml:space="preserve"> North 7</w:t>
      </w:r>
      <w:r w:rsidRPr="001D1192">
        <w:rPr>
          <w:sz w:val="22"/>
          <w:szCs w:val="22"/>
          <w:vertAlign w:val="superscript"/>
        </w:rPr>
        <w:t>th</w:t>
      </w:r>
      <w:r w:rsidRPr="001D1192">
        <w:rPr>
          <w:sz w:val="22"/>
          <w:szCs w:val="22"/>
        </w:rPr>
        <w:t xml:space="preserve"> Street, Vincennes, IN 47591 but must be received by the </w:t>
      </w:r>
      <w:r w:rsidR="00B42634">
        <w:rPr>
          <w:sz w:val="22"/>
          <w:szCs w:val="22"/>
        </w:rPr>
        <w:t xml:space="preserve">start </w:t>
      </w:r>
      <w:r w:rsidRPr="001D1192">
        <w:rPr>
          <w:sz w:val="22"/>
          <w:szCs w:val="22"/>
        </w:rPr>
        <w:t xml:space="preserve">of the hearing date. </w:t>
      </w:r>
    </w:p>
    <w:p w14:paraId="13A52B41" w14:textId="77777777" w:rsidR="006447BF" w:rsidRDefault="006447BF" w:rsidP="006447BF">
      <w:pPr>
        <w:jc w:val="both"/>
        <w:rPr>
          <w:sz w:val="22"/>
          <w:szCs w:val="22"/>
        </w:rPr>
      </w:pPr>
    </w:p>
    <w:p w14:paraId="427914A9" w14:textId="376B8C7C" w:rsidR="006447BF" w:rsidRDefault="006447BF" w:rsidP="006447BF">
      <w:pPr>
        <w:jc w:val="both"/>
        <w:rPr>
          <w:sz w:val="22"/>
          <w:szCs w:val="22"/>
        </w:rPr>
      </w:pPr>
      <w:r>
        <w:rPr>
          <w:sz w:val="22"/>
          <w:szCs w:val="22"/>
        </w:rPr>
        <w:t xml:space="preserve">Dated:  </w:t>
      </w:r>
      <w:r w:rsidR="001D1192">
        <w:rPr>
          <w:sz w:val="22"/>
          <w:szCs w:val="22"/>
        </w:rPr>
        <w:t xml:space="preserve">May </w:t>
      </w:r>
      <w:r w:rsidR="001330FA">
        <w:rPr>
          <w:sz w:val="22"/>
          <w:szCs w:val="22"/>
        </w:rPr>
        <w:t>8,</w:t>
      </w:r>
      <w:r>
        <w:rPr>
          <w:sz w:val="22"/>
          <w:szCs w:val="22"/>
        </w:rPr>
        <w:t xml:space="preserve"> 2026</w:t>
      </w:r>
    </w:p>
    <w:tbl>
      <w:tblPr>
        <w:tblW w:w="0" w:type="auto"/>
        <w:tblLook w:val="04A0" w:firstRow="1" w:lastRow="0" w:firstColumn="1" w:lastColumn="0" w:noHBand="0" w:noVBand="1"/>
      </w:tblPr>
      <w:tblGrid>
        <w:gridCol w:w="4041"/>
        <w:gridCol w:w="5319"/>
      </w:tblGrid>
      <w:tr w:rsidR="006447BF" w:rsidRPr="00A0326C" w14:paraId="5740A06B" w14:textId="77777777" w:rsidTr="00452415">
        <w:tc>
          <w:tcPr>
            <w:tcW w:w="4041" w:type="dxa"/>
          </w:tcPr>
          <w:p w14:paraId="3A1A6C24" w14:textId="77777777" w:rsidR="006447BF" w:rsidRPr="00A0326C" w:rsidRDefault="006447BF" w:rsidP="00452415">
            <w:pPr>
              <w:rPr>
                <w:sz w:val="22"/>
                <w:szCs w:val="22"/>
              </w:rPr>
            </w:pPr>
          </w:p>
        </w:tc>
        <w:tc>
          <w:tcPr>
            <w:tcW w:w="5319" w:type="dxa"/>
          </w:tcPr>
          <w:p w14:paraId="22B36544" w14:textId="77777777" w:rsidR="006447BF" w:rsidRPr="00A0326C" w:rsidRDefault="006447BF" w:rsidP="00452415">
            <w:pPr>
              <w:rPr>
                <w:sz w:val="22"/>
                <w:szCs w:val="22"/>
              </w:rPr>
            </w:pPr>
          </w:p>
        </w:tc>
      </w:tr>
    </w:tbl>
    <w:p w14:paraId="655703FB" w14:textId="77777777" w:rsidR="006447BF" w:rsidRDefault="006447BF" w:rsidP="006447BF">
      <w:pPr>
        <w:ind w:right="-10"/>
        <w:textAlignment w:val="baseline"/>
        <w:rPr>
          <w:b/>
          <w:color w:val="000000"/>
          <w:spacing w:val="-4"/>
          <w:sz w:val="22"/>
          <w:szCs w:val="22"/>
          <w:u w:val="single"/>
        </w:rPr>
      </w:pPr>
    </w:p>
    <w:p w14:paraId="5640AF97" w14:textId="77777777" w:rsidR="006447BF" w:rsidRPr="00F6204C" w:rsidRDefault="006447BF" w:rsidP="006447BF">
      <w:pPr>
        <w:ind w:right="-10"/>
        <w:textAlignment w:val="baseline"/>
        <w:rPr>
          <w:b/>
          <w:color w:val="000000"/>
          <w:spacing w:val="-4"/>
          <w:sz w:val="22"/>
          <w:szCs w:val="22"/>
          <w:u w:val="single"/>
        </w:rPr>
      </w:pPr>
      <w:r w:rsidRPr="00F6204C">
        <w:rPr>
          <w:b/>
          <w:color w:val="000000"/>
          <w:spacing w:val="-4"/>
          <w:sz w:val="22"/>
          <w:szCs w:val="22"/>
          <w:u w:val="single"/>
        </w:rPr>
        <w:t>Exhibit A - Project Jurisdiction</w:t>
      </w:r>
      <w:r>
        <w:rPr>
          <w:b/>
          <w:color w:val="000000"/>
          <w:spacing w:val="-4"/>
          <w:sz w:val="22"/>
          <w:szCs w:val="22"/>
          <w:u w:val="single"/>
        </w:rPr>
        <w:t xml:space="preserve"> in Indiana</w:t>
      </w:r>
    </w:p>
    <w:p w14:paraId="0A9D13EB" w14:textId="77777777" w:rsidR="006447BF" w:rsidRPr="00F6204C" w:rsidRDefault="006447BF" w:rsidP="006447BF">
      <w:pPr>
        <w:textAlignment w:val="baseline"/>
        <w:rPr>
          <w:b/>
          <w:color w:val="000000"/>
          <w:spacing w:val="-4"/>
          <w:sz w:val="22"/>
          <w:szCs w:val="22"/>
          <w:u w:val="single"/>
        </w:rPr>
      </w:pPr>
    </w:p>
    <w:p w14:paraId="4711CC9A" w14:textId="77777777" w:rsidR="006447BF" w:rsidRPr="00F6204C" w:rsidRDefault="006447BF" w:rsidP="006447BF">
      <w:pPr>
        <w:textAlignment w:val="baseline"/>
        <w:rPr>
          <w:b/>
          <w:color w:val="000000"/>
          <w:spacing w:val="-4"/>
          <w:sz w:val="22"/>
          <w:szCs w:val="22"/>
          <w:u w:val="single"/>
        </w:rPr>
      </w:pPr>
      <w:r w:rsidRPr="00F6204C">
        <w:rPr>
          <w:b/>
          <w:color w:val="000000"/>
          <w:spacing w:val="-4"/>
          <w:sz w:val="22"/>
          <w:szCs w:val="22"/>
          <w:u w:val="single"/>
        </w:rPr>
        <w:t>INDIANA</w:t>
      </w:r>
    </w:p>
    <w:p w14:paraId="10E30C8F" w14:textId="77777777" w:rsidR="006447BF" w:rsidRPr="00F6204C" w:rsidRDefault="006447BF" w:rsidP="006447BF">
      <w:pPr>
        <w:textAlignment w:val="baseline"/>
        <w:rPr>
          <w:b/>
          <w:color w:val="000000"/>
          <w:spacing w:val="-4"/>
          <w:sz w:val="22"/>
          <w:szCs w:val="22"/>
          <w:u w:val="single"/>
        </w:rPr>
      </w:pPr>
    </w:p>
    <w:tbl>
      <w:tblPr>
        <w:tblW w:w="9329" w:type="dxa"/>
        <w:tblLook w:val="04A0" w:firstRow="1" w:lastRow="0" w:firstColumn="1" w:lastColumn="0" w:noHBand="0" w:noVBand="1"/>
      </w:tblPr>
      <w:tblGrid>
        <w:gridCol w:w="2940"/>
        <w:gridCol w:w="2320"/>
        <w:gridCol w:w="1500"/>
        <w:gridCol w:w="760"/>
        <w:gridCol w:w="940"/>
        <w:gridCol w:w="869"/>
      </w:tblGrid>
      <w:tr w:rsidR="006447BF" w:rsidRPr="00F6204C" w14:paraId="4A53EAE6" w14:textId="77777777" w:rsidTr="00452415">
        <w:trPr>
          <w:trHeight w:val="290"/>
        </w:trPr>
        <w:tc>
          <w:tcPr>
            <w:tcW w:w="2940" w:type="dxa"/>
            <w:tcBorders>
              <w:top w:val="single" w:sz="4" w:space="0" w:color="auto"/>
              <w:left w:val="single" w:sz="4" w:space="0" w:color="auto"/>
              <w:bottom w:val="nil"/>
              <w:right w:val="nil"/>
            </w:tcBorders>
            <w:shd w:val="clear" w:color="000000" w:fill="156082"/>
            <w:noWrap/>
            <w:vAlign w:val="bottom"/>
            <w:hideMark/>
          </w:tcPr>
          <w:p w14:paraId="716590E7" w14:textId="77777777" w:rsidR="006447BF" w:rsidRPr="00F6204C" w:rsidRDefault="006447BF" w:rsidP="00452415">
            <w:pPr>
              <w:jc w:val="center"/>
              <w:rPr>
                <w:rFonts w:ascii="Aptos Narrow" w:hAnsi="Aptos Narrow"/>
                <w:b/>
                <w:bCs/>
                <w:color w:val="FFFFFF"/>
                <w:sz w:val="22"/>
                <w:szCs w:val="22"/>
              </w:rPr>
            </w:pPr>
            <w:r w:rsidRPr="00F6204C">
              <w:rPr>
                <w:rFonts w:ascii="Aptos Narrow" w:hAnsi="Aptos Narrow"/>
                <w:b/>
                <w:bCs/>
                <w:color w:val="FFFFFF"/>
                <w:sz w:val="22"/>
                <w:szCs w:val="22"/>
              </w:rPr>
              <w:t>Affiliate Owner</w:t>
            </w:r>
          </w:p>
        </w:tc>
        <w:tc>
          <w:tcPr>
            <w:tcW w:w="2320" w:type="dxa"/>
            <w:tcBorders>
              <w:top w:val="single" w:sz="4" w:space="0" w:color="auto"/>
              <w:left w:val="nil"/>
              <w:bottom w:val="nil"/>
              <w:right w:val="nil"/>
            </w:tcBorders>
            <w:shd w:val="clear" w:color="000000" w:fill="156082"/>
            <w:noWrap/>
            <w:vAlign w:val="bottom"/>
            <w:hideMark/>
          </w:tcPr>
          <w:p w14:paraId="6074EEA5" w14:textId="77777777" w:rsidR="006447BF" w:rsidRPr="00F6204C" w:rsidRDefault="006447BF" w:rsidP="00452415">
            <w:pPr>
              <w:jc w:val="center"/>
              <w:rPr>
                <w:rFonts w:ascii="Aptos Narrow" w:hAnsi="Aptos Narrow"/>
                <w:b/>
                <w:bCs/>
                <w:color w:val="FFFFFF"/>
                <w:sz w:val="22"/>
                <w:szCs w:val="22"/>
              </w:rPr>
            </w:pPr>
            <w:r w:rsidRPr="00F6204C">
              <w:rPr>
                <w:rFonts w:ascii="Aptos Narrow" w:hAnsi="Aptos Narrow"/>
                <w:b/>
                <w:bCs/>
                <w:color w:val="FFFFFF"/>
                <w:sz w:val="22"/>
                <w:szCs w:val="22"/>
              </w:rPr>
              <w:t>Address</w:t>
            </w:r>
          </w:p>
        </w:tc>
        <w:tc>
          <w:tcPr>
            <w:tcW w:w="1500" w:type="dxa"/>
            <w:tcBorders>
              <w:top w:val="single" w:sz="4" w:space="0" w:color="auto"/>
              <w:left w:val="nil"/>
              <w:bottom w:val="nil"/>
              <w:right w:val="nil"/>
            </w:tcBorders>
            <w:shd w:val="clear" w:color="000000" w:fill="156082"/>
            <w:noWrap/>
            <w:vAlign w:val="bottom"/>
            <w:hideMark/>
          </w:tcPr>
          <w:p w14:paraId="00F40C2F" w14:textId="77777777" w:rsidR="006447BF" w:rsidRPr="00F6204C" w:rsidRDefault="006447BF" w:rsidP="00452415">
            <w:pPr>
              <w:jc w:val="center"/>
              <w:rPr>
                <w:rFonts w:ascii="Aptos Narrow" w:hAnsi="Aptos Narrow"/>
                <w:b/>
                <w:bCs/>
                <w:color w:val="FFFFFF"/>
                <w:sz w:val="22"/>
                <w:szCs w:val="22"/>
              </w:rPr>
            </w:pPr>
            <w:r w:rsidRPr="00F6204C">
              <w:rPr>
                <w:rFonts w:ascii="Aptos Narrow" w:hAnsi="Aptos Narrow"/>
                <w:b/>
                <w:bCs/>
                <w:color w:val="FFFFFF"/>
                <w:sz w:val="22"/>
                <w:szCs w:val="22"/>
              </w:rPr>
              <w:t>City</w:t>
            </w:r>
          </w:p>
        </w:tc>
        <w:tc>
          <w:tcPr>
            <w:tcW w:w="760" w:type="dxa"/>
            <w:tcBorders>
              <w:top w:val="single" w:sz="4" w:space="0" w:color="auto"/>
              <w:left w:val="nil"/>
              <w:bottom w:val="nil"/>
              <w:right w:val="nil"/>
            </w:tcBorders>
            <w:shd w:val="clear" w:color="000000" w:fill="156082"/>
            <w:noWrap/>
            <w:vAlign w:val="bottom"/>
            <w:hideMark/>
          </w:tcPr>
          <w:p w14:paraId="2D840B31" w14:textId="77777777" w:rsidR="006447BF" w:rsidRPr="00F6204C" w:rsidRDefault="006447BF" w:rsidP="00452415">
            <w:pPr>
              <w:jc w:val="center"/>
              <w:rPr>
                <w:rFonts w:ascii="Aptos Narrow" w:hAnsi="Aptos Narrow"/>
                <w:b/>
                <w:bCs/>
                <w:color w:val="FFFFFF"/>
                <w:sz w:val="22"/>
                <w:szCs w:val="22"/>
              </w:rPr>
            </w:pPr>
            <w:r w:rsidRPr="00F6204C">
              <w:rPr>
                <w:rFonts w:ascii="Aptos Narrow" w:hAnsi="Aptos Narrow"/>
                <w:b/>
                <w:bCs/>
                <w:color w:val="FFFFFF"/>
                <w:sz w:val="22"/>
                <w:szCs w:val="22"/>
              </w:rPr>
              <w:t>State</w:t>
            </w:r>
          </w:p>
        </w:tc>
        <w:tc>
          <w:tcPr>
            <w:tcW w:w="940" w:type="dxa"/>
            <w:tcBorders>
              <w:top w:val="single" w:sz="4" w:space="0" w:color="auto"/>
              <w:left w:val="nil"/>
              <w:bottom w:val="nil"/>
              <w:right w:val="nil"/>
            </w:tcBorders>
            <w:shd w:val="clear" w:color="000000" w:fill="156082"/>
            <w:noWrap/>
            <w:vAlign w:val="bottom"/>
            <w:hideMark/>
          </w:tcPr>
          <w:p w14:paraId="3DAE1F68" w14:textId="77777777" w:rsidR="006447BF" w:rsidRPr="00F6204C" w:rsidRDefault="006447BF" w:rsidP="00452415">
            <w:pPr>
              <w:jc w:val="center"/>
              <w:rPr>
                <w:rFonts w:ascii="Aptos Narrow" w:hAnsi="Aptos Narrow"/>
                <w:b/>
                <w:bCs/>
                <w:color w:val="FFFFFF"/>
                <w:sz w:val="22"/>
                <w:szCs w:val="22"/>
              </w:rPr>
            </w:pPr>
            <w:r w:rsidRPr="00F6204C">
              <w:rPr>
                <w:rFonts w:ascii="Aptos Narrow" w:hAnsi="Aptos Narrow"/>
                <w:b/>
                <w:bCs/>
                <w:color w:val="FFFFFF"/>
                <w:sz w:val="22"/>
                <w:szCs w:val="22"/>
              </w:rPr>
              <w:t>Zip</w:t>
            </w:r>
          </w:p>
        </w:tc>
        <w:tc>
          <w:tcPr>
            <w:tcW w:w="869" w:type="dxa"/>
            <w:tcBorders>
              <w:top w:val="single" w:sz="4" w:space="0" w:color="auto"/>
              <w:left w:val="nil"/>
              <w:bottom w:val="nil"/>
              <w:right w:val="single" w:sz="4" w:space="0" w:color="auto"/>
            </w:tcBorders>
            <w:shd w:val="clear" w:color="000000" w:fill="156082"/>
            <w:noWrap/>
            <w:vAlign w:val="bottom"/>
            <w:hideMark/>
          </w:tcPr>
          <w:p w14:paraId="5BF7BE7F" w14:textId="77777777" w:rsidR="006447BF" w:rsidRPr="00F6204C" w:rsidRDefault="006447BF" w:rsidP="00452415">
            <w:pPr>
              <w:jc w:val="center"/>
              <w:rPr>
                <w:rFonts w:ascii="Aptos Narrow" w:hAnsi="Aptos Narrow"/>
                <w:b/>
                <w:bCs/>
                <w:color w:val="FFFFFF"/>
                <w:sz w:val="22"/>
                <w:szCs w:val="22"/>
              </w:rPr>
            </w:pPr>
            <w:r w:rsidRPr="00F6204C">
              <w:rPr>
                <w:rFonts w:ascii="Aptos Narrow" w:hAnsi="Aptos Narrow"/>
                <w:b/>
                <w:bCs/>
                <w:color w:val="FFFFFF"/>
                <w:sz w:val="22"/>
                <w:szCs w:val="22"/>
              </w:rPr>
              <w:t>County</w:t>
            </w:r>
          </w:p>
        </w:tc>
      </w:tr>
      <w:tr w:rsidR="006447BF" w:rsidRPr="00F6204C" w14:paraId="4DCE92DC" w14:textId="77777777" w:rsidTr="00452415">
        <w:trPr>
          <w:trHeight w:val="290"/>
        </w:trPr>
        <w:tc>
          <w:tcPr>
            <w:tcW w:w="2940" w:type="dxa"/>
            <w:tcBorders>
              <w:top w:val="single" w:sz="4" w:space="0" w:color="auto"/>
              <w:left w:val="single" w:sz="4" w:space="0" w:color="auto"/>
              <w:bottom w:val="nil"/>
              <w:right w:val="nil"/>
            </w:tcBorders>
            <w:shd w:val="clear" w:color="000000" w:fill="156082"/>
            <w:noWrap/>
            <w:vAlign w:val="bottom"/>
          </w:tcPr>
          <w:p w14:paraId="10674E74" w14:textId="77777777" w:rsidR="006447BF" w:rsidRPr="00F6204C" w:rsidRDefault="006447BF" w:rsidP="00452415">
            <w:pPr>
              <w:jc w:val="center"/>
              <w:rPr>
                <w:rFonts w:ascii="Aptos Narrow" w:hAnsi="Aptos Narrow"/>
                <w:b/>
                <w:bCs/>
                <w:color w:val="FFFFFF"/>
                <w:sz w:val="22"/>
                <w:szCs w:val="22"/>
              </w:rPr>
            </w:pPr>
          </w:p>
        </w:tc>
        <w:tc>
          <w:tcPr>
            <w:tcW w:w="2320" w:type="dxa"/>
            <w:tcBorders>
              <w:top w:val="single" w:sz="4" w:space="0" w:color="auto"/>
              <w:left w:val="nil"/>
              <w:bottom w:val="nil"/>
              <w:right w:val="nil"/>
            </w:tcBorders>
            <w:shd w:val="clear" w:color="000000" w:fill="156082"/>
            <w:noWrap/>
            <w:vAlign w:val="bottom"/>
          </w:tcPr>
          <w:p w14:paraId="663963E6" w14:textId="77777777" w:rsidR="006447BF" w:rsidRPr="00F6204C" w:rsidRDefault="006447BF" w:rsidP="00452415">
            <w:pPr>
              <w:jc w:val="center"/>
              <w:rPr>
                <w:rFonts w:ascii="Aptos Narrow" w:hAnsi="Aptos Narrow"/>
                <w:b/>
                <w:bCs/>
                <w:color w:val="FFFFFF"/>
                <w:sz w:val="22"/>
                <w:szCs w:val="22"/>
              </w:rPr>
            </w:pPr>
          </w:p>
        </w:tc>
        <w:tc>
          <w:tcPr>
            <w:tcW w:w="1500" w:type="dxa"/>
            <w:tcBorders>
              <w:top w:val="single" w:sz="4" w:space="0" w:color="auto"/>
              <w:left w:val="nil"/>
              <w:bottom w:val="nil"/>
              <w:right w:val="nil"/>
            </w:tcBorders>
            <w:shd w:val="clear" w:color="000000" w:fill="156082"/>
            <w:noWrap/>
            <w:vAlign w:val="bottom"/>
          </w:tcPr>
          <w:p w14:paraId="42BA4B64" w14:textId="77777777" w:rsidR="006447BF" w:rsidRPr="00F6204C" w:rsidRDefault="006447BF" w:rsidP="00452415">
            <w:pPr>
              <w:jc w:val="center"/>
              <w:rPr>
                <w:rFonts w:ascii="Aptos Narrow" w:hAnsi="Aptos Narrow"/>
                <w:b/>
                <w:bCs/>
                <w:color w:val="FFFFFF"/>
                <w:sz w:val="22"/>
                <w:szCs w:val="22"/>
              </w:rPr>
            </w:pPr>
          </w:p>
        </w:tc>
        <w:tc>
          <w:tcPr>
            <w:tcW w:w="760" w:type="dxa"/>
            <w:tcBorders>
              <w:top w:val="single" w:sz="4" w:space="0" w:color="auto"/>
              <w:left w:val="nil"/>
              <w:bottom w:val="nil"/>
              <w:right w:val="nil"/>
            </w:tcBorders>
            <w:shd w:val="clear" w:color="000000" w:fill="156082"/>
            <w:noWrap/>
            <w:vAlign w:val="bottom"/>
          </w:tcPr>
          <w:p w14:paraId="7FEB1730" w14:textId="77777777" w:rsidR="006447BF" w:rsidRPr="00F6204C" w:rsidRDefault="006447BF" w:rsidP="00452415">
            <w:pPr>
              <w:jc w:val="center"/>
              <w:rPr>
                <w:rFonts w:ascii="Aptos Narrow" w:hAnsi="Aptos Narrow"/>
                <w:b/>
                <w:bCs/>
                <w:color w:val="FFFFFF"/>
                <w:sz w:val="22"/>
                <w:szCs w:val="22"/>
              </w:rPr>
            </w:pPr>
          </w:p>
        </w:tc>
        <w:tc>
          <w:tcPr>
            <w:tcW w:w="940" w:type="dxa"/>
            <w:tcBorders>
              <w:top w:val="single" w:sz="4" w:space="0" w:color="auto"/>
              <w:left w:val="nil"/>
              <w:bottom w:val="nil"/>
              <w:right w:val="nil"/>
            </w:tcBorders>
            <w:shd w:val="clear" w:color="000000" w:fill="156082"/>
            <w:noWrap/>
            <w:vAlign w:val="bottom"/>
          </w:tcPr>
          <w:p w14:paraId="78E580CC" w14:textId="77777777" w:rsidR="006447BF" w:rsidRPr="00F6204C" w:rsidRDefault="006447BF" w:rsidP="00452415">
            <w:pPr>
              <w:jc w:val="center"/>
              <w:rPr>
                <w:rFonts w:ascii="Aptos Narrow" w:hAnsi="Aptos Narrow"/>
                <w:b/>
                <w:bCs/>
                <w:color w:val="FFFFFF"/>
                <w:sz w:val="22"/>
                <w:szCs w:val="22"/>
              </w:rPr>
            </w:pPr>
          </w:p>
        </w:tc>
        <w:tc>
          <w:tcPr>
            <w:tcW w:w="869" w:type="dxa"/>
            <w:tcBorders>
              <w:top w:val="single" w:sz="4" w:space="0" w:color="auto"/>
              <w:left w:val="nil"/>
              <w:bottom w:val="nil"/>
              <w:right w:val="single" w:sz="4" w:space="0" w:color="auto"/>
            </w:tcBorders>
            <w:shd w:val="clear" w:color="000000" w:fill="156082"/>
            <w:noWrap/>
            <w:vAlign w:val="bottom"/>
          </w:tcPr>
          <w:p w14:paraId="178B15C3" w14:textId="77777777" w:rsidR="006447BF" w:rsidRPr="00F6204C" w:rsidRDefault="006447BF" w:rsidP="00452415">
            <w:pPr>
              <w:jc w:val="center"/>
              <w:rPr>
                <w:rFonts w:ascii="Aptos Narrow" w:hAnsi="Aptos Narrow"/>
                <w:b/>
                <w:bCs/>
                <w:color w:val="FFFFFF"/>
                <w:sz w:val="22"/>
                <w:szCs w:val="22"/>
              </w:rPr>
            </w:pPr>
          </w:p>
        </w:tc>
      </w:tr>
      <w:tr w:rsidR="006447BF" w:rsidRPr="00F6204C" w14:paraId="3BCC2A40" w14:textId="77777777" w:rsidTr="00452415">
        <w:trPr>
          <w:trHeight w:val="350"/>
        </w:trPr>
        <w:tc>
          <w:tcPr>
            <w:tcW w:w="2940" w:type="dxa"/>
            <w:tcBorders>
              <w:top w:val="single" w:sz="4" w:space="0" w:color="auto"/>
              <w:left w:val="single" w:sz="4" w:space="0" w:color="auto"/>
              <w:bottom w:val="nil"/>
              <w:right w:val="nil"/>
            </w:tcBorders>
            <w:noWrap/>
            <w:vAlign w:val="bottom"/>
            <w:hideMark/>
          </w:tcPr>
          <w:p w14:paraId="08E4E488" w14:textId="77777777" w:rsidR="006447BF" w:rsidRPr="00F6204C" w:rsidRDefault="006447BF" w:rsidP="00452415">
            <w:pPr>
              <w:rPr>
                <w:rFonts w:ascii="Aptos Narrow" w:hAnsi="Aptos Narrow"/>
                <w:color w:val="000000"/>
                <w:sz w:val="22"/>
                <w:szCs w:val="22"/>
              </w:rPr>
            </w:pPr>
            <w:r w:rsidRPr="00F6204C">
              <w:rPr>
                <w:rFonts w:ascii="Aptos Narrow" w:hAnsi="Aptos Narrow"/>
                <w:color w:val="000000"/>
                <w:sz w:val="22"/>
                <w:szCs w:val="22"/>
              </w:rPr>
              <w:t xml:space="preserve">Children &amp; </w:t>
            </w:r>
            <w:r>
              <w:rPr>
                <w:rFonts w:ascii="Aptos Narrow" w:hAnsi="Aptos Narrow"/>
                <w:color w:val="000000"/>
                <w:sz w:val="22"/>
                <w:szCs w:val="22"/>
              </w:rPr>
              <w:t>Family Services Corporation</w:t>
            </w:r>
          </w:p>
        </w:tc>
        <w:tc>
          <w:tcPr>
            <w:tcW w:w="2320" w:type="dxa"/>
            <w:tcBorders>
              <w:top w:val="single" w:sz="4" w:space="0" w:color="auto"/>
              <w:left w:val="nil"/>
              <w:bottom w:val="nil"/>
              <w:right w:val="nil"/>
            </w:tcBorders>
            <w:vAlign w:val="bottom"/>
            <w:hideMark/>
          </w:tcPr>
          <w:p w14:paraId="501FEA61" w14:textId="77777777" w:rsidR="006447BF" w:rsidRPr="00F6204C" w:rsidRDefault="006447BF" w:rsidP="00452415">
            <w:pPr>
              <w:rPr>
                <w:rFonts w:ascii="Aptos Narrow" w:hAnsi="Aptos Narrow"/>
                <w:color w:val="000000"/>
                <w:sz w:val="22"/>
                <w:szCs w:val="22"/>
              </w:rPr>
            </w:pPr>
            <w:r w:rsidRPr="00F6204C">
              <w:rPr>
                <w:rFonts w:ascii="Aptos Narrow" w:hAnsi="Aptos Narrow"/>
                <w:color w:val="000000"/>
                <w:sz w:val="22"/>
                <w:szCs w:val="22"/>
              </w:rPr>
              <w:t>2290 S. Theobald Ln</w:t>
            </w:r>
          </w:p>
        </w:tc>
        <w:tc>
          <w:tcPr>
            <w:tcW w:w="1500" w:type="dxa"/>
            <w:tcBorders>
              <w:top w:val="single" w:sz="4" w:space="0" w:color="auto"/>
              <w:left w:val="nil"/>
              <w:bottom w:val="nil"/>
              <w:right w:val="nil"/>
            </w:tcBorders>
            <w:noWrap/>
            <w:vAlign w:val="bottom"/>
            <w:hideMark/>
          </w:tcPr>
          <w:p w14:paraId="736F752F" w14:textId="77777777" w:rsidR="006447BF" w:rsidRPr="00F6204C" w:rsidRDefault="006447BF" w:rsidP="00452415">
            <w:pPr>
              <w:rPr>
                <w:rFonts w:ascii="Aptos Narrow" w:hAnsi="Aptos Narrow"/>
                <w:color w:val="000000"/>
                <w:sz w:val="22"/>
                <w:szCs w:val="22"/>
              </w:rPr>
            </w:pPr>
            <w:r w:rsidRPr="00F6204C">
              <w:rPr>
                <w:rFonts w:ascii="Aptos Narrow" w:hAnsi="Aptos Narrow"/>
                <w:color w:val="000000"/>
                <w:sz w:val="22"/>
                <w:szCs w:val="22"/>
              </w:rPr>
              <w:t>Vincennes</w:t>
            </w:r>
          </w:p>
        </w:tc>
        <w:tc>
          <w:tcPr>
            <w:tcW w:w="760" w:type="dxa"/>
            <w:tcBorders>
              <w:top w:val="single" w:sz="4" w:space="0" w:color="auto"/>
              <w:left w:val="nil"/>
              <w:bottom w:val="nil"/>
              <w:right w:val="nil"/>
            </w:tcBorders>
            <w:noWrap/>
            <w:vAlign w:val="bottom"/>
            <w:hideMark/>
          </w:tcPr>
          <w:p w14:paraId="15EF8623" w14:textId="77777777" w:rsidR="006447BF" w:rsidRPr="00F6204C" w:rsidRDefault="006447BF" w:rsidP="00452415">
            <w:pPr>
              <w:rPr>
                <w:rFonts w:ascii="Aptos Narrow" w:hAnsi="Aptos Narrow"/>
                <w:color w:val="000000"/>
                <w:sz w:val="22"/>
                <w:szCs w:val="22"/>
              </w:rPr>
            </w:pPr>
            <w:r w:rsidRPr="00F6204C">
              <w:rPr>
                <w:rFonts w:ascii="Aptos Narrow" w:hAnsi="Aptos Narrow"/>
                <w:color w:val="000000"/>
                <w:sz w:val="22"/>
                <w:szCs w:val="22"/>
              </w:rPr>
              <w:t>IN</w:t>
            </w:r>
          </w:p>
        </w:tc>
        <w:tc>
          <w:tcPr>
            <w:tcW w:w="940" w:type="dxa"/>
            <w:tcBorders>
              <w:top w:val="single" w:sz="4" w:space="0" w:color="auto"/>
              <w:left w:val="nil"/>
              <w:bottom w:val="nil"/>
              <w:right w:val="nil"/>
            </w:tcBorders>
            <w:noWrap/>
            <w:vAlign w:val="bottom"/>
            <w:hideMark/>
          </w:tcPr>
          <w:p w14:paraId="20F99C26" w14:textId="77777777" w:rsidR="006447BF" w:rsidRPr="00F6204C" w:rsidRDefault="006447BF" w:rsidP="00452415">
            <w:pPr>
              <w:jc w:val="right"/>
              <w:rPr>
                <w:rFonts w:ascii="Aptos Narrow" w:hAnsi="Aptos Narrow"/>
                <w:color w:val="000000"/>
                <w:sz w:val="22"/>
                <w:szCs w:val="22"/>
              </w:rPr>
            </w:pPr>
            <w:r w:rsidRPr="00F6204C">
              <w:rPr>
                <w:rFonts w:ascii="Aptos Narrow" w:hAnsi="Aptos Narrow"/>
                <w:color w:val="000000"/>
                <w:sz w:val="22"/>
                <w:szCs w:val="22"/>
              </w:rPr>
              <w:t>47591</w:t>
            </w:r>
          </w:p>
        </w:tc>
        <w:tc>
          <w:tcPr>
            <w:tcW w:w="869" w:type="dxa"/>
            <w:tcBorders>
              <w:top w:val="single" w:sz="4" w:space="0" w:color="auto"/>
              <w:left w:val="nil"/>
              <w:bottom w:val="nil"/>
              <w:right w:val="single" w:sz="4" w:space="0" w:color="auto"/>
            </w:tcBorders>
            <w:noWrap/>
            <w:vAlign w:val="bottom"/>
            <w:hideMark/>
          </w:tcPr>
          <w:p w14:paraId="22E81075" w14:textId="77777777" w:rsidR="006447BF" w:rsidRPr="00F6204C" w:rsidRDefault="006447BF" w:rsidP="00452415">
            <w:pPr>
              <w:jc w:val="center"/>
              <w:rPr>
                <w:rFonts w:ascii="Aptos Narrow" w:hAnsi="Aptos Narrow"/>
                <w:color w:val="000000"/>
                <w:sz w:val="22"/>
                <w:szCs w:val="22"/>
              </w:rPr>
            </w:pPr>
            <w:r w:rsidRPr="00F6204C">
              <w:rPr>
                <w:rFonts w:ascii="Aptos Narrow" w:hAnsi="Aptos Narrow"/>
                <w:color w:val="000000"/>
                <w:sz w:val="22"/>
                <w:szCs w:val="22"/>
              </w:rPr>
              <w:t>Knox</w:t>
            </w:r>
          </w:p>
        </w:tc>
      </w:tr>
      <w:tr w:rsidR="006447BF" w:rsidRPr="00F6204C" w14:paraId="5E9C82EE" w14:textId="77777777" w:rsidTr="00452415">
        <w:trPr>
          <w:trHeight w:val="350"/>
        </w:trPr>
        <w:tc>
          <w:tcPr>
            <w:tcW w:w="2940" w:type="dxa"/>
            <w:tcBorders>
              <w:top w:val="nil"/>
              <w:left w:val="single" w:sz="4" w:space="0" w:color="auto"/>
              <w:bottom w:val="single" w:sz="4" w:space="0" w:color="auto"/>
              <w:right w:val="nil"/>
            </w:tcBorders>
            <w:noWrap/>
            <w:vAlign w:val="bottom"/>
            <w:hideMark/>
          </w:tcPr>
          <w:p w14:paraId="227DB99C" w14:textId="77777777" w:rsidR="006447BF" w:rsidRPr="00F6204C" w:rsidRDefault="006447BF" w:rsidP="00452415">
            <w:pPr>
              <w:rPr>
                <w:rFonts w:ascii="Aptos Narrow" w:hAnsi="Aptos Narrow"/>
                <w:color w:val="000000"/>
                <w:sz w:val="22"/>
                <w:szCs w:val="22"/>
              </w:rPr>
            </w:pPr>
            <w:r w:rsidRPr="00F6204C">
              <w:rPr>
                <w:rFonts w:ascii="Aptos Narrow" w:hAnsi="Aptos Narrow"/>
                <w:color w:val="000000"/>
                <w:sz w:val="22"/>
                <w:szCs w:val="22"/>
              </w:rPr>
              <w:t xml:space="preserve">Children &amp; </w:t>
            </w:r>
            <w:r>
              <w:rPr>
                <w:rFonts w:ascii="Aptos Narrow" w:hAnsi="Aptos Narrow"/>
                <w:color w:val="000000"/>
                <w:sz w:val="22"/>
                <w:szCs w:val="22"/>
              </w:rPr>
              <w:t>Family Services Corporation</w:t>
            </w:r>
          </w:p>
        </w:tc>
        <w:tc>
          <w:tcPr>
            <w:tcW w:w="2320" w:type="dxa"/>
            <w:tcBorders>
              <w:top w:val="nil"/>
              <w:left w:val="nil"/>
              <w:bottom w:val="single" w:sz="4" w:space="0" w:color="auto"/>
              <w:right w:val="nil"/>
            </w:tcBorders>
            <w:vAlign w:val="bottom"/>
            <w:hideMark/>
          </w:tcPr>
          <w:p w14:paraId="4C465FC7" w14:textId="77777777" w:rsidR="006447BF" w:rsidRPr="00F6204C" w:rsidRDefault="006447BF" w:rsidP="00452415">
            <w:pPr>
              <w:rPr>
                <w:rFonts w:ascii="Aptos Narrow" w:hAnsi="Aptos Narrow"/>
                <w:color w:val="000000"/>
                <w:sz w:val="22"/>
                <w:szCs w:val="22"/>
              </w:rPr>
            </w:pPr>
            <w:r w:rsidRPr="00F6204C">
              <w:rPr>
                <w:rFonts w:ascii="Aptos Narrow" w:hAnsi="Aptos Narrow"/>
                <w:color w:val="000000"/>
                <w:sz w:val="22"/>
                <w:szCs w:val="22"/>
              </w:rPr>
              <w:t>105 Broadway St</w:t>
            </w:r>
          </w:p>
        </w:tc>
        <w:tc>
          <w:tcPr>
            <w:tcW w:w="1500" w:type="dxa"/>
            <w:tcBorders>
              <w:top w:val="nil"/>
              <w:left w:val="nil"/>
              <w:bottom w:val="single" w:sz="4" w:space="0" w:color="auto"/>
              <w:right w:val="nil"/>
            </w:tcBorders>
            <w:noWrap/>
            <w:vAlign w:val="bottom"/>
            <w:hideMark/>
          </w:tcPr>
          <w:p w14:paraId="42D5216C" w14:textId="77777777" w:rsidR="006447BF" w:rsidRPr="00F6204C" w:rsidRDefault="006447BF" w:rsidP="00452415">
            <w:pPr>
              <w:rPr>
                <w:rFonts w:ascii="Aptos Narrow" w:hAnsi="Aptos Narrow"/>
                <w:color w:val="000000"/>
                <w:sz w:val="22"/>
                <w:szCs w:val="22"/>
              </w:rPr>
            </w:pPr>
            <w:r w:rsidRPr="00F6204C">
              <w:rPr>
                <w:rFonts w:ascii="Aptos Narrow" w:hAnsi="Aptos Narrow"/>
                <w:color w:val="000000"/>
                <w:sz w:val="22"/>
                <w:szCs w:val="22"/>
              </w:rPr>
              <w:t>Vincennes</w:t>
            </w:r>
          </w:p>
        </w:tc>
        <w:tc>
          <w:tcPr>
            <w:tcW w:w="760" w:type="dxa"/>
            <w:tcBorders>
              <w:top w:val="nil"/>
              <w:left w:val="nil"/>
              <w:bottom w:val="single" w:sz="4" w:space="0" w:color="auto"/>
              <w:right w:val="nil"/>
            </w:tcBorders>
            <w:noWrap/>
            <w:vAlign w:val="bottom"/>
            <w:hideMark/>
          </w:tcPr>
          <w:p w14:paraId="056FF4B2" w14:textId="77777777" w:rsidR="006447BF" w:rsidRPr="00F6204C" w:rsidRDefault="006447BF" w:rsidP="00452415">
            <w:pPr>
              <w:rPr>
                <w:rFonts w:ascii="Aptos Narrow" w:hAnsi="Aptos Narrow"/>
                <w:color w:val="000000"/>
                <w:sz w:val="22"/>
                <w:szCs w:val="22"/>
              </w:rPr>
            </w:pPr>
            <w:r w:rsidRPr="00F6204C">
              <w:rPr>
                <w:rFonts w:ascii="Aptos Narrow" w:hAnsi="Aptos Narrow"/>
                <w:color w:val="000000"/>
                <w:sz w:val="22"/>
                <w:szCs w:val="22"/>
              </w:rPr>
              <w:t>IN</w:t>
            </w:r>
          </w:p>
        </w:tc>
        <w:tc>
          <w:tcPr>
            <w:tcW w:w="940" w:type="dxa"/>
            <w:tcBorders>
              <w:top w:val="nil"/>
              <w:left w:val="nil"/>
              <w:bottom w:val="single" w:sz="4" w:space="0" w:color="auto"/>
              <w:right w:val="nil"/>
            </w:tcBorders>
            <w:noWrap/>
            <w:vAlign w:val="bottom"/>
            <w:hideMark/>
          </w:tcPr>
          <w:p w14:paraId="330AF694" w14:textId="77777777" w:rsidR="006447BF" w:rsidRPr="00F6204C" w:rsidRDefault="006447BF" w:rsidP="00452415">
            <w:pPr>
              <w:jc w:val="right"/>
              <w:rPr>
                <w:rFonts w:ascii="Aptos Narrow" w:hAnsi="Aptos Narrow"/>
                <w:color w:val="000000"/>
                <w:sz w:val="22"/>
                <w:szCs w:val="22"/>
              </w:rPr>
            </w:pPr>
            <w:r w:rsidRPr="00F6204C">
              <w:rPr>
                <w:rFonts w:ascii="Aptos Narrow" w:hAnsi="Aptos Narrow"/>
                <w:color w:val="000000"/>
                <w:sz w:val="22"/>
                <w:szCs w:val="22"/>
              </w:rPr>
              <w:t>47591</w:t>
            </w:r>
          </w:p>
        </w:tc>
        <w:tc>
          <w:tcPr>
            <w:tcW w:w="869" w:type="dxa"/>
            <w:tcBorders>
              <w:top w:val="nil"/>
              <w:left w:val="nil"/>
              <w:bottom w:val="single" w:sz="4" w:space="0" w:color="auto"/>
              <w:right w:val="single" w:sz="4" w:space="0" w:color="auto"/>
            </w:tcBorders>
            <w:noWrap/>
            <w:vAlign w:val="bottom"/>
            <w:hideMark/>
          </w:tcPr>
          <w:p w14:paraId="46A26228" w14:textId="77777777" w:rsidR="006447BF" w:rsidRPr="00F6204C" w:rsidRDefault="006447BF" w:rsidP="00452415">
            <w:pPr>
              <w:jc w:val="center"/>
              <w:rPr>
                <w:rFonts w:ascii="Aptos Narrow" w:hAnsi="Aptos Narrow"/>
                <w:color w:val="000000"/>
                <w:sz w:val="22"/>
                <w:szCs w:val="22"/>
              </w:rPr>
            </w:pPr>
            <w:r w:rsidRPr="00F6204C">
              <w:rPr>
                <w:rFonts w:ascii="Aptos Narrow" w:hAnsi="Aptos Narrow"/>
                <w:color w:val="000000"/>
                <w:sz w:val="22"/>
                <w:szCs w:val="22"/>
              </w:rPr>
              <w:t>Knox</w:t>
            </w:r>
          </w:p>
        </w:tc>
      </w:tr>
    </w:tbl>
    <w:p w14:paraId="3557BB9B" w14:textId="77777777" w:rsidR="006447BF" w:rsidRPr="00F6204C" w:rsidRDefault="006447BF" w:rsidP="006447BF">
      <w:pPr>
        <w:textAlignment w:val="baseline"/>
        <w:rPr>
          <w:b/>
          <w:color w:val="000000"/>
          <w:spacing w:val="-4"/>
          <w:sz w:val="22"/>
          <w:szCs w:val="22"/>
          <w:u w:val="single"/>
        </w:rPr>
      </w:pPr>
    </w:p>
    <w:p w14:paraId="01C4E64E" w14:textId="77777777" w:rsidR="006447BF" w:rsidRPr="00F6204C" w:rsidRDefault="006447BF" w:rsidP="006447BF">
      <w:pPr>
        <w:textAlignment w:val="baseline"/>
        <w:rPr>
          <w:b/>
          <w:color w:val="000000"/>
          <w:spacing w:val="-4"/>
          <w:sz w:val="22"/>
          <w:szCs w:val="22"/>
          <w:u w:val="single"/>
        </w:rPr>
      </w:pPr>
    </w:p>
    <w:p w14:paraId="2E41CD4D" w14:textId="77777777" w:rsidR="00092943" w:rsidRPr="006447BF" w:rsidRDefault="00092943" w:rsidP="006447BF"/>
    <w:sectPr w:rsidR="00092943" w:rsidRPr="006447BF" w:rsidSect="006447BF">
      <w:endnotePr>
        <w:numFmt w:val="decimal"/>
      </w:endnotePr>
      <w:pgSz w:w="12240" w:h="15840" w:code="1"/>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3BD6992"/>
    <w:multiLevelType w:val="multilevel"/>
    <w:tmpl w:val="5E5EB502"/>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lvlRestart w:val="0"/>
      <w:pStyle w:val="Bullet2"/>
      <w:lvlText w:val="o"/>
      <w:lvlJc w:val="left"/>
      <w:pPr>
        <w:tabs>
          <w:tab w:val="num" w:pos="2160"/>
        </w:tabs>
        <w:ind w:left="2160" w:hanging="720"/>
      </w:pPr>
      <w:rPr>
        <w:rFonts w:ascii="Courier New" w:hAnsi="Courier New"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lvlRestart w:val="0"/>
      <w:pStyle w:val="Bullet4"/>
      <w:lvlText w:val="o"/>
      <w:lvlJc w:val="left"/>
      <w:pPr>
        <w:tabs>
          <w:tab w:val="num" w:pos="3600"/>
        </w:tabs>
        <w:ind w:left="3600" w:hanging="720"/>
      </w:pPr>
      <w:rPr>
        <w:rFonts w:ascii="Courier New" w:hAnsi="Courier New"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none"/>
      <w:lvlRestart w:val="0"/>
      <w:suff w:val="nothing"/>
      <w:lvlText w:val=""/>
      <w:lvlJc w:val="left"/>
      <w:pPr>
        <w:ind w:left="0" w:firstLine="0"/>
      </w:pPr>
      <w:rPr>
        <w:rFonts w:hint="default"/>
        <w:b w:val="0"/>
        <w:i w:val="0"/>
        <w:caps w:val="0"/>
        <w:u w:val="none"/>
      </w:rPr>
    </w:lvl>
    <w:lvl w:ilvl="6">
      <w:start w:val="1"/>
      <w:numFmt w:val="none"/>
      <w:lvlRestart w:val="0"/>
      <w:suff w:val="nothing"/>
      <w:lvlText w:val=""/>
      <w:lvlJc w:val="left"/>
      <w:pPr>
        <w:ind w:left="0" w:firstLine="0"/>
      </w:pPr>
      <w:rPr>
        <w:rFonts w:hint="default"/>
        <w:b w:val="0"/>
        <w:i w:val="0"/>
        <w:caps w:val="0"/>
        <w:u w:val="none"/>
      </w:rPr>
    </w:lvl>
    <w:lvl w:ilvl="7">
      <w:start w:val="1"/>
      <w:numFmt w:val="none"/>
      <w:lvlRestart w:val="0"/>
      <w:suff w:val="nothing"/>
      <w:lvlText w:val=""/>
      <w:lvlJc w:val="left"/>
      <w:pPr>
        <w:ind w:left="0" w:firstLine="0"/>
      </w:pPr>
      <w:rPr>
        <w:rFonts w:hint="default"/>
        <w:b w:val="0"/>
        <w:i w:val="0"/>
        <w:caps w:val="0"/>
        <w:u w:val="none"/>
      </w:rPr>
    </w:lvl>
    <w:lvl w:ilvl="8">
      <w:start w:val="1"/>
      <w:numFmt w:val="none"/>
      <w:lvlRestart w:val="0"/>
      <w:suff w:val="nothing"/>
      <w:lvlText w:val=""/>
      <w:lvlJc w:val="left"/>
      <w:pPr>
        <w:ind w:left="0" w:firstLine="0"/>
      </w:pPr>
      <w:rPr>
        <w:rFonts w:hint="default"/>
        <w:b w:val="0"/>
        <w:i w:val="0"/>
        <w:caps w:val="0"/>
        <w:u w:val="none"/>
      </w:rPr>
    </w:lvl>
  </w:abstractNum>
  <w:abstractNum w:abstractNumId="2" w15:restartNumberingAfterBreak="0">
    <w:nsid w:val="66594161"/>
    <w:multiLevelType w:val="hybridMultilevel"/>
    <w:tmpl w:val="F2D6AF58"/>
    <w:lvl w:ilvl="0" w:tplc="BF48B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81096"/>
    <w:multiLevelType w:val="multilevel"/>
    <w:tmpl w:val="D9BCA05E"/>
    <w:name w:val="Number"/>
    <w:lvl w:ilvl="0">
      <w:start w:val="1"/>
      <w:numFmt w:val="decimal"/>
      <w:pStyle w:val="Number1"/>
      <w:lvlText w:val="%1."/>
      <w:lvlJc w:val="left"/>
      <w:pPr>
        <w:tabs>
          <w:tab w:val="num" w:pos="720"/>
        </w:tabs>
        <w:ind w:left="1440" w:hanging="720"/>
      </w:pPr>
      <w:rPr>
        <w:rFonts w:hint="default"/>
      </w:rPr>
    </w:lvl>
    <w:lvl w:ilvl="1">
      <w:start w:val="1"/>
      <w:numFmt w:val="lowerLetter"/>
      <w:pStyle w:val="Number2"/>
      <w:lvlText w:val="(%2)"/>
      <w:lvlJc w:val="left"/>
      <w:pPr>
        <w:tabs>
          <w:tab w:val="num" w:pos="1440"/>
        </w:tabs>
        <w:ind w:left="2160" w:hanging="720"/>
      </w:pPr>
      <w:rPr>
        <w:rFonts w:hint="default"/>
      </w:rPr>
    </w:lvl>
    <w:lvl w:ilvl="2">
      <w:start w:val="1"/>
      <w:numFmt w:val="lowerRoman"/>
      <w:pStyle w:val="Number3"/>
      <w:lvlText w:val="(%3)"/>
      <w:lvlJc w:val="left"/>
      <w:pPr>
        <w:tabs>
          <w:tab w:val="num" w:pos="2160"/>
        </w:tabs>
        <w:ind w:left="2880" w:hanging="720"/>
      </w:pPr>
      <w:rPr>
        <w:rFonts w:hint="default"/>
      </w:rPr>
    </w:lvl>
    <w:lvl w:ilvl="3">
      <w:start w:val="1"/>
      <w:numFmt w:val="decimal"/>
      <w:pStyle w:val="Number4"/>
      <w:lvlText w:val="(%4)"/>
      <w:lvlJc w:val="left"/>
      <w:pPr>
        <w:tabs>
          <w:tab w:val="num" w:pos="2880"/>
        </w:tabs>
        <w:ind w:left="3600" w:hanging="720"/>
      </w:pPr>
      <w:rPr>
        <w:rFonts w:hint="default"/>
      </w:rPr>
    </w:lvl>
    <w:lvl w:ilvl="4">
      <w:start w:val="1"/>
      <w:numFmt w:val="lowerLetter"/>
      <w:pStyle w:val="Number5"/>
      <w:lvlText w:val="%5."/>
      <w:lvlJc w:val="left"/>
      <w:pPr>
        <w:tabs>
          <w:tab w:val="num" w:pos="3600"/>
        </w:tabs>
        <w:ind w:left="4320" w:hanging="720"/>
      </w:pPr>
      <w:rPr>
        <w:rFonts w:hint="default"/>
      </w:rPr>
    </w:lvl>
    <w:lvl w:ilvl="5">
      <w:start w:val="1"/>
      <w:numFmt w:val="lowerRoman"/>
      <w:pStyle w:val="Number6"/>
      <w:lvlText w:val="%6."/>
      <w:lvlJc w:val="left"/>
      <w:pPr>
        <w:tabs>
          <w:tab w:val="num" w:pos="4320"/>
        </w:tabs>
        <w:ind w:left="504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6028249">
    <w:abstractNumId w:val="0"/>
  </w:num>
  <w:num w:numId="2" w16cid:durableId="59014333">
    <w:abstractNumId w:val="0"/>
  </w:num>
  <w:num w:numId="3" w16cid:durableId="860244736">
    <w:abstractNumId w:val="0"/>
  </w:num>
  <w:num w:numId="4" w16cid:durableId="1260529185">
    <w:abstractNumId w:val="0"/>
  </w:num>
  <w:num w:numId="5" w16cid:durableId="788626539">
    <w:abstractNumId w:val="0"/>
  </w:num>
  <w:num w:numId="6" w16cid:durableId="1015032658">
    <w:abstractNumId w:val="0"/>
  </w:num>
  <w:num w:numId="7" w16cid:durableId="1534222882">
    <w:abstractNumId w:val="0"/>
  </w:num>
  <w:num w:numId="8" w16cid:durableId="1734935695">
    <w:abstractNumId w:val="0"/>
  </w:num>
  <w:num w:numId="9" w16cid:durableId="2120173845">
    <w:abstractNumId w:val="0"/>
  </w:num>
  <w:num w:numId="10" w16cid:durableId="1353611483">
    <w:abstractNumId w:val="1"/>
  </w:num>
  <w:num w:numId="11" w16cid:durableId="2143112828">
    <w:abstractNumId w:val="3"/>
  </w:num>
  <w:num w:numId="12" w16cid:durableId="1981225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PTOFollow" w:val="4 Spaces"/>
  </w:docVars>
  <w:rsids>
    <w:rsidRoot w:val="00092943"/>
    <w:rsid w:val="00017043"/>
    <w:rsid w:val="00033075"/>
    <w:rsid w:val="00042DE7"/>
    <w:rsid w:val="000472F0"/>
    <w:rsid w:val="00071E67"/>
    <w:rsid w:val="000924D1"/>
    <w:rsid w:val="00092943"/>
    <w:rsid w:val="00094882"/>
    <w:rsid w:val="000B4C09"/>
    <w:rsid w:val="000D2954"/>
    <w:rsid w:val="001330FA"/>
    <w:rsid w:val="00134C1A"/>
    <w:rsid w:val="00142E68"/>
    <w:rsid w:val="001738CD"/>
    <w:rsid w:val="00182CB3"/>
    <w:rsid w:val="00183BD1"/>
    <w:rsid w:val="001A08E6"/>
    <w:rsid w:val="001A2804"/>
    <w:rsid w:val="001D1192"/>
    <w:rsid w:val="001E3197"/>
    <w:rsid w:val="0024109C"/>
    <w:rsid w:val="00244B19"/>
    <w:rsid w:val="002515AF"/>
    <w:rsid w:val="00282D25"/>
    <w:rsid w:val="002A1609"/>
    <w:rsid w:val="002A690F"/>
    <w:rsid w:val="002A78AA"/>
    <w:rsid w:val="002B2D34"/>
    <w:rsid w:val="002D62F2"/>
    <w:rsid w:val="003115A8"/>
    <w:rsid w:val="00344590"/>
    <w:rsid w:val="0039148F"/>
    <w:rsid w:val="00396F21"/>
    <w:rsid w:val="003A11D8"/>
    <w:rsid w:val="003D1FC5"/>
    <w:rsid w:val="003F63B8"/>
    <w:rsid w:val="00406FDD"/>
    <w:rsid w:val="00413EA7"/>
    <w:rsid w:val="00426CEB"/>
    <w:rsid w:val="00433AD3"/>
    <w:rsid w:val="004378FD"/>
    <w:rsid w:val="00441A87"/>
    <w:rsid w:val="00452B09"/>
    <w:rsid w:val="0046690C"/>
    <w:rsid w:val="00473C4A"/>
    <w:rsid w:val="004849C6"/>
    <w:rsid w:val="00495DF2"/>
    <w:rsid w:val="00502060"/>
    <w:rsid w:val="005223B7"/>
    <w:rsid w:val="00556501"/>
    <w:rsid w:val="00563824"/>
    <w:rsid w:val="005C00CD"/>
    <w:rsid w:val="005D2DD5"/>
    <w:rsid w:val="005D5291"/>
    <w:rsid w:val="005E20C3"/>
    <w:rsid w:val="005E3450"/>
    <w:rsid w:val="006139A5"/>
    <w:rsid w:val="006447BF"/>
    <w:rsid w:val="006554DD"/>
    <w:rsid w:val="00656123"/>
    <w:rsid w:val="00661B01"/>
    <w:rsid w:val="00664126"/>
    <w:rsid w:val="00670A21"/>
    <w:rsid w:val="006C7C71"/>
    <w:rsid w:val="006D4B45"/>
    <w:rsid w:val="007372F6"/>
    <w:rsid w:val="007663BB"/>
    <w:rsid w:val="0079132E"/>
    <w:rsid w:val="007A2FC3"/>
    <w:rsid w:val="007B4016"/>
    <w:rsid w:val="007D0D67"/>
    <w:rsid w:val="007D4930"/>
    <w:rsid w:val="007E1EB7"/>
    <w:rsid w:val="007E3743"/>
    <w:rsid w:val="008247B7"/>
    <w:rsid w:val="00830A03"/>
    <w:rsid w:val="00836844"/>
    <w:rsid w:val="00853BFF"/>
    <w:rsid w:val="008729DA"/>
    <w:rsid w:val="00885763"/>
    <w:rsid w:val="008D5CEF"/>
    <w:rsid w:val="008E6D10"/>
    <w:rsid w:val="00913A7A"/>
    <w:rsid w:val="0091723A"/>
    <w:rsid w:val="009237D6"/>
    <w:rsid w:val="00935144"/>
    <w:rsid w:val="00992B13"/>
    <w:rsid w:val="009A31FB"/>
    <w:rsid w:val="009B0693"/>
    <w:rsid w:val="00A02DE9"/>
    <w:rsid w:val="00A0548C"/>
    <w:rsid w:val="00A214E9"/>
    <w:rsid w:val="00A340C8"/>
    <w:rsid w:val="00A96E33"/>
    <w:rsid w:val="00AA5036"/>
    <w:rsid w:val="00AA7B49"/>
    <w:rsid w:val="00AD4D58"/>
    <w:rsid w:val="00AD6979"/>
    <w:rsid w:val="00AE0862"/>
    <w:rsid w:val="00AE7741"/>
    <w:rsid w:val="00B268D1"/>
    <w:rsid w:val="00B42634"/>
    <w:rsid w:val="00B42D30"/>
    <w:rsid w:val="00B46DA8"/>
    <w:rsid w:val="00B673B9"/>
    <w:rsid w:val="00B8323A"/>
    <w:rsid w:val="00B847E9"/>
    <w:rsid w:val="00B87B73"/>
    <w:rsid w:val="00BA09D6"/>
    <w:rsid w:val="00BB062B"/>
    <w:rsid w:val="00BC73B6"/>
    <w:rsid w:val="00C171AB"/>
    <w:rsid w:val="00C377DE"/>
    <w:rsid w:val="00C605B2"/>
    <w:rsid w:val="00C67C49"/>
    <w:rsid w:val="00C7487E"/>
    <w:rsid w:val="00C767FD"/>
    <w:rsid w:val="00C76CFC"/>
    <w:rsid w:val="00C97F98"/>
    <w:rsid w:val="00CB16F3"/>
    <w:rsid w:val="00CB17EE"/>
    <w:rsid w:val="00CD7DDC"/>
    <w:rsid w:val="00CF5D61"/>
    <w:rsid w:val="00D16FBE"/>
    <w:rsid w:val="00D23C81"/>
    <w:rsid w:val="00D25EB4"/>
    <w:rsid w:val="00D476B7"/>
    <w:rsid w:val="00D7427C"/>
    <w:rsid w:val="00D74C0C"/>
    <w:rsid w:val="00DC3372"/>
    <w:rsid w:val="00DC417F"/>
    <w:rsid w:val="00DF51B6"/>
    <w:rsid w:val="00DF5627"/>
    <w:rsid w:val="00DF6FAD"/>
    <w:rsid w:val="00E7361F"/>
    <w:rsid w:val="00E761D6"/>
    <w:rsid w:val="00E827C8"/>
    <w:rsid w:val="00E8749B"/>
    <w:rsid w:val="00EB1E34"/>
    <w:rsid w:val="00EC275C"/>
    <w:rsid w:val="00EC5F0C"/>
    <w:rsid w:val="00ED0F4A"/>
    <w:rsid w:val="00F21379"/>
    <w:rsid w:val="00F23E16"/>
    <w:rsid w:val="00F57DBD"/>
    <w:rsid w:val="00F66BCE"/>
    <w:rsid w:val="00F8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5443"/>
  <w15:chartTrackingRefBased/>
  <w15:docId w15:val="{CFD89050-9729-4894-846C-E9F31B9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97"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iPriority="3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39" w:unhideWhenUsed="1"/>
    <w:lsdException w:name="index 7" w:semiHidden="1" w:unhideWhenUsed="1"/>
    <w:lsdException w:name="index 8" w:semiHidden="1" w:unhideWhenUsed="1"/>
    <w:lsdException w:name="index 9" w:semiHidden="1" w:uiPriority="3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3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0"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43"/>
    <w:pPr>
      <w:spacing w:after="0"/>
    </w:pPr>
    <w:rPr>
      <w:rFonts w:cs="Times New Roman"/>
      <w:kern w:val="0"/>
      <w:szCs w:val="20"/>
      <w14:ligatures w14:val="none"/>
    </w:rPr>
  </w:style>
  <w:style w:type="paragraph" w:styleId="Heading1">
    <w:name w:val="heading 1"/>
    <w:basedOn w:val="Normal"/>
    <w:link w:val="Heading1Char"/>
    <w:uiPriority w:val="13"/>
    <w:qFormat/>
    <w:rsid w:val="00426CEB"/>
    <w:pPr>
      <w:numPr>
        <w:numId w:val="9"/>
      </w:numPr>
      <w:outlineLvl w:val="0"/>
    </w:pPr>
  </w:style>
  <w:style w:type="paragraph" w:styleId="Heading2">
    <w:name w:val="heading 2"/>
    <w:basedOn w:val="Normal"/>
    <w:link w:val="Heading2Char"/>
    <w:uiPriority w:val="13"/>
    <w:qFormat/>
    <w:rsid w:val="00426CEB"/>
    <w:pPr>
      <w:numPr>
        <w:ilvl w:val="1"/>
        <w:numId w:val="9"/>
      </w:numPr>
      <w:outlineLvl w:val="1"/>
    </w:pPr>
  </w:style>
  <w:style w:type="paragraph" w:styleId="Heading3">
    <w:name w:val="heading 3"/>
    <w:basedOn w:val="Normal"/>
    <w:link w:val="Heading3Char"/>
    <w:uiPriority w:val="13"/>
    <w:qFormat/>
    <w:rsid w:val="00426CEB"/>
    <w:pPr>
      <w:numPr>
        <w:ilvl w:val="2"/>
        <w:numId w:val="9"/>
      </w:numPr>
      <w:outlineLvl w:val="2"/>
    </w:pPr>
  </w:style>
  <w:style w:type="paragraph" w:styleId="Heading4">
    <w:name w:val="heading 4"/>
    <w:basedOn w:val="Normal"/>
    <w:link w:val="Heading4Char"/>
    <w:uiPriority w:val="13"/>
    <w:qFormat/>
    <w:rsid w:val="00426CEB"/>
    <w:pPr>
      <w:numPr>
        <w:ilvl w:val="3"/>
        <w:numId w:val="9"/>
      </w:numPr>
      <w:outlineLvl w:val="3"/>
    </w:pPr>
  </w:style>
  <w:style w:type="paragraph" w:styleId="Heading5">
    <w:name w:val="heading 5"/>
    <w:basedOn w:val="Normal"/>
    <w:link w:val="Heading5Char"/>
    <w:uiPriority w:val="13"/>
    <w:qFormat/>
    <w:rsid w:val="00426CEB"/>
    <w:pPr>
      <w:numPr>
        <w:ilvl w:val="4"/>
        <w:numId w:val="9"/>
      </w:numPr>
      <w:outlineLvl w:val="4"/>
    </w:pPr>
  </w:style>
  <w:style w:type="paragraph" w:styleId="Heading6">
    <w:name w:val="heading 6"/>
    <w:basedOn w:val="Normal"/>
    <w:link w:val="Heading6Char"/>
    <w:uiPriority w:val="13"/>
    <w:qFormat/>
    <w:rsid w:val="00426CEB"/>
    <w:pPr>
      <w:numPr>
        <w:ilvl w:val="5"/>
        <w:numId w:val="9"/>
      </w:numPr>
      <w:outlineLvl w:val="5"/>
    </w:pPr>
  </w:style>
  <w:style w:type="paragraph" w:styleId="Heading7">
    <w:name w:val="heading 7"/>
    <w:basedOn w:val="Normal"/>
    <w:link w:val="Heading7Char"/>
    <w:uiPriority w:val="13"/>
    <w:semiHidden/>
    <w:qFormat/>
    <w:rsid w:val="00426CEB"/>
    <w:pPr>
      <w:numPr>
        <w:ilvl w:val="6"/>
        <w:numId w:val="9"/>
      </w:numPr>
      <w:outlineLvl w:val="6"/>
    </w:pPr>
  </w:style>
  <w:style w:type="paragraph" w:styleId="Heading8">
    <w:name w:val="heading 8"/>
    <w:basedOn w:val="Normal"/>
    <w:link w:val="Heading8Char"/>
    <w:uiPriority w:val="13"/>
    <w:semiHidden/>
    <w:qFormat/>
    <w:rsid w:val="00426CEB"/>
    <w:pPr>
      <w:numPr>
        <w:ilvl w:val="7"/>
        <w:numId w:val="9"/>
      </w:numPr>
      <w:outlineLvl w:val="7"/>
    </w:pPr>
  </w:style>
  <w:style w:type="paragraph" w:styleId="Heading9">
    <w:name w:val="heading 9"/>
    <w:basedOn w:val="Normal"/>
    <w:link w:val="Heading9Char"/>
    <w:uiPriority w:val="13"/>
    <w:semiHidden/>
    <w:qFormat/>
    <w:rsid w:val="00426CEB"/>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sigline">
    <w:name w:val="3/3sigline"/>
    <w:basedOn w:val="Normal"/>
    <w:uiPriority w:val="50"/>
    <w:rsid w:val="00426CEB"/>
    <w:pPr>
      <w:keepNext/>
      <w:tabs>
        <w:tab w:val="right" w:pos="8640"/>
      </w:tabs>
      <w:ind w:left="4320"/>
    </w:pPr>
    <w:rPr>
      <w:u w:val="single"/>
    </w:rPr>
  </w:style>
  <w:style w:type="paragraph" w:customStyle="1" w:styleId="33signature">
    <w:name w:val="3/3signature"/>
    <w:basedOn w:val="Normal"/>
    <w:uiPriority w:val="50"/>
    <w:rsid w:val="00426CEB"/>
    <w:pPr>
      <w:ind w:left="4320"/>
    </w:pPr>
  </w:style>
  <w:style w:type="paragraph" w:styleId="BlockText">
    <w:name w:val="Block Text"/>
    <w:basedOn w:val="Normal"/>
    <w:uiPriority w:val="12"/>
    <w:qFormat/>
    <w:rsid w:val="00426CEB"/>
    <w:pPr>
      <w:ind w:left="1440" w:right="1440"/>
    </w:pPr>
  </w:style>
  <w:style w:type="paragraph" w:customStyle="1" w:styleId="BodyDS">
    <w:name w:val="Body DS"/>
    <w:basedOn w:val="Normal"/>
    <w:link w:val="BodyDSChar"/>
    <w:uiPriority w:val="4"/>
    <w:qFormat/>
    <w:rsid w:val="00426CEB"/>
    <w:pPr>
      <w:spacing w:line="480" w:lineRule="auto"/>
    </w:pPr>
  </w:style>
  <w:style w:type="paragraph" w:customStyle="1" w:styleId="BodyFirst5DS">
    <w:name w:val="Body First .5 DS"/>
    <w:basedOn w:val="Normal"/>
    <w:uiPriority w:val="9"/>
    <w:qFormat/>
    <w:rsid w:val="00426CEB"/>
    <w:pPr>
      <w:spacing w:line="480" w:lineRule="auto"/>
      <w:ind w:firstLine="720"/>
    </w:pPr>
  </w:style>
  <w:style w:type="paragraph" w:customStyle="1" w:styleId="BodyFirst5SS">
    <w:name w:val="Body First .5 SS"/>
    <w:basedOn w:val="Normal"/>
    <w:uiPriority w:val="8"/>
    <w:qFormat/>
    <w:rsid w:val="00426CEB"/>
    <w:pPr>
      <w:ind w:firstLine="720"/>
    </w:pPr>
  </w:style>
  <w:style w:type="paragraph" w:customStyle="1" w:styleId="BodyFirst1DS">
    <w:name w:val="Body First 1 DS"/>
    <w:basedOn w:val="Normal"/>
    <w:uiPriority w:val="11"/>
    <w:qFormat/>
    <w:rsid w:val="00426CEB"/>
    <w:pPr>
      <w:spacing w:line="480" w:lineRule="auto"/>
      <w:ind w:firstLine="1440"/>
    </w:pPr>
  </w:style>
  <w:style w:type="paragraph" w:customStyle="1" w:styleId="BodyFirst1SS">
    <w:name w:val="Body First 1 SS"/>
    <w:basedOn w:val="Normal"/>
    <w:uiPriority w:val="10"/>
    <w:qFormat/>
    <w:rsid w:val="00426CEB"/>
    <w:pPr>
      <w:ind w:firstLine="1440"/>
    </w:pPr>
  </w:style>
  <w:style w:type="paragraph" w:customStyle="1" w:styleId="BodyNS">
    <w:name w:val="Body NS"/>
    <w:basedOn w:val="Normal"/>
    <w:link w:val="BodyNSChar"/>
    <w:uiPriority w:val="2"/>
    <w:rsid w:val="00426CEB"/>
  </w:style>
  <w:style w:type="paragraph" w:customStyle="1" w:styleId="BodySS">
    <w:name w:val="Body SS"/>
    <w:basedOn w:val="Normal"/>
    <w:link w:val="BodySSChar"/>
    <w:uiPriority w:val="3"/>
    <w:qFormat/>
    <w:rsid w:val="00426CEB"/>
  </w:style>
  <w:style w:type="paragraph" w:styleId="BodyText">
    <w:name w:val="Body Text"/>
    <w:basedOn w:val="Normal"/>
    <w:link w:val="BodyTextChar"/>
    <w:uiPriority w:val="99"/>
    <w:semiHidden/>
    <w:rsid w:val="00426CEB"/>
  </w:style>
  <w:style w:type="character" w:customStyle="1" w:styleId="BodyTextChar">
    <w:name w:val="Body Text Char"/>
    <w:basedOn w:val="DefaultParagraphFont"/>
    <w:link w:val="BodyText"/>
    <w:uiPriority w:val="99"/>
    <w:semiHidden/>
    <w:rsid w:val="00426CEB"/>
    <w:rPr>
      <w:rFonts w:eastAsia="Times New Roman" w:cs="Times New Roman"/>
    </w:rPr>
  </w:style>
  <w:style w:type="paragraph" w:styleId="BodyText2">
    <w:name w:val="Body Text 2"/>
    <w:basedOn w:val="Normal"/>
    <w:link w:val="BodyText2Char"/>
    <w:uiPriority w:val="99"/>
    <w:semiHidden/>
    <w:rsid w:val="00426CEB"/>
    <w:pPr>
      <w:spacing w:line="480" w:lineRule="auto"/>
      <w:contextualSpacing/>
    </w:pPr>
  </w:style>
  <w:style w:type="character" w:customStyle="1" w:styleId="BodyText2Char">
    <w:name w:val="Body Text 2 Char"/>
    <w:basedOn w:val="DefaultParagraphFont"/>
    <w:link w:val="BodyText2"/>
    <w:uiPriority w:val="99"/>
    <w:semiHidden/>
    <w:rsid w:val="00426CEB"/>
    <w:rPr>
      <w:rFonts w:eastAsia="Times New Roman" w:cs="Times New Roman"/>
    </w:rPr>
  </w:style>
  <w:style w:type="paragraph" w:styleId="BodyText3">
    <w:name w:val="Body Text 3"/>
    <w:basedOn w:val="Normal"/>
    <w:link w:val="BodyText3Char"/>
    <w:uiPriority w:val="99"/>
    <w:semiHidden/>
    <w:rsid w:val="00426CEB"/>
    <w:pPr>
      <w:spacing w:line="480" w:lineRule="exact"/>
      <w:contextualSpacing/>
    </w:pPr>
  </w:style>
  <w:style w:type="character" w:customStyle="1" w:styleId="BodyText3Char">
    <w:name w:val="Body Text 3 Char"/>
    <w:basedOn w:val="DefaultParagraphFont"/>
    <w:link w:val="BodyText3"/>
    <w:uiPriority w:val="99"/>
    <w:semiHidden/>
    <w:rsid w:val="00426CEB"/>
    <w:rPr>
      <w:rFonts w:eastAsia="Times New Roman" w:cs="Times New Roman"/>
    </w:rPr>
  </w:style>
  <w:style w:type="paragraph" w:styleId="BodyTextFirstIndent">
    <w:name w:val="Body Text First Indent"/>
    <w:basedOn w:val="BodyText"/>
    <w:link w:val="BodyTextFirstIndentChar"/>
    <w:uiPriority w:val="99"/>
    <w:rsid w:val="00426CEB"/>
    <w:pPr>
      <w:ind w:firstLine="720"/>
    </w:pPr>
  </w:style>
  <w:style w:type="character" w:customStyle="1" w:styleId="BodyTextFirstIndentChar">
    <w:name w:val="Body Text First Indent Char"/>
    <w:basedOn w:val="BodyTextChar"/>
    <w:link w:val="BodyTextFirstIndent"/>
    <w:uiPriority w:val="99"/>
    <w:rsid w:val="00426CEB"/>
    <w:rPr>
      <w:rFonts w:eastAsia="Times New Roman" w:cs="Times New Roman"/>
    </w:rPr>
  </w:style>
  <w:style w:type="paragraph" w:styleId="BodyTextIndent">
    <w:name w:val="Body Text Indent"/>
    <w:basedOn w:val="Normal"/>
    <w:link w:val="BodyTextIndentChar"/>
    <w:uiPriority w:val="99"/>
    <w:semiHidden/>
    <w:rsid w:val="00426CEB"/>
    <w:pPr>
      <w:spacing w:after="120"/>
      <w:ind w:left="360"/>
    </w:pPr>
  </w:style>
  <w:style w:type="character" w:customStyle="1" w:styleId="BodyTextIndentChar">
    <w:name w:val="Body Text Indent Char"/>
    <w:basedOn w:val="DefaultParagraphFont"/>
    <w:link w:val="BodyTextIndent"/>
    <w:uiPriority w:val="99"/>
    <w:semiHidden/>
    <w:rsid w:val="00426CEB"/>
    <w:rPr>
      <w:rFonts w:eastAsia="Times New Roman" w:cs="Times New Roman"/>
    </w:rPr>
  </w:style>
  <w:style w:type="paragraph" w:styleId="BodyTextFirstIndent2">
    <w:name w:val="Body Text First Indent 2"/>
    <w:basedOn w:val="BodyTextIndent"/>
    <w:link w:val="BodyTextFirstIndent2Char"/>
    <w:uiPriority w:val="99"/>
    <w:semiHidden/>
    <w:rsid w:val="00426CEB"/>
    <w:pPr>
      <w:spacing w:after="240" w:line="480" w:lineRule="auto"/>
      <w:ind w:left="0" w:firstLine="720"/>
      <w:contextualSpacing/>
    </w:pPr>
  </w:style>
  <w:style w:type="character" w:customStyle="1" w:styleId="BodyTextFirstIndent2Char">
    <w:name w:val="Body Text First Indent 2 Char"/>
    <w:basedOn w:val="BodyTextIndentChar"/>
    <w:link w:val="BodyTextFirstIndent2"/>
    <w:uiPriority w:val="99"/>
    <w:semiHidden/>
    <w:rsid w:val="00426CEB"/>
    <w:rPr>
      <w:rFonts w:eastAsia="Times New Roman" w:cs="Times New Roman"/>
    </w:rPr>
  </w:style>
  <w:style w:type="paragraph" w:customStyle="1" w:styleId="FlushRight">
    <w:name w:val="Flush Right"/>
    <w:basedOn w:val="Normal"/>
    <w:next w:val="Normal"/>
    <w:uiPriority w:val="48"/>
    <w:rsid w:val="00426CEB"/>
    <w:pPr>
      <w:jc w:val="right"/>
    </w:pPr>
  </w:style>
  <w:style w:type="paragraph" w:styleId="Footer">
    <w:name w:val="footer"/>
    <w:basedOn w:val="Normal"/>
    <w:link w:val="FooterChar"/>
    <w:uiPriority w:val="99"/>
    <w:semiHidden/>
    <w:rsid w:val="00426CEB"/>
    <w:pPr>
      <w:tabs>
        <w:tab w:val="center" w:pos="4320"/>
        <w:tab w:val="right" w:pos="8640"/>
      </w:tabs>
    </w:pPr>
  </w:style>
  <w:style w:type="character" w:customStyle="1" w:styleId="FooterChar">
    <w:name w:val="Footer Char"/>
    <w:basedOn w:val="DefaultParagraphFont"/>
    <w:link w:val="Footer"/>
    <w:uiPriority w:val="99"/>
    <w:semiHidden/>
    <w:rsid w:val="00426CEB"/>
    <w:rPr>
      <w:rFonts w:eastAsia="Times New Roman" w:cs="Times New Roman"/>
    </w:rPr>
  </w:style>
  <w:style w:type="paragraph" w:styleId="Header">
    <w:name w:val="header"/>
    <w:basedOn w:val="Normal"/>
    <w:link w:val="HeaderChar"/>
    <w:uiPriority w:val="99"/>
    <w:semiHidden/>
    <w:rsid w:val="00426CEB"/>
    <w:pPr>
      <w:tabs>
        <w:tab w:val="center" w:pos="4320"/>
        <w:tab w:val="right" w:pos="8640"/>
      </w:tabs>
    </w:pPr>
  </w:style>
  <w:style w:type="character" w:customStyle="1" w:styleId="HeaderChar">
    <w:name w:val="Header Char"/>
    <w:basedOn w:val="DefaultParagraphFont"/>
    <w:link w:val="Header"/>
    <w:uiPriority w:val="99"/>
    <w:semiHidden/>
    <w:rsid w:val="00426CEB"/>
    <w:rPr>
      <w:rFonts w:eastAsia="Times New Roman" w:cs="Times New Roman"/>
    </w:rPr>
  </w:style>
  <w:style w:type="character" w:customStyle="1" w:styleId="Heading1Char">
    <w:name w:val="Heading 1 Char"/>
    <w:basedOn w:val="DefaultParagraphFont"/>
    <w:link w:val="Heading1"/>
    <w:uiPriority w:val="13"/>
    <w:rsid w:val="00426CEB"/>
    <w:rPr>
      <w:rFonts w:eastAsia="Times New Roman" w:cs="Times New Roman"/>
    </w:rPr>
  </w:style>
  <w:style w:type="character" w:customStyle="1" w:styleId="Heading2Char">
    <w:name w:val="Heading 2 Char"/>
    <w:basedOn w:val="DefaultParagraphFont"/>
    <w:link w:val="Heading2"/>
    <w:uiPriority w:val="13"/>
    <w:rsid w:val="00426CEB"/>
    <w:rPr>
      <w:rFonts w:eastAsia="Times New Roman" w:cs="Times New Roman"/>
      <w:szCs w:val="20"/>
    </w:rPr>
  </w:style>
  <w:style w:type="character" w:customStyle="1" w:styleId="Heading3Char">
    <w:name w:val="Heading 3 Char"/>
    <w:basedOn w:val="DefaultParagraphFont"/>
    <w:link w:val="Heading3"/>
    <w:uiPriority w:val="13"/>
    <w:rsid w:val="00426CEB"/>
    <w:rPr>
      <w:rFonts w:eastAsia="Times New Roman" w:cs="Times New Roman"/>
    </w:rPr>
  </w:style>
  <w:style w:type="character" w:customStyle="1" w:styleId="Heading4Char">
    <w:name w:val="Heading 4 Char"/>
    <w:basedOn w:val="DefaultParagraphFont"/>
    <w:link w:val="Heading4"/>
    <w:uiPriority w:val="13"/>
    <w:rsid w:val="00426CEB"/>
    <w:rPr>
      <w:rFonts w:eastAsia="Times New Roman" w:cs="Times New Roman"/>
      <w:szCs w:val="20"/>
    </w:rPr>
  </w:style>
  <w:style w:type="character" w:customStyle="1" w:styleId="Heading5Char">
    <w:name w:val="Heading 5 Char"/>
    <w:basedOn w:val="DefaultParagraphFont"/>
    <w:link w:val="Heading5"/>
    <w:uiPriority w:val="13"/>
    <w:rsid w:val="00426CEB"/>
    <w:rPr>
      <w:rFonts w:eastAsia="Times New Roman" w:cs="Times New Roman"/>
    </w:rPr>
  </w:style>
  <w:style w:type="character" w:customStyle="1" w:styleId="Heading6Char">
    <w:name w:val="Heading 6 Char"/>
    <w:basedOn w:val="DefaultParagraphFont"/>
    <w:link w:val="Heading6"/>
    <w:uiPriority w:val="13"/>
    <w:rsid w:val="00426CEB"/>
    <w:rPr>
      <w:rFonts w:eastAsia="Times New Roman" w:cs="Times New Roman"/>
      <w:szCs w:val="20"/>
    </w:rPr>
  </w:style>
  <w:style w:type="character" w:customStyle="1" w:styleId="Heading7Char">
    <w:name w:val="Heading 7 Char"/>
    <w:basedOn w:val="DefaultParagraphFont"/>
    <w:link w:val="Heading7"/>
    <w:uiPriority w:val="13"/>
    <w:semiHidden/>
    <w:rsid w:val="00426CEB"/>
    <w:rPr>
      <w:rFonts w:eastAsia="Times New Roman" w:cs="Times New Roman"/>
    </w:rPr>
  </w:style>
  <w:style w:type="character" w:customStyle="1" w:styleId="Heading8Char">
    <w:name w:val="Heading 8 Char"/>
    <w:basedOn w:val="DefaultParagraphFont"/>
    <w:link w:val="Heading8"/>
    <w:uiPriority w:val="13"/>
    <w:semiHidden/>
    <w:rsid w:val="00426CEB"/>
    <w:rPr>
      <w:rFonts w:eastAsia="Times New Roman" w:cs="Times New Roman"/>
      <w:szCs w:val="20"/>
    </w:rPr>
  </w:style>
  <w:style w:type="character" w:customStyle="1" w:styleId="Heading9Char">
    <w:name w:val="Heading 9 Char"/>
    <w:basedOn w:val="DefaultParagraphFont"/>
    <w:link w:val="Heading9"/>
    <w:uiPriority w:val="13"/>
    <w:semiHidden/>
    <w:rsid w:val="00426CEB"/>
    <w:rPr>
      <w:rFonts w:eastAsia="Times New Roman" w:cs="Times New Roman"/>
      <w:szCs w:val="20"/>
    </w:rPr>
  </w:style>
  <w:style w:type="paragraph" w:styleId="Index1">
    <w:name w:val="index 1"/>
    <w:basedOn w:val="Normal"/>
    <w:next w:val="Normal"/>
    <w:autoRedefine/>
    <w:uiPriority w:val="99"/>
    <w:semiHidden/>
    <w:rsid w:val="00426CEB"/>
    <w:pPr>
      <w:ind w:left="240" w:hanging="240"/>
    </w:pPr>
  </w:style>
  <w:style w:type="paragraph" w:styleId="Index6">
    <w:name w:val="index 6"/>
    <w:basedOn w:val="Normal"/>
    <w:next w:val="Normal"/>
    <w:autoRedefine/>
    <w:uiPriority w:val="99"/>
    <w:semiHidden/>
    <w:rsid w:val="00426CEB"/>
    <w:pPr>
      <w:ind w:left="1440" w:hanging="240"/>
    </w:pPr>
  </w:style>
  <w:style w:type="paragraph" w:styleId="Index9">
    <w:name w:val="index 9"/>
    <w:basedOn w:val="Normal"/>
    <w:next w:val="Normal"/>
    <w:autoRedefine/>
    <w:uiPriority w:val="99"/>
    <w:semiHidden/>
    <w:rsid w:val="00426CEB"/>
    <w:pPr>
      <w:ind w:left="2160" w:hanging="240"/>
    </w:pPr>
  </w:style>
  <w:style w:type="paragraph" w:styleId="IndexHeading">
    <w:name w:val="index heading"/>
    <w:basedOn w:val="Normal"/>
    <w:next w:val="Index1"/>
    <w:uiPriority w:val="99"/>
    <w:semiHidden/>
    <w:rsid w:val="00426CEB"/>
    <w:rPr>
      <w:rFonts w:eastAsiaTheme="majorEastAsia" w:cstheme="majorBidi"/>
      <w:b/>
      <w:bCs/>
    </w:rPr>
  </w:style>
  <w:style w:type="paragraph" w:customStyle="1" w:styleId="notary">
    <w:name w:val="notary"/>
    <w:basedOn w:val="Normal"/>
    <w:uiPriority w:val="20"/>
    <w:rsid w:val="00426CEB"/>
    <w:pPr>
      <w:tabs>
        <w:tab w:val="center" w:pos="1800"/>
        <w:tab w:val="center" w:pos="6480"/>
      </w:tabs>
    </w:pPr>
  </w:style>
  <w:style w:type="character" w:styleId="PageNumber">
    <w:name w:val="page number"/>
    <w:basedOn w:val="DefaultParagraphFont"/>
    <w:uiPriority w:val="99"/>
    <w:semiHidden/>
    <w:rsid w:val="00426CEB"/>
  </w:style>
  <w:style w:type="paragraph" w:customStyle="1" w:styleId="SignatureTitles">
    <w:name w:val="Signature Titles"/>
    <w:basedOn w:val="Normal"/>
    <w:uiPriority w:val="49"/>
    <w:rsid w:val="00426CEB"/>
    <w:pPr>
      <w:ind w:left="4320"/>
    </w:pPr>
  </w:style>
  <w:style w:type="paragraph" w:styleId="Subtitle">
    <w:name w:val="Subtitle"/>
    <w:basedOn w:val="Normal"/>
    <w:next w:val="Normal"/>
    <w:link w:val="SubtitleChar"/>
    <w:uiPriority w:val="16"/>
    <w:qFormat/>
    <w:rsid w:val="00426CEB"/>
    <w:pPr>
      <w:numPr>
        <w:ilvl w:val="1"/>
      </w:numPr>
    </w:pPr>
    <w:rPr>
      <w:i/>
      <w:iCs/>
      <w:spacing w:val="15"/>
    </w:rPr>
  </w:style>
  <w:style w:type="character" w:customStyle="1" w:styleId="SubtitleChar">
    <w:name w:val="Subtitle Char"/>
    <w:basedOn w:val="DefaultParagraphFont"/>
    <w:link w:val="Subtitle"/>
    <w:uiPriority w:val="16"/>
    <w:rsid w:val="00426CEB"/>
    <w:rPr>
      <w:rFonts w:eastAsia="Times New Roman" w:cs="Times New Roman"/>
      <w:i/>
      <w:iCs/>
      <w:spacing w:val="15"/>
    </w:rPr>
  </w:style>
  <w:style w:type="paragraph" w:styleId="Title">
    <w:name w:val="Title"/>
    <w:basedOn w:val="Normal"/>
    <w:link w:val="TitleChar"/>
    <w:uiPriority w:val="15"/>
    <w:qFormat/>
    <w:rsid w:val="00426CEB"/>
    <w:pPr>
      <w:jc w:val="center"/>
    </w:pPr>
    <w:rPr>
      <w:rFonts w:cs="Arial"/>
      <w:b/>
      <w:bCs/>
      <w:kern w:val="28"/>
    </w:rPr>
  </w:style>
  <w:style w:type="character" w:customStyle="1" w:styleId="TitleChar">
    <w:name w:val="Title Char"/>
    <w:basedOn w:val="DefaultParagraphFont"/>
    <w:link w:val="Title"/>
    <w:uiPriority w:val="15"/>
    <w:rsid w:val="00426CEB"/>
    <w:rPr>
      <w:rFonts w:eastAsia="Times New Roman" w:cs="Arial"/>
      <w:b/>
      <w:bCs/>
      <w:kern w:val="28"/>
    </w:rPr>
  </w:style>
  <w:style w:type="paragraph" w:customStyle="1" w:styleId="TitleCenter">
    <w:name w:val="Title Center"/>
    <w:basedOn w:val="Normal"/>
    <w:next w:val="Normal"/>
    <w:link w:val="TitleCenterChar"/>
    <w:uiPriority w:val="14"/>
    <w:qFormat/>
    <w:rsid w:val="00426CEB"/>
    <w:pPr>
      <w:keepNext/>
      <w:jc w:val="center"/>
    </w:pPr>
    <w:rPr>
      <w:b/>
      <w:caps/>
      <w:u w:val="single"/>
    </w:rPr>
  </w:style>
  <w:style w:type="paragraph" w:customStyle="1" w:styleId="TitleCenterAllCaps">
    <w:name w:val="Title Center All Caps"/>
    <w:basedOn w:val="Normal"/>
    <w:next w:val="Normal"/>
    <w:link w:val="TitleCenterAllCapsChar"/>
    <w:uiPriority w:val="14"/>
    <w:qFormat/>
    <w:rsid w:val="00426CEB"/>
    <w:pPr>
      <w:keepNext/>
      <w:jc w:val="center"/>
    </w:pPr>
    <w:rPr>
      <w:b/>
      <w:caps/>
    </w:rPr>
  </w:style>
  <w:style w:type="paragraph" w:customStyle="1" w:styleId="TitleLeft">
    <w:name w:val="Title Left"/>
    <w:basedOn w:val="Normal"/>
    <w:link w:val="TitleLeftChar"/>
    <w:uiPriority w:val="15"/>
    <w:qFormat/>
    <w:rsid w:val="00426CEB"/>
    <w:pPr>
      <w:keepNext/>
    </w:pPr>
    <w:rPr>
      <w:b/>
    </w:rPr>
  </w:style>
  <w:style w:type="paragraph" w:styleId="TOAHeading">
    <w:name w:val="toa heading"/>
    <w:basedOn w:val="Normal"/>
    <w:next w:val="Normal"/>
    <w:uiPriority w:val="99"/>
    <w:semiHidden/>
    <w:rsid w:val="00426CEB"/>
    <w:pPr>
      <w:spacing w:before="120"/>
    </w:pPr>
    <w:rPr>
      <w:rFonts w:eastAsiaTheme="majorEastAsia" w:cstheme="majorBidi"/>
      <w:b/>
      <w:bCs/>
    </w:rPr>
  </w:style>
  <w:style w:type="character" w:customStyle="1" w:styleId="TitleLeftChar">
    <w:name w:val="Title Left Char"/>
    <w:basedOn w:val="DefaultParagraphFont"/>
    <w:link w:val="TitleLeft"/>
    <w:uiPriority w:val="15"/>
    <w:rsid w:val="00AA5036"/>
    <w:rPr>
      <w:rFonts w:eastAsia="Times New Roman" w:cs="Times New Roman"/>
      <w:b/>
    </w:rPr>
  </w:style>
  <w:style w:type="character" w:customStyle="1" w:styleId="TitleCenterChar">
    <w:name w:val="Title Center Char"/>
    <w:basedOn w:val="DefaultParagraphFont"/>
    <w:link w:val="TitleCenter"/>
    <w:uiPriority w:val="14"/>
    <w:rsid w:val="00AA5036"/>
    <w:rPr>
      <w:rFonts w:eastAsia="Times New Roman" w:cs="Times New Roman"/>
      <w:b/>
      <w:caps/>
      <w:u w:val="single"/>
    </w:rPr>
  </w:style>
  <w:style w:type="character" w:customStyle="1" w:styleId="TitleCenterAllCapsChar">
    <w:name w:val="Title Center All Caps Char"/>
    <w:basedOn w:val="DefaultParagraphFont"/>
    <w:link w:val="TitleCenterAllCaps"/>
    <w:uiPriority w:val="14"/>
    <w:rsid w:val="00AA5036"/>
    <w:rPr>
      <w:rFonts w:eastAsia="Times New Roman" w:cs="Times New Roman"/>
      <w:b/>
      <w:caps/>
    </w:rPr>
  </w:style>
  <w:style w:type="character" w:customStyle="1" w:styleId="BodyNSChar">
    <w:name w:val="Body NS Char"/>
    <w:basedOn w:val="DefaultParagraphFont"/>
    <w:link w:val="BodyNS"/>
    <w:uiPriority w:val="2"/>
    <w:rsid w:val="003F63B8"/>
    <w:rPr>
      <w:rFonts w:eastAsia="Times New Roman" w:cs="Times New Roman"/>
    </w:rPr>
  </w:style>
  <w:style w:type="character" w:customStyle="1" w:styleId="BodySSChar">
    <w:name w:val="Body SS Char"/>
    <w:basedOn w:val="DefaultParagraphFont"/>
    <w:link w:val="BodySS"/>
    <w:uiPriority w:val="3"/>
    <w:rsid w:val="003F63B8"/>
    <w:rPr>
      <w:rFonts w:eastAsia="Times New Roman" w:cs="Times New Roman"/>
    </w:rPr>
  </w:style>
  <w:style w:type="character" w:customStyle="1" w:styleId="BodyDSChar">
    <w:name w:val="Body DS Char"/>
    <w:basedOn w:val="DefaultParagraphFont"/>
    <w:link w:val="BodyDS"/>
    <w:uiPriority w:val="4"/>
    <w:rsid w:val="003F63B8"/>
    <w:rPr>
      <w:rFonts w:eastAsia="Times New Roman" w:cs="Times New Roman"/>
    </w:rPr>
  </w:style>
  <w:style w:type="table" w:styleId="TableGrid">
    <w:name w:val="Table Grid"/>
    <w:basedOn w:val="TableNormal"/>
    <w:rsid w:val="007E37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blStylePr>
  </w:style>
  <w:style w:type="paragraph" w:styleId="ListParagraph">
    <w:name w:val="List Paragraph"/>
    <w:basedOn w:val="Normal"/>
    <w:uiPriority w:val="34"/>
    <w:qFormat/>
    <w:rsid w:val="003F63B8"/>
    <w:pPr>
      <w:ind w:left="720"/>
      <w:contextualSpacing/>
    </w:pPr>
  </w:style>
  <w:style w:type="paragraph" w:customStyle="1" w:styleId="Bullet1">
    <w:name w:val="Bullet 1"/>
    <w:basedOn w:val="Normal"/>
    <w:link w:val="Bullet1Char"/>
    <w:uiPriority w:val="17"/>
    <w:qFormat/>
    <w:rsid w:val="000B4C09"/>
    <w:pPr>
      <w:numPr>
        <w:numId w:val="10"/>
      </w:numPr>
      <w:jc w:val="both"/>
      <w:outlineLvl w:val="0"/>
    </w:pPr>
    <w:rPr>
      <w:rFonts w:cstheme="minorBidi"/>
    </w:rPr>
  </w:style>
  <w:style w:type="character" w:customStyle="1" w:styleId="Bullet1Char">
    <w:name w:val="Bullet 1 Char"/>
    <w:link w:val="Bullet1"/>
    <w:uiPriority w:val="17"/>
    <w:rsid w:val="0079132E"/>
    <w:rPr>
      <w:rFonts w:eastAsia="Times New Roman"/>
      <w:szCs w:val="20"/>
    </w:rPr>
  </w:style>
  <w:style w:type="paragraph" w:customStyle="1" w:styleId="Bullet2">
    <w:name w:val="Bullet 2"/>
    <w:basedOn w:val="Bullet1"/>
    <w:link w:val="Bullet2Char"/>
    <w:uiPriority w:val="17"/>
    <w:qFormat/>
    <w:rsid w:val="000B4C09"/>
    <w:pPr>
      <w:numPr>
        <w:ilvl w:val="1"/>
      </w:numPr>
      <w:outlineLvl w:val="1"/>
    </w:pPr>
  </w:style>
  <w:style w:type="character" w:customStyle="1" w:styleId="Bullet2Char">
    <w:name w:val="Bullet 2 Char"/>
    <w:link w:val="Bullet2"/>
    <w:uiPriority w:val="17"/>
    <w:rsid w:val="005D2DD5"/>
    <w:rPr>
      <w:rFonts w:eastAsia="Times New Roman"/>
      <w:szCs w:val="20"/>
    </w:rPr>
  </w:style>
  <w:style w:type="paragraph" w:customStyle="1" w:styleId="Bullet3">
    <w:name w:val="Bullet 3"/>
    <w:basedOn w:val="Bullet2"/>
    <w:link w:val="Bullet3Char"/>
    <w:uiPriority w:val="17"/>
    <w:qFormat/>
    <w:rsid w:val="000B4C09"/>
    <w:pPr>
      <w:numPr>
        <w:ilvl w:val="2"/>
      </w:numPr>
      <w:outlineLvl w:val="2"/>
    </w:pPr>
  </w:style>
  <w:style w:type="character" w:customStyle="1" w:styleId="Bullet3Char">
    <w:name w:val="Bullet 3 Char"/>
    <w:link w:val="Bullet3"/>
    <w:uiPriority w:val="17"/>
    <w:rsid w:val="005D2DD5"/>
    <w:rPr>
      <w:rFonts w:eastAsia="Times New Roman"/>
      <w:szCs w:val="20"/>
    </w:rPr>
  </w:style>
  <w:style w:type="paragraph" w:customStyle="1" w:styleId="Bullet4">
    <w:name w:val="Bullet 4"/>
    <w:basedOn w:val="Bullet3"/>
    <w:link w:val="Bullet4Char"/>
    <w:uiPriority w:val="17"/>
    <w:semiHidden/>
    <w:rsid w:val="000B4C09"/>
    <w:pPr>
      <w:numPr>
        <w:ilvl w:val="3"/>
      </w:numPr>
      <w:outlineLvl w:val="3"/>
    </w:pPr>
  </w:style>
  <w:style w:type="character" w:customStyle="1" w:styleId="Bullet4Char">
    <w:name w:val="Bullet 4 Char"/>
    <w:link w:val="Bullet4"/>
    <w:uiPriority w:val="17"/>
    <w:semiHidden/>
    <w:rsid w:val="0079132E"/>
    <w:rPr>
      <w:rFonts w:eastAsia="Times New Roman"/>
      <w:szCs w:val="20"/>
    </w:rPr>
  </w:style>
  <w:style w:type="paragraph" w:customStyle="1" w:styleId="Bullet5">
    <w:name w:val="Bullet 5"/>
    <w:basedOn w:val="Bullet4"/>
    <w:link w:val="Bullet5Char"/>
    <w:uiPriority w:val="17"/>
    <w:semiHidden/>
    <w:rsid w:val="000B4C09"/>
    <w:pPr>
      <w:numPr>
        <w:ilvl w:val="4"/>
      </w:numPr>
      <w:outlineLvl w:val="4"/>
    </w:pPr>
  </w:style>
  <w:style w:type="character" w:customStyle="1" w:styleId="Bullet5Char">
    <w:name w:val="Bullet 5 Char"/>
    <w:link w:val="Bullet5"/>
    <w:uiPriority w:val="17"/>
    <w:semiHidden/>
    <w:rsid w:val="0079132E"/>
    <w:rPr>
      <w:rFonts w:eastAsia="Times New Roman"/>
      <w:szCs w:val="20"/>
    </w:rPr>
  </w:style>
  <w:style w:type="paragraph" w:customStyle="1" w:styleId="Number1">
    <w:name w:val="Number 1"/>
    <w:basedOn w:val="Normal"/>
    <w:link w:val="Number1Char"/>
    <w:uiPriority w:val="17"/>
    <w:qFormat/>
    <w:rsid w:val="00563824"/>
    <w:pPr>
      <w:numPr>
        <w:numId w:val="11"/>
      </w:numPr>
      <w:jc w:val="both"/>
    </w:pPr>
  </w:style>
  <w:style w:type="character" w:customStyle="1" w:styleId="Number1Char">
    <w:name w:val="Number 1 Char"/>
    <w:link w:val="Number1"/>
    <w:uiPriority w:val="17"/>
    <w:rsid w:val="00BB062B"/>
    <w:rPr>
      <w:rFonts w:eastAsia="Times New Roman" w:cs="Times New Roman"/>
      <w:szCs w:val="20"/>
    </w:rPr>
  </w:style>
  <w:style w:type="paragraph" w:customStyle="1" w:styleId="Number2">
    <w:name w:val="Number 2"/>
    <w:basedOn w:val="Number1"/>
    <w:link w:val="Number2Char"/>
    <w:uiPriority w:val="17"/>
    <w:qFormat/>
    <w:rsid w:val="00563824"/>
    <w:pPr>
      <w:numPr>
        <w:ilvl w:val="1"/>
      </w:numPr>
    </w:pPr>
  </w:style>
  <w:style w:type="character" w:customStyle="1" w:styleId="Number2Char">
    <w:name w:val="Number 2 Char"/>
    <w:link w:val="Number2"/>
    <w:uiPriority w:val="17"/>
    <w:rsid w:val="005D2DD5"/>
    <w:rPr>
      <w:rFonts w:eastAsia="Times New Roman" w:cs="Times New Roman"/>
      <w:szCs w:val="20"/>
    </w:rPr>
  </w:style>
  <w:style w:type="paragraph" w:customStyle="1" w:styleId="Number3">
    <w:name w:val="Number 3"/>
    <w:basedOn w:val="Number2"/>
    <w:link w:val="Number3Char"/>
    <w:uiPriority w:val="17"/>
    <w:qFormat/>
    <w:rsid w:val="00563824"/>
    <w:pPr>
      <w:numPr>
        <w:ilvl w:val="2"/>
      </w:numPr>
      <w:outlineLvl w:val="0"/>
    </w:pPr>
  </w:style>
  <w:style w:type="character" w:customStyle="1" w:styleId="Number3Char">
    <w:name w:val="Number 3 Char"/>
    <w:link w:val="Number3"/>
    <w:uiPriority w:val="17"/>
    <w:rsid w:val="005D2DD5"/>
    <w:rPr>
      <w:rFonts w:eastAsia="Times New Roman" w:cs="Times New Roman"/>
      <w:szCs w:val="20"/>
    </w:rPr>
  </w:style>
  <w:style w:type="paragraph" w:customStyle="1" w:styleId="Number4">
    <w:name w:val="Number 4"/>
    <w:basedOn w:val="Number3"/>
    <w:link w:val="Number4Char"/>
    <w:uiPriority w:val="17"/>
    <w:semiHidden/>
    <w:rsid w:val="00563824"/>
    <w:pPr>
      <w:numPr>
        <w:ilvl w:val="3"/>
      </w:numPr>
      <w:outlineLvl w:val="9"/>
    </w:pPr>
  </w:style>
  <w:style w:type="character" w:customStyle="1" w:styleId="Number4Char">
    <w:name w:val="Number 4 Char"/>
    <w:link w:val="Number4"/>
    <w:uiPriority w:val="17"/>
    <w:semiHidden/>
    <w:rsid w:val="00BB062B"/>
    <w:rPr>
      <w:rFonts w:eastAsia="Times New Roman" w:cs="Times New Roman"/>
      <w:szCs w:val="20"/>
    </w:rPr>
  </w:style>
  <w:style w:type="paragraph" w:customStyle="1" w:styleId="Number5">
    <w:name w:val="Number 5"/>
    <w:basedOn w:val="Number4"/>
    <w:link w:val="Number5Char"/>
    <w:uiPriority w:val="17"/>
    <w:semiHidden/>
    <w:rsid w:val="00563824"/>
    <w:pPr>
      <w:numPr>
        <w:ilvl w:val="4"/>
      </w:numPr>
    </w:pPr>
  </w:style>
  <w:style w:type="character" w:customStyle="1" w:styleId="Number5Char">
    <w:name w:val="Number 5 Char"/>
    <w:link w:val="Number5"/>
    <w:uiPriority w:val="17"/>
    <w:semiHidden/>
    <w:rsid w:val="00BB062B"/>
    <w:rPr>
      <w:rFonts w:eastAsia="Times New Roman" w:cs="Times New Roman"/>
      <w:szCs w:val="20"/>
    </w:rPr>
  </w:style>
  <w:style w:type="paragraph" w:customStyle="1" w:styleId="Number6">
    <w:name w:val="Number 6"/>
    <w:basedOn w:val="Number5"/>
    <w:link w:val="Number6Char"/>
    <w:uiPriority w:val="17"/>
    <w:semiHidden/>
    <w:rsid w:val="00563824"/>
    <w:pPr>
      <w:numPr>
        <w:ilvl w:val="5"/>
      </w:numPr>
    </w:pPr>
  </w:style>
  <w:style w:type="character" w:customStyle="1" w:styleId="Number6Char">
    <w:name w:val="Number 6 Char"/>
    <w:link w:val="Number6"/>
    <w:uiPriority w:val="17"/>
    <w:semiHidden/>
    <w:rsid w:val="00BB062B"/>
    <w:rPr>
      <w:rFonts w:eastAsia="Times New Roman" w:cs="Times New Roman"/>
      <w:szCs w:val="20"/>
    </w:rPr>
  </w:style>
  <w:style w:type="paragraph" w:styleId="Quote">
    <w:name w:val="Quote"/>
    <w:basedOn w:val="Normal"/>
    <w:next w:val="Normal"/>
    <w:link w:val="QuoteChar"/>
    <w:uiPriority w:val="29"/>
    <w:qFormat/>
    <w:rsid w:val="000929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2943"/>
    <w:rPr>
      <w:rFonts w:cs="Times New Roman"/>
      <w:i/>
      <w:iCs/>
      <w:color w:val="404040" w:themeColor="text1" w:themeTint="BF"/>
    </w:rPr>
  </w:style>
  <w:style w:type="character" w:styleId="IntenseEmphasis">
    <w:name w:val="Intense Emphasis"/>
    <w:basedOn w:val="DefaultParagraphFont"/>
    <w:uiPriority w:val="99"/>
    <w:qFormat/>
    <w:rsid w:val="00092943"/>
    <w:rPr>
      <w:i/>
      <w:iCs/>
      <w:color w:val="365F91" w:themeColor="accent1" w:themeShade="BF"/>
    </w:rPr>
  </w:style>
  <w:style w:type="paragraph" w:styleId="IntenseQuote">
    <w:name w:val="Intense Quote"/>
    <w:basedOn w:val="Normal"/>
    <w:next w:val="Normal"/>
    <w:link w:val="IntenseQuoteChar"/>
    <w:uiPriority w:val="99"/>
    <w:qFormat/>
    <w:rsid w:val="000929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99"/>
    <w:rsid w:val="00092943"/>
    <w:rPr>
      <w:rFonts w:cs="Times New Roman"/>
      <w:i/>
      <w:iCs/>
      <w:color w:val="365F91" w:themeColor="accent1" w:themeShade="BF"/>
    </w:rPr>
  </w:style>
  <w:style w:type="character" w:styleId="IntenseReference">
    <w:name w:val="Intense Reference"/>
    <w:basedOn w:val="DefaultParagraphFont"/>
    <w:uiPriority w:val="99"/>
    <w:qFormat/>
    <w:rsid w:val="000929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A1E82-E94A-45AF-B159-964ED836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Andrew Porter</cp:lastModifiedBy>
  <cp:revision>2</cp:revision>
  <cp:lastPrinted>2026-05-07T15:01:00Z</cp:lastPrinted>
  <dcterms:created xsi:type="dcterms:W3CDTF">2026-05-07T15:01:00Z</dcterms:created>
  <dcterms:modified xsi:type="dcterms:W3CDTF">2026-05-07T15:01:00Z</dcterms:modified>
</cp:coreProperties>
</file>