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07824" w14:textId="2DACD57D" w:rsidR="00A06B1C" w:rsidRPr="00655EFD" w:rsidRDefault="00655EFD" w:rsidP="00655EFD">
      <w:pPr>
        <w:spacing w:after="0" w:line="240" w:lineRule="auto"/>
        <w:jc w:val="right"/>
        <w:rPr>
          <w:sz w:val="32"/>
          <w:szCs w:val="32"/>
        </w:rPr>
      </w:pPr>
      <w:r w:rsidRPr="00655EFD">
        <w:rPr>
          <w:noProof/>
          <w:sz w:val="32"/>
          <w:szCs w:val="32"/>
        </w:rPr>
        <w:drawing>
          <wp:anchor distT="0" distB="0" distL="114300" distR="114300" simplePos="0" relativeHeight="251658240" behindDoc="1" locked="0" layoutInCell="1" allowOverlap="1" wp14:anchorId="18329F97" wp14:editId="2632DBF9">
            <wp:simplePos x="0" y="0"/>
            <wp:positionH relativeFrom="column">
              <wp:posOffset>-635</wp:posOffset>
            </wp:positionH>
            <wp:positionV relativeFrom="paragraph">
              <wp:posOffset>0</wp:posOffset>
            </wp:positionV>
            <wp:extent cx="1400175" cy="1400175"/>
            <wp:effectExtent l="0" t="0" r="9525" b="9525"/>
            <wp:wrapThrough wrapText="bothSides">
              <wp:wrapPolygon edited="0">
                <wp:start x="9110" y="0"/>
                <wp:lineTo x="6759" y="294"/>
                <wp:lineTo x="1176" y="3527"/>
                <wp:lineTo x="1176" y="4702"/>
                <wp:lineTo x="0" y="7935"/>
                <wp:lineTo x="0" y="14106"/>
                <wp:lineTo x="2939" y="19396"/>
                <wp:lineTo x="7347" y="21453"/>
                <wp:lineTo x="8522" y="21453"/>
                <wp:lineTo x="12931" y="21453"/>
                <wp:lineTo x="14106" y="21453"/>
                <wp:lineTo x="18514" y="18808"/>
                <wp:lineTo x="21453" y="14400"/>
                <wp:lineTo x="21453" y="8522"/>
                <wp:lineTo x="20278" y="3820"/>
                <wp:lineTo x="14694" y="294"/>
                <wp:lineTo x="12343" y="0"/>
                <wp:lineTo x="911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0175" cy="1400175"/>
                    </a:xfrm>
                    <a:prstGeom prst="rect">
                      <a:avLst/>
                    </a:prstGeom>
                  </pic:spPr>
                </pic:pic>
              </a:graphicData>
            </a:graphic>
            <wp14:sizeRelH relativeFrom="margin">
              <wp14:pctWidth>0</wp14:pctWidth>
            </wp14:sizeRelH>
            <wp14:sizeRelV relativeFrom="margin">
              <wp14:pctHeight>0</wp14:pctHeight>
            </wp14:sizeRelV>
          </wp:anchor>
        </w:drawing>
      </w:r>
      <w:r w:rsidR="00A06B1C" w:rsidRPr="00655EFD">
        <w:rPr>
          <w:sz w:val="32"/>
          <w:szCs w:val="32"/>
        </w:rPr>
        <w:t xml:space="preserve"> </w:t>
      </w:r>
      <w:r w:rsidRPr="00655EFD">
        <w:rPr>
          <w:sz w:val="32"/>
          <w:szCs w:val="32"/>
        </w:rPr>
        <w:t xml:space="preserve">                                                                                                                      City of Gary </w:t>
      </w:r>
    </w:p>
    <w:p w14:paraId="6FBC5BFD" w14:textId="77777777" w:rsidR="00655EFD" w:rsidRPr="00655EFD" w:rsidRDefault="00655EFD" w:rsidP="00655EFD">
      <w:pPr>
        <w:spacing w:after="0" w:line="240" w:lineRule="auto"/>
        <w:jc w:val="right"/>
        <w:rPr>
          <w:sz w:val="32"/>
          <w:szCs w:val="32"/>
        </w:rPr>
      </w:pPr>
      <w:r w:rsidRPr="00655EFD">
        <w:rPr>
          <w:sz w:val="32"/>
          <w:szCs w:val="32"/>
        </w:rPr>
        <w:t xml:space="preserve">                                                                                                   </w:t>
      </w:r>
    </w:p>
    <w:p w14:paraId="606B4410" w14:textId="21D4FFFD" w:rsidR="00655EFD" w:rsidRPr="00655EFD" w:rsidRDefault="00655EFD" w:rsidP="00655EFD">
      <w:pPr>
        <w:spacing w:after="0" w:line="240" w:lineRule="auto"/>
        <w:jc w:val="right"/>
        <w:rPr>
          <w:sz w:val="32"/>
          <w:szCs w:val="32"/>
        </w:rPr>
      </w:pPr>
      <w:r w:rsidRPr="00655EFD">
        <w:rPr>
          <w:sz w:val="32"/>
          <w:szCs w:val="32"/>
        </w:rPr>
        <w:t xml:space="preserve">                                                                                                 Eddie D. Melton, Mayor  </w:t>
      </w:r>
    </w:p>
    <w:p w14:paraId="50957433" w14:textId="77777777" w:rsidR="00655EFD" w:rsidRPr="00655EFD" w:rsidRDefault="00655EFD" w:rsidP="00655EFD">
      <w:pPr>
        <w:spacing w:after="0" w:line="240" w:lineRule="auto"/>
        <w:jc w:val="right"/>
        <w:rPr>
          <w:sz w:val="32"/>
          <w:szCs w:val="32"/>
        </w:rPr>
      </w:pPr>
      <w:r w:rsidRPr="00655EFD">
        <w:rPr>
          <w:sz w:val="32"/>
          <w:szCs w:val="32"/>
        </w:rPr>
        <w:t xml:space="preserve">                                                                                   </w:t>
      </w:r>
    </w:p>
    <w:p w14:paraId="68FE8C60" w14:textId="3994CB03" w:rsidR="00655EFD" w:rsidRPr="00655EFD" w:rsidRDefault="00655EFD" w:rsidP="00655EFD">
      <w:pPr>
        <w:spacing w:after="0" w:line="240" w:lineRule="auto"/>
        <w:jc w:val="right"/>
        <w:rPr>
          <w:sz w:val="32"/>
          <w:szCs w:val="32"/>
        </w:rPr>
      </w:pPr>
      <w:r w:rsidRPr="00655EFD">
        <w:rPr>
          <w:sz w:val="32"/>
          <w:szCs w:val="32"/>
        </w:rPr>
        <w:t xml:space="preserve">                                                                  Department of Community Development </w:t>
      </w:r>
    </w:p>
    <w:p w14:paraId="1C3CFD65" w14:textId="6AD1D438" w:rsidR="00655EFD" w:rsidRDefault="00655EFD" w:rsidP="00655EFD">
      <w:pPr>
        <w:spacing w:after="0" w:line="240" w:lineRule="auto"/>
      </w:pPr>
    </w:p>
    <w:p w14:paraId="0EC761F5" w14:textId="12059FFD" w:rsidR="00655EFD" w:rsidRDefault="00655EFD" w:rsidP="00655EFD">
      <w:pPr>
        <w:spacing w:after="0" w:line="240" w:lineRule="auto"/>
      </w:pPr>
    </w:p>
    <w:p w14:paraId="7CD77849" w14:textId="0B99180D" w:rsidR="00655EFD" w:rsidRPr="00655EFD" w:rsidRDefault="00655EFD" w:rsidP="00655EFD">
      <w:pPr>
        <w:spacing w:after="0" w:line="240" w:lineRule="auto"/>
        <w:jc w:val="right"/>
        <w:rPr>
          <w:sz w:val="32"/>
          <w:szCs w:val="32"/>
        </w:rPr>
      </w:pPr>
      <w:r w:rsidRPr="00655EFD">
        <w:rPr>
          <w:sz w:val="32"/>
          <w:szCs w:val="32"/>
        </w:rPr>
        <w:t xml:space="preserve">2025 Annual Action Plan </w:t>
      </w:r>
    </w:p>
    <w:p w14:paraId="0B3C6698" w14:textId="0037A5BF" w:rsidR="00655EFD" w:rsidRPr="00655EFD" w:rsidRDefault="00655EFD" w:rsidP="00655EFD">
      <w:pPr>
        <w:spacing w:after="0" w:line="240" w:lineRule="auto"/>
        <w:jc w:val="right"/>
        <w:rPr>
          <w:sz w:val="32"/>
          <w:szCs w:val="32"/>
        </w:rPr>
      </w:pPr>
      <w:r w:rsidRPr="00655EFD">
        <w:rPr>
          <w:sz w:val="32"/>
          <w:szCs w:val="32"/>
        </w:rPr>
        <w:t xml:space="preserve">Public Hearing </w:t>
      </w:r>
    </w:p>
    <w:p w14:paraId="71DE33FA" w14:textId="18B8EB3D" w:rsidR="00655EFD" w:rsidRPr="00655EFD" w:rsidRDefault="00655EFD" w:rsidP="00655EFD">
      <w:pPr>
        <w:spacing w:after="0" w:line="240" w:lineRule="auto"/>
        <w:jc w:val="right"/>
        <w:rPr>
          <w:sz w:val="32"/>
          <w:szCs w:val="32"/>
        </w:rPr>
      </w:pPr>
      <w:r w:rsidRPr="00655EFD">
        <w:rPr>
          <w:sz w:val="32"/>
          <w:szCs w:val="32"/>
        </w:rPr>
        <w:t>August 7, 2025; 4:00 p.m.</w:t>
      </w:r>
    </w:p>
    <w:p w14:paraId="09254866" w14:textId="12E72F30" w:rsidR="00655EFD" w:rsidRPr="00655EFD" w:rsidRDefault="00655EFD" w:rsidP="00655EFD">
      <w:pPr>
        <w:spacing w:after="0" w:line="240" w:lineRule="auto"/>
        <w:jc w:val="right"/>
        <w:rPr>
          <w:sz w:val="32"/>
          <w:szCs w:val="32"/>
        </w:rPr>
      </w:pPr>
      <w:r w:rsidRPr="00655EFD">
        <w:rPr>
          <w:sz w:val="32"/>
          <w:szCs w:val="32"/>
        </w:rPr>
        <w:t xml:space="preserve">Hudson and Campbell Board Room </w:t>
      </w:r>
    </w:p>
    <w:p w14:paraId="4A09FAAF" w14:textId="7BE2F8E4" w:rsidR="00655EFD" w:rsidRDefault="00655EFD" w:rsidP="00655EFD">
      <w:pPr>
        <w:spacing w:after="0" w:line="240" w:lineRule="auto"/>
        <w:jc w:val="right"/>
      </w:pPr>
    </w:p>
    <w:p w14:paraId="4D73438E" w14:textId="59F37AD2" w:rsidR="00655EFD" w:rsidRDefault="00655EFD" w:rsidP="00655EFD">
      <w:pPr>
        <w:spacing w:after="0" w:line="240" w:lineRule="auto"/>
        <w:jc w:val="right"/>
      </w:pPr>
    </w:p>
    <w:p w14:paraId="6CBBBB21" w14:textId="7906CFF4" w:rsidR="00655EFD" w:rsidRDefault="00655EFD" w:rsidP="00655EFD">
      <w:pPr>
        <w:spacing w:after="0" w:line="240" w:lineRule="auto"/>
        <w:jc w:val="right"/>
      </w:pPr>
    </w:p>
    <w:p w14:paraId="1564C44C" w14:textId="03D60BC1" w:rsidR="00655EFD" w:rsidRPr="00655EFD" w:rsidRDefault="00655EFD" w:rsidP="00655EFD">
      <w:pPr>
        <w:spacing w:after="0" w:line="240" w:lineRule="auto"/>
        <w:jc w:val="right"/>
        <w:rPr>
          <w:sz w:val="36"/>
          <w:szCs w:val="36"/>
        </w:rPr>
      </w:pPr>
      <w:r w:rsidRPr="00655EFD">
        <w:rPr>
          <w:sz w:val="36"/>
          <w:szCs w:val="36"/>
        </w:rPr>
        <w:t xml:space="preserve">2025 Annual Action Plan </w:t>
      </w:r>
    </w:p>
    <w:p w14:paraId="458D991F" w14:textId="19060ACD" w:rsidR="00655EFD" w:rsidRDefault="00655EFD" w:rsidP="00655EFD">
      <w:pPr>
        <w:spacing w:after="0" w:line="240" w:lineRule="auto"/>
        <w:jc w:val="right"/>
        <w:rPr>
          <w:sz w:val="36"/>
          <w:szCs w:val="36"/>
        </w:rPr>
      </w:pPr>
      <w:r w:rsidRPr="00655EFD">
        <w:rPr>
          <w:sz w:val="36"/>
          <w:szCs w:val="36"/>
        </w:rPr>
        <w:t xml:space="preserve">City of Gary </w:t>
      </w:r>
    </w:p>
    <w:p w14:paraId="17D91E5C" w14:textId="77777777" w:rsidR="00655EFD" w:rsidRDefault="00655EFD">
      <w:pPr>
        <w:rPr>
          <w:sz w:val="36"/>
          <w:szCs w:val="36"/>
        </w:rPr>
      </w:pPr>
      <w:r>
        <w:rPr>
          <w:sz w:val="36"/>
          <w:szCs w:val="36"/>
        </w:rPr>
        <w:br w:type="page"/>
      </w:r>
    </w:p>
    <w:p w14:paraId="548B9BDF" w14:textId="513DC4C0" w:rsidR="00E1189D" w:rsidRDefault="00E1189D" w:rsidP="00E1189D">
      <w:pPr>
        <w:pStyle w:val="NormalWeb"/>
        <w:numPr>
          <w:ilvl w:val="0"/>
          <w:numId w:val="1"/>
        </w:numPr>
        <w:rPr>
          <w:rFonts w:ascii="Verdana" w:hAnsi="Verdana"/>
          <w:color w:val="000000"/>
          <w:sz w:val="19"/>
          <w:szCs w:val="19"/>
        </w:rPr>
      </w:pPr>
      <w:r>
        <w:rPr>
          <w:rFonts w:ascii="Verdana" w:hAnsi="Verdana"/>
          <w:color w:val="000000"/>
          <w:sz w:val="19"/>
          <w:szCs w:val="19"/>
        </w:rPr>
        <w:lastRenderedPageBreak/>
        <w:t xml:space="preserve">Executive Summary </w:t>
      </w:r>
    </w:p>
    <w:p w14:paraId="61F0187A" w14:textId="7BCF1E26" w:rsidR="00E1189D" w:rsidRDefault="00E1189D" w:rsidP="00E1189D">
      <w:pPr>
        <w:pStyle w:val="NormalWeb"/>
        <w:rPr>
          <w:rFonts w:ascii="Verdana" w:hAnsi="Verdana"/>
          <w:color w:val="000000"/>
          <w:sz w:val="19"/>
          <w:szCs w:val="19"/>
        </w:rPr>
      </w:pPr>
      <w:r>
        <w:rPr>
          <w:rFonts w:ascii="Verdana" w:hAnsi="Verdana"/>
          <w:color w:val="000000"/>
          <w:sz w:val="19"/>
          <w:szCs w:val="19"/>
        </w:rPr>
        <w:t xml:space="preserve">1. Introduction </w:t>
      </w:r>
    </w:p>
    <w:p w14:paraId="5BAB9FD1" w14:textId="56D5C4EA" w:rsidR="00E1189D" w:rsidRDefault="00E1189D" w:rsidP="00E1189D">
      <w:pPr>
        <w:pStyle w:val="NormalWeb"/>
        <w:rPr>
          <w:rFonts w:ascii="Verdana" w:hAnsi="Verdana"/>
          <w:color w:val="000000"/>
          <w:sz w:val="19"/>
          <w:szCs w:val="19"/>
        </w:rPr>
      </w:pPr>
      <w:r>
        <w:rPr>
          <w:rFonts w:ascii="Verdana" w:hAnsi="Verdana"/>
          <w:color w:val="000000"/>
          <w:sz w:val="19"/>
          <w:szCs w:val="19"/>
        </w:rPr>
        <w:t>A Consolidated Plan is a strategic document prepared by participating jurisdictions receiving HUD entitlement funding. Entitlement communities, including Gary, Indiana, in accordance with the U.S. Department of Housing and Urban Development (HUD) regulations, must complete this process and submit the plan every 5 years. As an entitlement community, Gary must prepare and submit both the Consolidated Plan and Annual Action Plan to HUD. This entitlement status and requisite plan enable Gary to receive formula grant assistance from HUD for various programs, including the Community Development Block Grant (CDBG), the HOME Investment Partnership Program (HOME), and other funding.</w:t>
      </w:r>
    </w:p>
    <w:p w14:paraId="621EEB77" w14:textId="77777777" w:rsidR="00E1189D" w:rsidRDefault="00E1189D" w:rsidP="00E1189D">
      <w:pPr>
        <w:pStyle w:val="NormalWeb"/>
        <w:rPr>
          <w:rFonts w:ascii="Verdana" w:hAnsi="Verdana"/>
          <w:color w:val="000000"/>
          <w:sz w:val="19"/>
          <w:szCs w:val="19"/>
        </w:rPr>
      </w:pPr>
      <w:r>
        <w:rPr>
          <w:rFonts w:ascii="Verdana" w:hAnsi="Verdana"/>
          <w:b/>
          <w:bCs/>
          <w:color w:val="000000"/>
          <w:sz w:val="19"/>
          <w:szCs w:val="19"/>
          <w:u w:val="single"/>
        </w:rPr>
        <w:t>5-Year Consolidated Plan</w:t>
      </w:r>
    </w:p>
    <w:p w14:paraId="573C2C90" w14:textId="77777777" w:rsidR="00E1189D" w:rsidRDefault="00E1189D" w:rsidP="00E1189D">
      <w:pPr>
        <w:pStyle w:val="NormalWeb"/>
        <w:rPr>
          <w:rFonts w:ascii="Verdana" w:hAnsi="Verdana"/>
          <w:color w:val="000000"/>
          <w:sz w:val="19"/>
          <w:szCs w:val="19"/>
        </w:rPr>
      </w:pPr>
      <w:r>
        <w:rPr>
          <w:rFonts w:ascii="Verdana" w:hAnsi="Verdana"/>
          <w:color w:val="000000"/>
          <w:sz w:val="19"/>
          <w:szCs w:val="19"/>
        </w:rPr>
        <w:t>The Consolidated Plan, submitted to HUD every five years, is created through a collaborative process involving local government, community, residents, industry, economic development, and nonprofit organizations. It incorporates assessing current housing and community development conditions, public participation, and input, analyzing available resources, and identifying priority needs, area needs, and funding priorities. The plan ensures that the proposed strategies align with Gary residents' specific needs and aspirations.</w:t>
      </w:r>
    </w:p>
    <w:p w14:paraId="3A868593" w14:textId="77777777" w:rsidR="00E1189D" w:rsidRDefault="00E1189D" w:rsidP="00E1189D">
      <w:pPr>
        <w:pStyle w:val="NormalWeb"/>
        <w:rPr>
          <w:rFonts w:ascii="Verdana" w:hAnsi="Verdana"/>
          <w:color w:val="000000"/>
          <w:sz w:val="19"/>
          <w:szCs w:val="19"/>
        </w:rPr>
      </w:pPr>
      <w:r>
        <w:rPr>
          <w:rFonts w:ascii="Verdana" w:hAnsi="Verdana"/>
          <w:b/>
          <w:bCs/>
          <w:color w:val="000000"/>
          <w:sz w:val="19"/>
          <w:szCs w:val="19"/>
          <w:u w:val="single"/>
        </w:rPr>
        <w:t>1-Year Annual Action Plan</w:t>
      </w:r>
    </w:p>
    <w:p w14:paraId="55BF3C81" w14:textId="77777777" w:rsidR="00E1189D" w:rsidRDefault="00E1189D" w:rsidP="00E1189D">
      <w:pPr>
        <w:pStyle w:val="NormalWeb"/>
        <w:rPr>
          <w:rFonts w:ascii="Verdana" w:hAnsi="Verdana"/>
          <w:color w:val="000000"/>
          <w:sz w:val="19"/>
          <w:szCs w:val="19"/>
        </w:rPr>
      </w:pPr>
      <w:r>
        <w:rPr>
          <w:rFonts w:ascii="Verdana" w:hAnsi="Verdana"/>
          <w:color w:val="000000"/>
          <w:sz w:val="19"/>
          <w:szCs w:val="19"/>
        </w:rPr>
        <w:t>The Annual Action Plan, which complements the Consolidated Plan, is developed and submitted to HUD annually and provides a detailed breakdown of how the allocated funds will be utilized in the upcoming 5 years. It outlines specific activities, projects, and programs that will be undertaken to address the identified needs and achieve the established goals. The Action Plan provides flexibility, allowing adjustments and modifications in annual allocations received from HUD on a yearly basis in response to changing circumstances and emerging priorities.</w:t>
      </w:r>
    </w:p>
    <w:p w14:paraId="2481147B" w14:textId="53C497A2" w:rsidR="00E1189D" w:rsidRDefault="00E1189D" w:rsidP="00E1189D">
      <w:pPr>
        <w:pStyle w:val="NormalWeb"/>
        <w:rPr>
          <w:rFonts w:ascii="Verdana" w:hAnsi="Verdana"/>
          <w:color w:val="000000"/>
          <w:sz w:val="19"/>
          <w:szCs w:val="19"/>
        </w:rPr>
      </w:pPr>
      <w:r>
        <w:rPr>
          <w:rFonts w:ascii="Verdana" w:hAnsi="Verdana"/>
          <w:color w:val="000000"/>
          <w:sz w:val="19"/>
          <w:szCs w:val="19"/>
        </w:rPr>
        <w:t>The success of the Consolidated Plan relies on collaboration among various stakeholders, including local and regional government agencies, community organizations, business and industry, nonprofits, and residents. By fostering partnerships and engaging in joint efforts, the plan aims to leverage collective resources and expertise to maximize the positive impact on our community. </w:t>
      </w:r>
    </w:p>
    <w:p w14:paraId="37F9F732" w14:textId="6423AD10" w:rsidR="00E1189D" w:rsidRDefault="00E1189D" w:rsidP="00E1189D">
      <w:pPr>
        <w:pStyle w:val="NormalWeb"/>
        <w:rPr>
          <w:rFonts w:ascii="Verdana" w:hAnsi="Verdana"/>
          <w:b/>
          <w:bCs/>
          <w:color w:val="000033"/>
          <w:sz w:val="20"/>
          <w:szCs w:val="20"/>
          <w:shd w:val="clear" w:color="auto" w:fill="FFFFFF"/>
        </w:rPr>
      </w:pPr>
      <w:r>
        <w:rPr>
          <w:rFonts w:ascii="Verdana" w:hAnsi="Verdana"/>
          <w:color w:val="000000"/>
          <w:sz w:val="19"/>
          <w:szCs w:val="19"/>
        </w:rPr>
        <w:t xml:space="preserve">2. </w:t>
      </w:r>
      <w:r>
        <w:rPr>
          <w:rFonts w:ascii="Verdana" w:hAnsi="Verdana"/>
          <w:b/>
          <w:bCs/>
          <w:color w:val="000033"/>
          <w:sz w:val="20"/>
          <w:szCs w:val="20"/>
          <w:shd w:val="clear" w:color="auto" w:fill="FFFFFF"/>
        </w:rPr>
        <w:t> Summarize the objectives and outcomes identified in the Plan</w:t>
      </w:r>
    </w:p>
    <w:p w14:paraId="41208917" w14:textId="77777777" w:rsidR="00E1189D" w:rsidRDefault="00E1189D" w:rsidP="00E1189D">
      <w:pPr>
        <w:pStyle w:val="NormalWeb"/>
        <w:rPr>
          <w:rFonts w:ascii="Verdana" w:hAnsi="Verdana"/>
          <w:color w:val="000000"/>
          <w:sz w:val="19"/>
          <w:szCs w:val="19"/>
        </w:rPr>
      </w:pPr>
      <w:r>
        <w:rPr>
          <w:rFonts w:ascii="Verdana" w:hAnsi="Verdana"/>
          <w:color w:val="000000"/>
          <w:sz w:val="19"/>
          <w:szCs w:val="19"/>
        </w:rPr>
        <w:t xml:space="preserve">The Plan sets out a concise slate of community-development goals that revolve around four themes: expanding affordable housing, reducing homelessness, upgrading neighborhood infrastructure, and promoting household self-sufficiency. Over the next several years, the </w:t>
      </w:r>
      <w:proofErr w:type="gramStart"/>
      <w:r>
        <w:rPr>
          <w:rFonts w:ascii="Verdana" w:hAnsi="Verdana"/>
          <w:color w:val="000000"/>
          <w:sz w:val="19"/>
          <w:szCs w:val="19"/>
        </w:rPr>
        <w:t>City</w:t>
      </w:r>
      <w:proofErr w:type="gramEnd"/>
      <w:r>
        <w:rPr>
          <w:rFonts w:ascii="Verdana" w:hAnsi="Verdana"/>
          <w:color w:val="000000"/>
          <w:sz w:val="19"/>
          <w:szCs w:val="19"/>
        </w:rPr>
        <w:t xml:space="preserve"> will rehabilitate and build </w:t>
      </w:r>
      <w:r>
        <w:rPr>
          <w:rFonts w:ascii="Verdana" w:hAnsi="Verdana"/>
          <w:b/>
          <w:bCs/>
          <w:color w:val="000000"/>
          <w:sz w:val="19"/>
          <w:szCs w:val="19"/>
        </w:rPr>
        <w:t>hundreds of affordable homes and apartments</w:t>
      </w:r>
      <w:r>
        <w:rPr>
          <w:rFonts w:ascii="Verdana" w:hAnsi="Verdana"/>
          <w:color w:val="000000"/>
          <w:sz w:val="19"/>
          <w:szCs w:val="19"/>
        </w:rPr>
        <w:t>, with a special emphasis on making more units accessible to seniors and residents with disabilities. Parallel investments in rental assistance, rapid-rehousing, and permanent supportive housing are expected to bring down the share of residents who are severely cost-burdened and noticeably shrink the number of people counted as homeless each winter.</w:t>
      </w:r>
    </w:p>
    <w:p w14:paraId="18380535" w14:textId="77777777" w:rsidR="00E1189D" w:rsidRDefault="00E1189D" w:rsidP="00E1189D">
      <w:pPr>
        <w:pStyle w:val="NormalWeb"/>
        <w:rPr>
          <w:rFonts w:ascii="Verdana" w:hAnsi="Verdana"/>
          <w:color w:val="000000"/>
          <w:sz w:val="19"/>
          <w:szCs w:val="19"/>
        </w:rPr>
      </w:pPr>
      <w:r>
        <w:rPr>
          <w:rFonts w:ascii="Verdana" w:hAnsi="Verdana"/>
          <w:color w:val="000000"/>
          <w:sz w:val="19"/>
          <w:szCs w:val="19"/>
        </w:rPr>
        <w:t>On the neighborhood side, the city will target </w:t>
      </w:r>
      <w:r>
        <w:rPr>
          <w:rFonts w:ascii="Verdana" w:hAnsi="Verdana"/>
          <w:b/>
          <w:bCs/>
          <w:color w:val="000000"/>
          <w:sz w:val="19"/>
          <w:szCs w:val="19"/>
        </w:rPr>
        <w:t>scores of blighted structures and vacant lots</w:t>
      </w:r>
      <w:r>
        <w:rPr>
          <w:rFonts w:ascii="Verdana" w:hAnsi="Verdana"/>
          <w:color w:val="000000"/>
          <w:sz w:val="19"/>
          <w:szCs w:val="19"/>
        </w:rPr>
        <w:t> for demolition, clean-up, or redevelopment, while modernizing key street corridors, sidewalks, and broadband connections that anchor local business districts. Finally, a coordinated network of workforce, health, and youth-development programs will help </w:t>
      </w:r>
      <w:r>
        <w:rPr>
          <w:rFonts w:ascii="Verdana" w:hAnsi="Verdana"/>
          <w:b/>
          <w:bCs/>
          <w:color w:val="000000"/>
          <w:sz w:val="19"/>
          <w:szCs w:val="19"/>
        </w:rPr>
        <w:t>hundreds of low-</w:t>
      </w:r>
      <w:r>
        <w:rPr>
          <w:rFonts w:ascii="Verdana" w:hAnsi="Verdana"/>
          <w:b/>
          <w:bCs/>
          <w:color w:val="000000"/>
          <w:sz w:val="19"/>
          <w:szCs w:val="19"/>
        </w:rPr>
        <w:lastRenderedPageBreak/>
        <w:t>income families</w:t>
      </w:r>
      <w:r>
        <w:rPr>
          <w:rFonts w:ascii="Verdana" w:hAnsi="Verdana"/>
          <w:color w:val="000000"/>
          <w:sz w:val="19"/>
          <w:szCs w:val="19"/>
        </w:rPr>
        <w:t> stabilize their finances and make progress toward greater economic independence.</w:t>
      </w:r>
    </w:p>
    <w:p w14:paraId="47B337E5" w14:textId="778D2D5C" w:rsidR="00E1189D" w:rsidRDefault="00E1189D" w:rsidP="00E1189D">
      <w:pPr>
        <w:pStyle w:val="NormalWeb"/>
        <w:rPr>
          <w:rFonts w:ascii="Verdana" w:hAnsi="Verdana"/>
          <w:b/>
          <w:bCs/>
          <w:color w:val="000033"/>
          <w:sz w:val="20"/>
          <w:szCs w:val="20"/>
          <w:shd w:val="clear" w:color="auto" w:fill="FFFFFF"/>
        </w:rPr>
      </w:pPr>
      <w:r>
        <w:rPr>
          <w:rFonts w:ascii="Verdana" w:hAnsi="Verdana"/>
          <w:color w:val="000000"/>
          <w:sz w:val="19"/>
          <w:szCs w:val="19"/>
        </w:rPr>
        <w:t>3.</w:t>
      </w:r>
      <w:r w:rsidRPr="00E1189D">
        <w:rPr>
          <w:rFonts w:ascii="Verdana" w:hAnsi="Verdana"/>
          <w:b/>
          <w:bCs/>
          <w:color w:val="000033"/>
          <w:sz w:val="20"/>
          <w:szCs w:val="20"/>
          <w:shd w:val="clear" w:color="auto" w:fill="FFFFFF"/>
        </w:rPr>
        <w:t xml:space="preserve"> </w:t>
      </w:r>
      <w:r>
        <w:rPr>
          <w:rFonts w:ascii="Verdana" w:hAnsi="Verdana"/>
          <w:b/>
          <w:bCs/>
          <w:color w:val="000033"/>
          <w:sz w:val="20"/>
          <w:szCs w:val="20"/>
          <w:shd w:val="clear" w:color="auto" w:fill="FFFFFF"/>
        </w:rPr>
        <w:t>Evaluation of past performance</w:t>
      </w:r>
    </w:p>
    <w:p w14:paraId="7E1212D0" w14:textId="54CCE3DC" w:rsidR="00E1189D" w:rsidRDefault="00E1189D" w:rsidP="00E1189D">
      <w:pPr>
        <w:pStyle w:val="NormalWeb"/>
        <w:rPr>
          <w:rFonts w:ascii="Verdana" w:hAnsi="Verdana"/>
          <w:color w:val="000000"/>
          <w:sz w:val="19"/>
          <w:szCs w:val="19"/>
          <w:shd w:val="clear" w:color="auto" w:fill="FFFFFF"/>
        </w:rPr>
      </w:pPr>
      <w:r>
        <w:rPr>
          <w:rFonts w:ascii="Verdana" w:hAnsi="Verdana"/>
          <w:color w:val="000000"/>
          <w:sz w:val="19"/>
          <w:szCs w:val="19"/>
          <w:shd w:val="clear" w:color="auto" w:fill="FFFFFF"/>
        </w:rPr>
        <w:t>During the previous five-year Consolidated Plan, the City of Gary made measurable progress toward its stated objectives of stabilizing neighborhoods, expanding affordable housing options, and strengthening the social-service safety net. Housing rehabilitation and blight removal were the strongest performers. With a combination of CDBG and local demolition funds, the City cleared or secured several hundred dangerous structures, exceeding its target for razing vacant houses, and completed basic health-and-safety repairs on well over 250 owner-occupied homes, particularly roofs, furnaces, and accessibility ramps for elderly or disabled residents. These actions, documented in successive CAPERs, helped arrest further deterioration in the Midtown, Glen Park, and Emerson areas and preserved naturally affordable units in the existing housing stock.</w:t>
      </w:r>
    </w:p>
    <w:p w14:paraId="534E6169" w14:textId="24FFA273" w:rsidR="00E1189D" w:rsidRDefault="00E1189D" w:rsidP="00E1189D">
      <w:pPr>
        <w:pStyle w:val="NormalWeb"/>
      </w:pPr>
      <w:r>
        <w:rPr>
          <w:rFonts w:ascii="Verdana" w:hAnsi="Verdana"/>
          <w:color w:val="000000"/>
          <w:sz w:val="19"/>
          <w:szCs w:val="19"/>
          <w:shd w:val="clear" w:color="auto" w:fill="FFFFFF"/>
        </w:rPr>
        <w:t xml:space="preserve">4. </w:t>
      </w:r>
      <w:r w:rsidRPr="00E1189D">
        <w:rPr>
          <w:b/>
          <w:bCs/>
        </w:rPr>
        <w:t>Summary of Citizen Participation Process and consultation process</w:t>
      </w:r>
      <w:r>
        <w:t>.</w:t>
      </w:r>
    </w:p>
    <w:p w14:paraId="0960C370" w14:textId="77777777" w:rsidR="00E1189D" w:rsidRPr="00E1189D" w:rsidRDefault="00E1189D" w:rsidP="00E1189D">
      <w:pPr>
        <w:spacing w:before="100" w:beforeAutospacing="1" w:after="100" w:afterAutospacing="1" w:line="240" w:lineRule="auto"/>
        <w:rPr>
          <w:rFonts w:ascii="Verdana" w:eastAsia="Times New Roman" w:hAnsi="Verdana" w:cs="Times New Roman"/>
          <w:color w:val="000000"/>
          <w:sz w:val="19"/>
          <w:szCs w:val="19"/>
        </w:rPr>
      </w:pPr>
      <w:r w:rsidRPr="00E1189D">
        <w:rPr>
          <w:rFonts w:ascii="Verdana" w:eastAsia="Times New Roman" w:hAnsi="Verdana" w:cs="Times New Roman"/>
          <w:color w:val="000000"/>
          <w:sz w:val="19"/>
          <w:szCs w:val="19"/>
        </w:rPr>
        <w:t>The City of Gary, in compliance with the City’s Citizen Participation Plan, advertised and held two (2) public hearings on the needs of the City of Gary that provided residents with the opportunity to discuss the City’s CDBG, HOME, and ESG Programs and to offer their suggestions on future CDBG, HOME, and ESG program priorities.</w:t>
      </w:r>
    </w:p>
    <w:p w14:paraId="603666DE" w14:textId="77777777" w:rsidR="00E1189D" w:rsidRPr="00E1189D" w:rsidRDefault="00E1189D" w:rsidP="00E1189D">
      <w:pPr>
        <w:spacing w:before="100" w:beforeAutospacing="1" w:after="100" w:afterAutospacing="1" w:line="240" w:lineRule="auto"/>
        <w:rPr>
          <w:rFonts w:ascii="Verdana" w:eastAsia="Times New Roman" w:hAnsi="Verdana" w:cs="Times New Roman"/>
          <w:color w:val="000000"/>
          <w:sz w:val="19"/>
          <w:szCs w:val="19"/>
        </w:rPr>
      </w:pPr>
      <w:r w:rsidRPr="00E1189D">
        <w:rPr>
          <w:rFonts w:ascii="Verdana" w:eastAsia="Times New Roman" w:hAnsi="Verdana" w:cs="Times New Roman"/>
          <w:color w:val="000000"/>
          <w:sz w:val="19"/>
          <w:szCs w:val="19"/>
        </w:rPr>
        <w:t>A “Draft Plan” was placed on public display on the City's website at http://www.gary.in.us/ and copies of the plan were available for review at the following location:</w:t>
      </w:r>
    </w:p>
    <w:p w14:paraId="221541EB" w14:textId="77777777" w:rsidR="00E1189D" w:rsidRPr="00E1189D" w:rsidRDefault="00E1189D" w:rsidP="00E1189D">
      <w:pPr>
        <w:numPr>
          <w:ilvl w:val="0"/>
          <w:numId w:val="2"/>
        </w:numPr>
        <w:spacing w:before="100" w:beforeAutospacing="1" w:after="100" w:afterAutospacing="1" w:line="240" w:lineRule="auto"/>
        <w:rPr>
          <w:rFonts w:ascii="Verdana" w:eastAsia="Times New Roman" w:hAnsi="Verdana" w:cs="Times New Roman"/>
          <w:color w:val="000000"/>
          <w:sz w:val="19"/>
          <w:szCs w:val="19"/>
        </w:rPr>
      </w:pPr>
      <w:r w:rsidRPr="00E1189D">
        <w:rPr>
          <w:rFonts w:ascii="Verdana" w:eastAsia="Times New Roman" w:hAnsi="Verdana" w:cs="Times New Roman"/>
          <w:color w:val="000000"/>
          <w:sz w:val="19"/>
          <w:szCs w:val="19"/>
        </w:rPr>
        <w:t>City of Gary Community Development Department, 401 Broadway Suite 300, Gary, IN 46402</w:t>
      </w:r>
    </w:p>
    <w:p w14:paraId="7E07E5F2" w14:textId="6F0DA7C9" w:rsidR="00E1189D" w:rsidRDefault="00E1189D" w:rsidP="00E1189D">
      <w:pPr>
        <w:pStyle w:val="NormalWeb"/>
        <w:rPr>
          <w:rFonts w:ascii="Verdana" w:hAnsi="Verdana"/>
          <w:b/>
          <w:bCs/>
          <w:color w:val="000033"/>
          <w:sz w:val="20"/>
          <w:szCs w:val="20"/>
          <w:shd w:val="clear" w:color="auto" w:fill="FFFFFF"/>
        </w:rPr>
      </w:pPr>
      <w:r>
        <w:t xml:space="preserve">5. </w:t>
      </w:r>
      <w:r>
        <w:rPr>
          <w:rFonts w:ascii="Verdana" w:hAnsi="Verdana"/>
          <w:b/>
          <w:bCs/>
          <w:color w:val="000033"/>
          <w:sz w:val="20"/>
          <w:szCs w:val="20"/>
          <w:shd w:val="clear" w:color="auto" w:fill="FFFFFF"/>
        </w:rPr>
        <w:t>Summary of public comments</w:t>
      </w:r>
    </w:p>
    <w:p w14:paraId="0BEEB1C7" w14:textId="77777777" w:rsidR="00E1189D" w:rsidRPr="00E1189D" w:rsidRDefault="00E1189D" w:rsidP="00E1189D">
      <w:pPr>
        <w:spacing w:before="100" w:beforeAutospacing="1" w:after="100" w:afterAutospacing="1" w:line="240" w:lineRule="auto"/>
        <w:rPr>
          <w:rFonts w:ascii="Verdana" w:eastAsia="Times New Roman" w:hAnsi="Verdana" w:cs="Times New Roman"/>
          <w:color w:val="000000"/>
          <w:sz w:val="19"/>
          <w:szCs w:val="19"/>
        </w:rPr>
      </w:pPr>
      <w:r w:rsidRPr="00E1189D">
        <w:rPr>
          <w:rFonts w:ascii="Verdana" w:eastAsia="Times New Roman" w:hAnsi="Verdana" w:cs="Times New Roman"/>
          <w:color w:val="000000"/>
          <w:sz w:val="19"/>
          <w:szCs w:val="19"/>
        </w:rPr>
        <w:t>The City of Gary held its First Public Hearing on December 20, 2024 at 4:00 PM. No comments were received. </w:t>
      </w:r>
    </w:p>
    <w:p w14:paraId="5F26E786" w14:textId="77777777" w:rsidR="00E1189D" w:rsidRPr="00E1189D" w:rsidRDefault="00E1189D" w:rsidP="00E1189D">
      <w:pPr>
        <w:spacing w:before="100" w:beforeAutospacing="1" w:after="100" w:afterAutospacing="1" w:line="240" w:lineRule="auto"/>
        <w:rPr>
          <w:rFonts w:ascii="Verdana" w:eastAsia="Times New Roman" w:hAnsi="Verdana" w:cs="Times New Roman"/>
          <w:color w:val="000000"/>
          <w:sz w:val="19"/>
          <w:szCs w:val="19"/>
        </w:rPr>
      </w:pPr>
      <w:r w:rsidRPr="00E1189D">
        <w:rPr>
          <w:rFonts w:ascii="Verdana" w:eastAsia="Times New Roman" w:hAnsi="Verdana" w:cs="Times New Roman"/>
          <w:color w:val="000000"/>
          <w:sz w:val="19"/>
          <w:szCs w:val="19"/>
        </w:rPr>
        <w:t>The Five-Year Consolidated Plan and FY 2024 Annual Action Plan were placed on public display from Thursday, August 14, 2025 to September 15, 2025. A Second Public Hearing was held on Thursday, August 7, 2025 at 4:00 PM. </w:t>
      </w:r>
    </w:p>
    <w:p w14:paraId="79EAC952" w14:textId="36476530" w:rsidR="00E1189D" w:rsidRDefault="00E1189D" w:rsidP="00E1189D">
      <w:pPr>
        <w:pStyle w:val="NormalWeb"/>
        <w:rPr>
          <w:b/>
          <w:bCs/>
        </w:rPr>
      </w:pPr>
      <w:r>
        <w:t xml:space="preserve">6. </w:t>
      </w:r>
      <w:r w:rsidRPr="00E1189D">
        <w:rPr>
          <w:b/>
          <w:bCs/>
        </w:rPr>
        <w:t>Summary of comments or views not accepted and the reasons for not accepting them.</w:t>
      </w:r>
    </w:p>
    <w:p w14:paraId="6C01A14D" w14:textId="07A0E24C" w:rsidR="00E1189D" w:rsidRDefault="00E1189D" w:rsidP="00E1189D">
      <w:pPr>
        <w:pStyle w:val="NormalWeb"/>
        <w:rPr>
          <w:rFonts w:ascii="Verdana" w:hAnsi="Verdana"/>
          <w:color w:val="000000"/>
          <w:sz w:val="19"/>
          <w:szCs w:val="19"/>
          <w:shd w:val="clear" w:color="auto" w:fill="FFFFFF"/>
        </w:rPr>
      </w:pPr>
      <w:r>
        <w:rPr>
          <w:rFonts w:ascii="Verdana" w:hAnsi="Verdana"/>
          <w:color w:val="000000"/>
          <w:sz w:val="19"/>
          <w:szCs w:val="19"/>
          <w:shd w:val="clear" w:color="auto" w:fill="FFFFFF"/>
        </w:rPr>
        <w:t>All comments and suggestions that were received to date, have been accepted and incorporated into the planning document.</w:t>
      </w:r>
    </w:p>
    <w:p w14:paraId="42163A9A" w14:textId="28A7DB1E" w:rsidR="00E1189D" w:rsidRDefault="00E1189D" w:rsidP="00E1189D">
      <w:pPr>
        <w:pStyle w:val="NormalWeb"/>
        <w:rPr>
          <w:b/>
          <w:bCs/>
        </w:rPr>
      </w:pPr>
      <w:r>
        <w:rPr>
          <w:rFonts w:ascii="Verdana" w:hAnsi="Verdana"/>
          <w:color w:val="000000"/>
          <w:sz w:val="19"/>
          <w:szCs w:val="19"/>
          <w:shd w:val="clear" w:color="auto" w:fill="FFFFFF"/>
        </w:rPr>
        <w:t xml:space="preserve">7. </w:t>
      </w:r>
      <w:r w:rsidRPr="00E1189D">
        <w:rPr>
          <w:b/>
          <w:bCs/>
        </w:rPr>
        <w:t>Summary</w:t>
      </w:r>
    </w:p>
    <w:p w14:paraId="2FE658CE" w14:textId="77777777" w:rsidR="00E1189D" w:rsidRPr="00E1189D" w:rsidRDefault="00E1189D" w:rsidP="00E1189D">
      <w:pPr>
        <w:spacing w:before="100" w:beforeAutospacing="1" w:after="100" w:afterAutospacing="1" w:line="240" w:lineRule="auto"/>
        <w:rPr>
          <w:rFonts w:ascii="Verdana" w:eastAsia="Times New Roman" w:hAnsi="Verdana" w:cs="Times New Roman"/>
          <w:color w:val="000000"/>
          <w:sz w:val="19"/>
          <w:szCs w:val="19"/>
        </w:rPr>
      </w:pPr>
      <w:r w:rsidRPr="00E1189D">
        <w:rPr>
          <w:rFonts w:ascii="Verdana" w:eastAsia="Times New Roman" w:hAnsi="Verdana" w:cs="Times New Roman"/>
          <w:b/>
          <w:bCs/>
          <w:color w:val="000000"/>
          <w:sz w:val="19"/>
          <w:szCs w:val="19"/>
        </w:rPr>
        <w:t>The primary goals of the Five-Year Consolidated Plan</w:t>
      </w:r>
      <w:r w:rsidRPr="00E1189D">
        <w:rPr>
          <w:rFonts w:ascii="Verdana" w:eastAsia="Times New Roman" w:hAnsi="Verdana" w:cs="Times New Roman"/>
          <w:color w:val="000000"/>
          <w:sz w:val="19"/>
          <w:szCs w:val="19"/>
        </w:rPr>
        <w:t> are to expand and preserve affordable housing opportunities, invest in new and upgraded infrastructure, and improve the overall quality of life for residents of the City of Gary. The Plan seeks to create a safe, sustainable, and equitable living environment while addressing the housing and community development needs of low- and moderate-income households.</w:t>
      </w:r>
    </w:p>
    <w:p w14:paraId="32E9ABBB" w14:textId="77777777" w:rsidR="00E1189D" w:rsidRPr="00E1189D" w:rsidRDefault="00E1189D" w:rsidP="00E1189D">
      <w:pPr>
        <w:spacing w:before="100" w:beforeAutospacing="1" w:after="100" w:afterAutospacing="1" w:line="240" w:lineRule="auto"/>
        <w:rPr>
          <w:rFonts w:ascii="Verdana" w:eastAsia="Times New Roman" w:hAnsi="Verdana" w:cs="Times New Roman"/>
          <w:color w:val="000000"/>
          <w:sz w:val="19"/>
          <w:szCs w:val="19"/>
        </w:rPr>
      </w:pPr>
      <w:r w:rsidRPr="00E1189D">
        <w:rPr>
          <w:rFonts w:ascii="Verdana" w:eastAsia="Times New Roman" w:hAnsi="Verdana" w:cs="Times New Roman"/>
          <w:color w:val="000000"/>
          <w:sz w:val="19"/>
          <w:szCs w:val="19"/>
        </w:rPr>
        <w:lastRenderedPageBreak/>
        <w:t>Through the Consolidated Planning process, the city outlines its strategies for increasing access to affordable housing, revitalizing neighborhoods, and modernizing public infrastructure, including streets, sidewalks, lighting, utilities, and community facilities. Over the next five (5) years, the City will use the goals identified in this Plan to guide the allocation of </w:t>
      </w:r>
      <w:r w:rsidRPr="00E1189D">
        <w:rPr>
          <w:rFonts w:ascii="Verdana" w:eastAsia="Times New Roman" w:hAnsi="Verdana" w:cs="Times New Roman"/>
          <w:b/>
          <w:bCs/>
          <w:color w:val="000000"/>
          <w:sz w:val="19"/>
          <w:szCs w:val="19"/>
        </w:rPr>
        <w:t>CDBG</w:t>
      </w:r>
      <w:r w:rsidRPr="00E1189D">
        <w:rPr>
          <w:rFonts w:ascii="Verdana" w:eastAsia="Times New Roman" w:hAnsi="Verdana" w:cs="Times New Roman"/>
          <w:color w:val="000000"/>
          <w:sz w:val="19"/>
          <w:szCs w:val="19"/>
        </w:rPr>
        <w:t>, </w:t>
      </w:r>
      <w:r w:rsidRPr="00E1189D">
        <w:rPr>
          <w:rFonts w:ascii="Verdana" w:eastAsia="Times New Roman" w:hAnsi="Verdana" w:cs="Times New Roman"/>
          <w:b/>
          <w:bCs/>
          <w:color w:val="000000"/>
          <w:sz w:val="19"/>
          <w:szCs w:val="19"/>
        </w:rPr>
        <w:t>HOME</w:t>
      </w:r>
      <w:r w:rsidRPr="00E1189D">
        <w:rPr>
          <w:rFonts w:ascii="Verdana" w:eastAsia="Times New Roman" w:hAnsi="Verdana" w:cs="Times New Roman"/>
          <w:color w:val="000000"/>
          <w:sz w:val="19"/>
          <w:szCs w:val="19"/>
        </w:rPr>
        <w:t>, and </w:t>
      </w:r>
      <w:r w:rsidRPr="00E1189D">
        <w:rPr>
          <w:rFonts w:ascii="Verdana" w:eastAsia="Times New Roman" w:hAnsi="Verdana" w:cs="Times New Roman"/>
          <w:b/>
          <w:bCs/>
          <w:color w:val="000000"/>
          <w:sz w:val="19"/>
          <w:szCs w:val="19"/>
        </w:rPr>
        <w:t>ESG</w:t>
      </w:r>
      <w:r w:rsidRPr="00E1189D">
        <w:rPr>
          <w:rFonts w:ascii="Verdana" w:eastAsia="Times New Roman" w:hAnsi="Verdana" w:cs="Times New Roman"/>
          <w:color w:val="000000"/>
          <w:sz w:val="19"/>
          <w:szCs w:val="19"/>
        </w:rPr>
        <w:t> funds and to coordinate efforts with strategic partners, participating agencies, and stakeholders. These coordinated investments will focus on creating stable, affordable housing options and building the infrastructure necessary to support long-term community growth and economic opportunity.</w:t>
      </w:r>
    </w:p>
    <w:p w14:paraId="4A8DE5A4" w14:textId="17F04CFD" w:rsidR="00E1189D" w:rsidRDefault="00E1189D" w:rsidP="00E1189D">
      <w:pPr>
        <w:pStyle w:val="NormalWeb"/>
        <w:rPr>
          <w:b/>
          <w:bCs/>
        </w:rPr>
      </w:pPr>
      <w:r>
        <w:rPr>
          <w:b/>
          <w:bCs/>
        </w:rPr>
        <w:t>8. Available Funding</w:t>
      </w:r>
    </w:p>
    <w:p w14:paraId="4E1A1B1C" w14:textId="77777777" w:rsidR="002D7F96" w:rsidRDefault="00E1189D" w:rsidP="00E1189D">
      <w:pPr>
        <w:pStyle w:val="NormalWeb"/>
      </w:pPr>
      <w:r w:rsidRPr="00E1189D">
        <w:t xml:space="preserve">The activities and accomplishment goals outlined in this document are based on the Federal Fiscal Year 2025 </w:t>
      </w:r>
      <w:r>
        <w:t xml:space="preserve">allocated funds available to the city of Gary as described below. </w:t>
      </w:r>
    </w:p>
    <w:p w14:paraId="142D936F" w14:textId="5D538455" w:rsidR="002D7F96" w:rsidRDefault="002D7F96" w:rsidP="002D7F96">
      <w:pPr>
        <w:pStyle w:val="NormalWeb"/>
        <w:spacing w:before="0" w:beforeAutospacing="0" w:after="0" w:afterAutospacing="0"/>
      </w:pPr>
      <w:r>
        <w:t>CDBG        $3,210,180.00</w:t>
      </w:r>
    </w:p>
    <w:p w14:paraId="68089AE6" w14:textId="61A4E448" w:rsidR="002D7F96" w:rsidRDefault="002D7F96" w:rsidP="002D7F96">
      <w:pPr>
        <w:pStyle w:val="NormalWeb"/>
        <w:spacing w:before="0" w:beforeAutospacing="0" w:after="0" w:afterAutospacing="0"/>
      </w:pPr>
      <w:r>
        <w:t>HOME            $89,670.62</w:t>
      </w:r>
    </w:p>
    <w:p w14:paraId="0DD6942C" w14:textId="2C034897" w:rsidR="002D7F96" w:rsidRDefault="002D7F96" w:rsidP="002D7F96">
      <w:pPr>
        <w:pStyle w:val="NormalWeb"/>
        <w:spacing w:before="0" w:beforeAutospacing="0" w:after="0" w:afterAutospacing="0"/>
      </w:pPr>
      <w:r>
        <w:t>ESG              $286,232.00</w:t>
      </w:r>
    </w:p>
    <w:p w14:paraId="15049283" w14:textId="6B757445" w:rsidR="002D7F96" w:rsidRDefault="002D7F96" w:rsidP="002D7F96">
      <w:pPr>
        <w:pStyle w:val="NormalWeb"/>
        <w:spacing w:before="0" w:beforeAutospacing="0" w:after="0" w:afterAutospacing="0"/>
      </w:pPr>
    </w:p>
    <w:p w14:paraId="13FA5C40" w14:textId="06B1CD5C" w:rsidR="002D7F96" w:rsidRDefault="002D7F96" w:rsidP="002D7F96">
      <w:pPr>
        <w:pStyle w:val="NormalWeb"/>
        <w:spacing w:before="0" w:beforeAutospacing="0" w:after="0" w:afterAutospacing="0"/>
      </w:pPr>
    </w:p>
    <w:p w14:paraId="6E1FE82F" w14:textId="18C183C3" w:rsidR="002D7F96" w:rsidRPr="002D7F96" w:rsidRDefault="002D7F96" w:rsidP="002D7F96">
      <w:pPr>
        <w:pStyle w:val="NormalWeb"/>
        <w:spacing w:before="0" w:beforeAutospacing="0" w:after="0" w:afterAutospacing="0"/>
        <w:rPr>
          <w:b/>
          <w:bCs/>
        </w:rPr>
      </w:pPr>
      <w:r w:rsidRPr="002D7F96">
        <w:rPr>
          <w:b/>
          <w:bCs/>
        </w:rPr>
        <w:t xml:space="preserve">2025 Funded Activities </w:t>
      </w:r>
    </w:p>
    <w:p w14:paraId="55680ED6" w14:textId="77777777" w:rsidR="002D7F96" w:rsidRPr="00E1189D" w:rsidRDefault="00E1189D" w:rsidP="002D7F96">
      <w:pPr>
        <w:pStyle w:val="NormalWeb"/>
      </w:pPr>
      <w:r w:rsidRPr="00E1189D">
        <w:t xml:space="preserve"> </w:t>
      </w:r>
    </w:p>
    <w:tbl>
      <w:tblPr>
        <w:tblStyle w:val="TableGrid"/>
        <w:tblW w:w="0" w:type="auto"/>
        <w:tblBorders>
          <w:insideV w:val="none" w:sz="0" w:space="0" w:color="auto"/>
        </w:tblBorders>
        <w:tblLook w:val="04A0" w:firstRow="1" w:lastRow="0" w:firstColumn="1" w:lastColumn="0" w:noHBand="0" w:noVBand="1"/>
      </w:tblPr>
      <w:tblGrid>
        <w:gridCol w:w="9350"/>
      </w:tblGrid>
      <w:tr w:rsidR="002D7F96" w:rsidRPr="002D7F96" w14:paraId="780666CF" w14:textId="77777777" w:rsidTr="00BD57E6">
        <w:tc>
          <w:tcPr>
            <w:tcW w:w="9350" w:type="dxa"/>
          </w:tcPr>
          <w:p w14:paraId="140DFF43" w14:textId="77777777" w:rsidR="002D7F96" w:rsidRPr="002D7F96" w:rsidRDefault="002D7F96" w:rsidP="002D7F96">
            <w:pPr>
              <w:rPr>
                <w:b/>
                <w:bCs/>
                <w:color w:val="FF0000"/>
                <w:sz w:val="24"/>
                <w:szCs w:val="24"/>
              </w:rPr>
            </w:pPr>
            <w:r w:rsidRPr="002D7F96">
              <w:rPr>
                <w:b/>
                <w:bCs/>
                <w:color w:val="FF0000"/>
                <w:sz w:val="24"/>
                <w:szCs w:val="24"/>
              </w:rPr>
              <w:t>Community Development Block Grant                                                                        $3,210,180.00</w:t>
            </w:r>
          </w:p>
        </w:tc>
      </w:tr>
      <w:tr w:rsidR="002D7F96" w:rsidRPr="002D7F96" w14:paraId="0F40F561" w14:textId="77777777" w:rsidTr="00BD57E6">
        <w:tc>
          <w:tcPr>
            <w:tcW w:w="9350" w:type="dxa"/>
          </w:tcPr>
          <w:p w14:paraId="28A2F941" w14:textId="77777777" w:rsidR="002D7F96" w:rsidRPr="002D7F96" w:rsidRDefault="002D7F96" w:rsidP="002D7F96">
            <w:pPr>
              <w:rPr>
                <w:sz w:val="24"/>
                <w:szCs w:val="24"/>
              </w:rPr>
            </w:pPr>
          </w:p>
        </w:tc>
      </w:tr>
      <w:tr w:rsidR="002D7F96" w:rsidRPr="002D7F96" w14:paraId="37ED91A1" w14:textId="77777777" w:rsidTr="00BD57E6">
        <w:tc>
          <w:tcPr>
            <w:tcW w:w="9350" w:type="dxa"/>
          </w:tcPr>
          <w:p w14:paraId="4A1237A5" w14:textId="77777777" w:rsidR="002D7F96" w:rsidRPr="002D7F96" w:rsidRDefault="002D7F96" w:rsidP="002D7F96">
            <w:pPr>
              <w:rPr>
                <w:sz w:val="24"/>
                <w:szCs w:val="24"/>
              </w:rPr>
            </w:pPr>
            <w:r w:rsidRPr="002D7F96">
              <w:rPr>
                <w:b/>
                <w:bCs/>
                <w:sz w:val="24"/>
                <w:szCs w:val="24"/>
              </w:rPr>
              <w:t>Public Facilities and Infrastructure</w:t>
            </w:r>
            <w:r w:rsidRPr="002D7F96">
              <w:rPr>
                <w:sz w:val="24"/>
                <w:szCs w:val="24"/>
              </w:rPr>
              <w:t xml:space="preserve">                                                                                         </w:t>
            </w:r>
            <w:r w:rsidRPr="002D7F96">
              <w:rPr>
                <w:b/>
                <w:bCs/>
                <w:sz w:val="24"/>
                <w:szCs w:val="24"/>
              </w:rPr>
              <w:t>$950,000</w:t>
            </w:r>
          </w:p>
        </w:tc>
      </w:tr>
      <w:tr w:rsidR="002D7F96" w:rsidRPr="002D7F96" w14:paraId="6F6F07BF" w14:textId="77777777" w:rsidTr="00BD57E6">
        <w:tc>
          <w:tcPr>
            <w:tcW w:w="9350" w:type="dxa"/>
          </w:tcPr>
          <w:p w14:paraId="2FF89B6A" w14:textId="77777777" w:rsidR="002D7F96" w:rsidRPr="002D7F96" w:rsidRDefault="002D7F96" w:rsidP="002D7F96">
            <w:pPr>
              <w:numPr>
                <w:ilvl w:val="0"/>
                <w:numId w:val="5"/>
              </w:numPr>
              <w:contextualSpacing/>
              <w:rPr>
                <w:sz w:val="24"/>
                <w:szCs w:val="24"/>
              </w:rPr>
            </w:pPr>
            <w:r w:rsidRPr="002D7F96">
              <w:rPr>
                <w:sz w:val="24"/>
                <w:szCs w:val="24"/>
              </w:rPr>
              <w:t>Fire Improvements                                                                                                     $300,000</w:t>
            </w:r>
          </w:p>
        </w:tc>
      </w:tr>
      <w:tr w:rsidR="002D7F96" w:rsidRPr="002D7F96" w14:paraId="56985026" w14:textId="77777777" w:rsidTr="00BD57E6">
        <w:tc>
          <w:tcPr>
            <w:tcW w:w="9350" w:type="dxa"/>
          </w:tcPr>
          <w:p w14:paraId="11892D37" w14:textId="77777777" w:rsidR="002D7F96" w:rsidRPr="002D7F96" w:rsidRDefault="002D7F96" w:rsidP="002D7F96">
            <w:pPr>
              <w:numPr>
                <w:ilvl w:val="0"/>
                <w:numId w:val="5"/>
              </w:numPr>
              <w:contextualSpacing/>
              <w:rPr>
                <w:sz w:val="24"/>
                <w:szCs w:val="24"/>
              </w:rPr>
            </w:pPr>
            <w:r w:rsidRPr="002D7F96">
              <w:rPr>
                <w:sz w:val="24"/>
                <w:szCs w:val="24"/>
              </w:rPr>
              <w:t>Street Improvements                                                                                                 $650,000</w:t>
            </w:r>
          </w:p>
        </w:tc>
      </w:tr>
      <w:tr w:rsidR="002D7F96" w:rsidRPr="002D7F96" w14:paraId="5591D36D" w14:textId="77777777" w:rsidTr="00BD57E6">
        <w:tc>
          <w:tcPr>
            <w:tcW w:w="9350" w:type="dxa"/>
          </w:tcPr>
          <w:p w14:paraId="2C47B259" w14:textId="77777777" w:rsidR="002D7F96" w:rsidRPr="002D7F96" w:rsidRDefault="002D7F96" w:rsidP="002D7F96">
            <w:pPr>
              <w:jc w:val="center"/>
              <w:rPr>
                <w:sz w:val="24"/>
                <w:szCs w:val="24"/>
              </w:rPr>
            </w:pPr>
          </w:p>
        </w:tc>
      </w:tr>
      <w:tr w:rsidR="002D7F96" w:rsidRPr="002D7F96" w14:paraId="117E1B44" w14:textId="77777777" w:rsidTr="00BD57E6">
        <w:tc>
          <w:tcPr>
            <w:tcW w:w="9350" w:type="dxa"/>
          </w:tcPr>
          <w:p w14:paraId="5668E74B" w14:textId="77777777" w:rsidR="002D7F96" w:rsidRPr="002D7F96" w:rsidRDefault="002D7F96" w:rsidP="002D7F96">
            <w:pPr>
              <w:rPr>
                <w:sz w:val="24"/>
                <w:szCs w:val="24"/>
              </w:rPr>
            </w:pPr>
            <w:r w:rsidRPr="002D7F96">
              <w:rPr>
                <w:b/>
                <w:bCs/>
                <w:sz w:val="24"/>
                <w:szCs w:val="24"/>
              </w:rPr>
              <w:t>Public Services                                                                                                                            $475,000</w:t>
            </w:r>
          </w:p>
        </w:tc>
      </w:tr>
      <w:tr w:rsidR="002D7F96" w:rsidRPr="002D7F96" w14:paraId="52236969" w14:textId="77777777" w:rsidTr="00BD57E6">
        <w:tc>
          <w:tcPr>
            <w:tcW w:w="9350" w:type="dxa"/>
          </w:tcPr>
          <w:p w14:paraId="2DE8AC36" w14:textId="77777777" w:rsidR="002D7F96" w:rsidRPr="002D7F96" w:rsidRDefault="002D7F96" w:rsidP="002D7F96">
            <w:pPr>
              <w:numPr>
                <w:ilvl w:val="0"/>
                <w:numId w:val="4"/>
              </w:numPr>
              <w:contextualSpacing/>
              <w:rPr>
                <w:sz w:val="24"/>
                <w:szCs w:val="24"/>
              </w:rPr>
            </w:pPr>
            <w:r w:rsidRPr="002D7F96">
              <w:rPr>
                <w:sz w:val="24"/>
                <w:szCs w:val="24"/>
              </w:rPr>
              <w:t>Human Relations Commission                                                                                    $85,000</w:t>
            </w:r>
          </w:p>
        </w:tc>
      </w:tr>
      <w:tr w:rsidR="002D7F96" w:rsidRPr="002D7F96" w14:paraId="2BE588A5" w14:textId="77777777" w:rsidTr="00BD57E6">
        <w:tc>
          <w:tcPr>
            <w:tcW w:w="9350" w:type="dxa"/>
          </w:tcPr>
          <w:p w14:paraId="338FBA29" w14:textId="77777777" w:rsidR="002D7F96" w:rsidRPr="002D7F96" w:rsidRDefault="002D7F96" w:rsidP="002D7F96">
            <w:pPr>
              <w:numPr>
                <w:ilvl w:val="0"/>
                <w:numId w:val="4"/>
              </w:numPr>
              <w:contextualSpacing/>
              <w:rPr>
                <w:sz w:val="24"/>
                <w:szCs w:val="24"/>
              </w:rPr>
            </w:pPr>
            <w:r w:rsidRPr="002D7F96">
              <w:rPr>
                <w:sz w:val="24"/>
                <w:szCs w:val="24"/>
              </w:rPr>
              <w:t>Summer Passport                                                                                                          $250,000</w:t>
            </w:r>
          </w:p>
        </w:tc>
      </w:tr>
      <w:tr w:rsidR="002D7F96" w:rsidRPr="002D7F96" w14:paraId="6B7D504A" w14:textId="77777777" w:rsidTr="00BD57E6">
        <w:tc>
          <w:tcPr>
            <w:tcW w:w="9350" w:type="dxa"/>
          </w:tcPr>
          <w:p w14:paraId="1FB7DBF0" w14:textId="77777777" w:rsidR="002D7F96" w:rsidRPr="002D7F96" w:rsidRDefault="002D7F96" w:rsidP="002D7F96">
            <w:pPr>
              <w:numPr>
                <w:ilvl w:val="0"/>
                <w:numId w:val="4"/>
              </w:numPr>
              <w:contextualSpacing/>
              <w:rPr>
                <w:sz w:val="24"/>
                <w:szCs w:val="24"/>
              </w:rPr>
            </w:pPr>
            <w:r w:rsidRPr="002D7F96">
              <w:rPr>
                <w:sz w:val="24"/>
                <w:szCs w:val="24"/>
              </w:rPr>
              <w:t>Food Bank                                                                                                                       $70,000</w:t>
            </w:r>
          </w:p>
        </w:tc>
      </w:tr>
      <w:tr w:rsidR="002D7F96" w:rsidRPr="002D7F96" w14:paraId="1DA04055" w14:textId="77777777" w:rsidTr="00BD57E6">
        <w:tc>
          <w:tcPr>
            <w:tcW w:w="9350" w:type="dxa"/>
          </w:tcPr>
          <w:p w14:paraId="417E1960" w14:textId="77777777" w:rsidR="002D7F96" w:rsidRPr="002D7F96" w:rsidRDefault="002D7F96" w:rsidP="002D7F96">
            <w:pPr>
              <w:numPr>
                <w:ilvl w:val="0"/>
                <w:numId w:val="4"/>
              </w:numPr>
              <w:contextualSpacing/>
              <w:rPr>
                <w:sz w:val="24"/>
                <w:szCs w:val="24"/>
              </w:rPr>
            </w:pPr>
            <w:r w:rsidRPr="002D7F96">
              <w:rPr>
                <w:sz w:val="24"/>
                <w:szCs w:val="24"/>
              </w:rPr>
              <w:t>Meals on Wheels                                                                                                           $70,000</w:t>
            </w:r>
          </w:p>
        </w:tc>
      </w:tr>
      <w:tr w:rsidR="002D7F96" w:rsidRPr="002D7F96" w14:paraId="0FC1D9ED" w14:textId="77777777" w:rsidTr="00BD57E6">
        <w:tc>
          <w:tcPr>
            <w:tcW w:w="9350" w:type="dxa"/>
          </w:tcPr>
          <w:p w14:paraId="27D0C928" w14:textId="77777777" w:rsidR="002D7F96" w:rsidRPr="002D7F96" w:rsidRDefault="002D7F96" w:rsidP="002D7F96">
            <w:pPr>
              <w:ind w:left="720"/>
              <w:contextualSpacing/>
              <w:rPr>
                <w:sz w:val="24"/>
                <w:szCs w:val="24"/>
              </w:rPr>
            </w:pPr>
          </w:p>
        </w:tc>
      </w:tr>
      <w:tr w:rsidR="002D7F96" w:rsidRPr="002D7F96" w14:paraId="09B4787F" w14:textId="77777777" w:rsidTr="00BD57E6">
        <w:tc>
          <w:tcPr>
            <w:tcW w:w="9350" w:type="dxa"/>
          </w:tcPr>
          <w:p w14:paraId="1AD21D23" w14:textId="77777777" w:rsidR="002D7F96" w:rsidRPr="002D7F96" w:rsidRDefault="002D7F96" w:rsidP="002D7F96">
            <w:pPr>
              <w:rPr>
                <w:sz w:val="24"/>
                <w:szCs w:val="24"/>
              </w:rPr>
            </w:pPr>
            <w:r w:rsidRPr="002D7F96">
              <w:rPr>
                <w:b/>
                <w:bCs/>
                <w:sz w:val="24"/>
                <w:szCs w:val="24"/>
              </w:rPr>
              <w:t xml:space="preserve">Housing     </w:t>
            </w:r>
            <w:r w:rsidRPr="002D7F96">
              <w:rPr>
                <w:sz w:val="24"/>
                <w:szCs w:val="24"/>
              </w:rPr>
              <w:t xml:space="preserve">                                                                                                                                   </w:t>
            </w:r>
            <w:r w:rsidRPr="002D7F96">
              <w:rPr>
                <w:b/>
                <w:bCs/>
                <w:sz w:val="24"/>
                <w:szCs w:val="24"/>
              </w:rPr>
              <w:t>$350,000</w:t>
            </w:r>
          </w:p>
        </w:tc>
      </w:tr>
      <w:tr w:rsidR="002D7F96" w:rsidRPr="002D7F96" w14:paraId="10248F49" w14:textId="77777777" w:rsidTr="00BD57E6">
        <w:tc>
          <w:tcPr>
            <w:tcW w:w="9350" w:type="dxa"/>
          </w:tcPr>
          <w:p w14:paraId="6B7F5D20" w14:textId="77777777" w:rsidR="002D7F96" w:rsidRPr="002D7F96" w:rsidRDefault="002D7F96" w:rsidP="002D7F96">
            <w:pPr>
              <w:numPr>
                <w:ilvl w:val="0"/>
                <w:numId w:val="3"/>
              </w:numPr>
              <w:contextualSpacing/>
              <w:rPr>
                <w:sz w:val="24"/>
                <w:szCs w:val="24"/>
              </w:rPr>
            </w:pPr>
            <w:r w:rsidRPr="002D7F96">
              <w:rPr>
                <w:sz w:val="24"/>
                <w:szCs w:val="24"/>
              </w:rPr>
              <w:t>Emergency Repair Program                                                                                   $50,000</w:t>
            </w:r>
          </w:p>
        </w:tc>
      </w:tr>
      <w:tr w:rsidR="002D7F96" w:rsidRPr="002D7F96" w14:paraId="52422F4A" w14:textId="77777777" w:rsidTr="00BD57E6">
        <w:tc>
          <w:tcPr>
            <w:tcW w:w="9350" w:type="dxa"/>
          </w:tcPr>
          <w:p w14:paraId="6599A455" w14:textId="77777777" w:rsidR="002D7F96" w:rsidRPr="002D7F96" w:rsidRDefault="002D7F96" w:rsidP="002D7F96">
            <w:pPr>
              <w:numPr>
                <w:ilvl w:val="0"/>
                <w:numId w:val="3"/>
              </w:numPr>
              <w:contextualSpacing/>
              <w:rPr>
                <w:sz w:val="24"/>
                <w:szCs w:val="24"/>
              </w:rPr>
            </w:pPr>
            <w:r w:rsidRPr="002D7F96">
              <w:rPr>
                <w:sz w:val="24"/>
                <w:szCs w:val="24"/>
              </w:rPr>
              <w:t>Senior Repair Program                                                                                           $50,000</w:t>
            </w:r>
          </w:p>
        </w:tc>
      </w:tr>
      <w:tr w:rsidR="002D7F96" w:rsidRPr="002D7F96" w14:paraId="03612AAD" w14:textId="77777777" w:rsidTr="00BD57E6">
        <w:tc>
          <w:tcPr>
            <w:tcW w:w="9350" w:type="dxa"/>
          </w:tcPr>
          <w:p w14:paraId="501CFEA0" w14:textId="77777777" w:rsidR="002D7F96" w:rsidRPr="002D7F96" w:rsidRDefault="002D7F96" w:rsidP="002D7F96">
            <w:pPr>
              <w:numPr>
                <w:ilvl w:val="0"/>
                <w:numId w:val="3"/>
              </w:numPr>
              <w:contextualSpacing/>
              <w:rPr>
                <w:sz w:val="24"/>
                <w:szCs w:val="24"/>
              </w:rPr>
            </w:pPr>
            <w:r w:rsidRPr="002D7F96">
              <w:rPr>
                <w:sz w:val="24"/>
                <w:szCs w:val="24"/>
              </w:rPr>
              <w:t>Housing Administration                                                                                         $250,000</w:t>
            </w:r>
          </w:p>
        </w:tc>
      </w:tr>
      <w:tr w:rsidR="002D7F96" w:rsidRPr="002D7F96" w14:paraId="6EDC886C" w14:textId="77777777" w:rsidTr="00BD57E6">
        <w:tc>
          <w:tcPr>
            <w:tcW w:w="9350" w:type="dxa"/>
          </w:tcPr>
          <w:p w14:paraId="41AEED90" w14:textId="77777777" w:rsidR="002D7F96" w:rsidRPr="002D7F96" w:rsidRDefault="002D7F96" w:rsidP="002D7F96">
            <w:pPr>
              <w:ind w:left="924"/>
              <w:contextualSpacing/>
              <w:rPr>
                <w:sz w:val="24"/>
                <w:szCs w:val="24"/>
              </w:rPr>
            </w:pPr>
          </w:p>
        </w:tc>
      </w:tr>
      <w:tr w:rsidR="002D7F96" w:rsidRPr="002D7F96" w14:paraId="1C887DB7" w14:textId="77777777" w:rsidTr="00BD57E6">
        <w:tc>
          <w:tcPr>
            <w:tcW w:w="9350" w:type="dxa"/>
          </w:tcPr>
          <w:p w14:paraId="1D6A92A5" w14:textId="77777777" w:rsidR="002D7F96" w:rsidRPr="002D7F96" w:rsidRDefault="002D7F96" w:rsidP="002D7F96">
            <w:pPr>
              <w:rPr>
                <w:sz w:val="24"/>
                <w:szCs w:val="24"/>
              </w:rPr>
            </w:pPr>
            <w:r w:rsidRPr="002D7F96">
              <w:rPr>
                <w:b/>
                <w:bCs/>
                <w:sz w:val="24"/>
                <w:szCs w:val="24"/>
              </w:rPr>
              <w:t>Clearance and Demolition                                                                                                      $400,000</w:t>
            </w:r>
          </w:p>
        </w:tc>
      </w:tr>
      <w:tr w:rsidR="002D7F96" w:rsidRPr="002D7F96" w14:paraId="5C140DB3" w14:textId="77777777" w:rsidTr="00BD57E6">
        <w:tc>
          <w:tcPr>
            <w:tcW w:w="9350" w:type="dxa"/>
          </w:tcPr>
          <w:p w14:paraId="3B4B8AAE" w14:textId="77777777" w:rsidR="002D7F96" w:rsidRPr="002D7F96" w:rsidRDefault="002D7F96" w:rsidP="002D7F96">
            <w:pPr>
              <w:numPr>
                <w:ilvl w:val="0"/>
                <w:numId w:val="6"/>
              </w:numPr>
              <w:contextualSpacing/>
              <w:rPr>
                <w:sz w:val="24"/>
                <w:szCs w:val="24"/>
              </w:rPr>
            </w:pPr>
            <w:r w:rsidRPr="002D7F96">
              <w:rPr>
                <w:sz w:val="24"/>
                <w:szCs w:val="24"/>
              </w:rPr>
              <w:t>Redevelopment Division                                                                                           $400,000</w:t>
            </w:r>
          </w:p>
        </w:tc>
      </w:tr>
      <w:tr w:rsidR="002D7F96" w:rsidRPr="002D7F96" w14:paraId="2B70850D" w14:textId="77777777" w:rsidTr="00BD57E6">
        <w:tc>
          <w:tcPr>
            <w:tcW w:w="9350" w:type="dxa"/>
          </w:tcPr>
          <w:p w14:paraId="085E79BA" w14:textId="77777777" w:rsidR="002D7F96" w:rsidRPr="002D7F96" w:rsidRDefault="002D7F96" w:rsidP="002D7F96">
            <w:pPr>
              <w:ind w:left="720"/>
              <w:contextualSpacing/>
              <w:rPr>
                <w:sz w:val="24"/>
                <w:szCs w:val="24"/>
              </w:rPr>
            </w:pPr>
          </w:p>
        </w:tc>
      </w:tr>
      <w:tr w:rsidR="002D7F96" w:rsidRPr="002D7F96" w14:paraId="0793AEAC" w14:textId="77777777" w:rsidTr="00BD57E6">
        <w:tc>
          <w:tcPr>
            <w:tcW w:w="9350" w:type="dxa"/>
          </w:tcPr>
          <w:p w14:paraId="16AD0B35" w14:textId="77777777" w:rsidR="002D7F96" w:rsidRPr="002D7F96" w:rsidRDefault="002D7F96" w:rsidP="002D7F96">
            <w:pPr>
              <w:rPr>
                <w:b/>
                <w:bCs/>
                <w:sz w:val="24"/>
                <w:szCs w:val="24"/>
              </w:rPr>
            </w:pPr>
            <w:r w:rsidRPr="002D7F96">
              <w:rPr>
                <w:b/>
                <w:bCs/>
                <w:sz w:val="24"/>
                <w:szCs w:val="24"/>
              </w:rPr>
              <w:t>Other                                                                                                                                          $400,000</w:t>
            </w:r>
          </w:p>
        </w:tc>
      </w:tr>
      <w:tr w:rsidR="002D7F96" w:rsidRPr="002D7F96" w14:paraId="7C4E8DBB" w14:textId="77777777" w:rsidTr="00BD57E6">
        <w:tc>
          <w:tcPr>
            <w:tcW w:w="9350" w:type="dxa"/>
          </w:tcPr>
          <w:p w14:paraId="47A0BBB9" w14:textId="77777777" w:rsidR="002D7F96" w:rsidRPr="002D7F96" w:rsidRDefault="002D7F96" w:rsidP="002D7F96">
            <w:pPr>
              <w:numPr>
                <w:ilvl w:val="0"/>
                <w:numId w:val="6"/>
              </w:numPr>
              <w:contextualSpacing/>
              <w:rPr>
                <w:sz w:val="24"/>
                <w:szCs w:val="24"/>
              </w:rPr>
            </w:pPr>
            <w:r w:rsidRPr="002D7F96">
              <w:rPr>
                <w:sz w:val="24"/>
                <w:szCs w:val="24"/>
              </w:rPr>
              <w:t>Code Enforcement                                                                                                    $400,000</w:t>
            </w:r>
          </w:p>
        </w:tc>
      </w:tr>
      <w:tr w:rsidR="002D7F96" w:rsidRPr="002D7F96" w14:paraId="5B580B63" w14:textId="77777777" w:rsidTr="00BD57E6">
        <w:tc>
          <w:tcPr>
            <w:tcW w:w="9350" w:type="dxa"/>
          </w:tcPr>
          <w:p w14:paraId="6CA043DB" w14:textId="77777777" w:rsidR="002D7F96" w:rsidRPr="002D7F96" w:rsidRDefault="002D7F96" w:rsidP="002D7F96">
            <w:pPr>
              <w:ind w:left="720"/>
              <w:contextualSpacing/>
              <w:rPr>
                <w:sz w:val="24"/>
                <w:szCs w:val="24"/>
              </w:rPr>
            </w:pPr>
          </w:p>
        </w:tc>
      </w:tr>
      <w:tr w:rsidR="002D7F96" w:rsidRPr="002D7F96" w14:paraId="00D23FB7" w14:textId="77777777" w:rsidTr="00BD57E6">
        <w:tc>
          <w:tcPr>
            <w:tcW w:w="9350" w:type="dxa"/>
          </w:tcPr>
          <w:p w14:paraId="5BB9C548" w14:textId="77777777" w:rsidR="002D7F96" w:rsidRPr="002D7F96" w:rsidRDefault="002D7F96" w:rsidP="002D7F96">
            <w:pPr>
              <w:rPr>
                <w:b/>
                <w:bCs/>
                <w:sz w:val="24"/>
                <w:szCs w:val="24"/>
              </w:rPr>
            </w:pPr>
            <w:r w:rsidRPr="002D7F96">
              <w:rPr>
                <w:b/>
                <w:bCs/>
                <w:sz w:val="24"/>
                <w:szCs w:val="24"/>
              </w:rPr>
              <w:t>Administration                                                                                                                         $635,180</w:t>
            </w:r>
          </w:p>
        </w:tc>
      </w:tr>
      <w:tr w:rsidR="002D7F96" w:rsidRPr="002D7F96" w14:paraId="4A969274" w14:textId="77777777" w:rsidTr="00BD57E6">
        <w:tc>
          <w:tcPr>
            <w:tcW w:w="9350" w:type="dxa"/>
          </w:tcPr>
          <w:p w14:paraId="1CE2F9D1" w14:textId="77777777" w:rsidR="002D7F96" w:rsidRPr="002D7F96" w:rsidRDefault="002D7F96" w:rsidP="002D7F96">
            <w:pPr>
              <w:rPr>
                <w:sz w:val="24"/>
                <w:szCs w:val="24"/>
              </w:rPr>
            </w:pPr>
          </w:p>
        </w:tc>
      </w:tr>
      <w:tr w:rsidR="002D7F96" w:rsidRPr="002D7F96" w14:paraId="1C35B5D6" w14:textId="77777777" w:rsidTr="00BD57E6">
        <w:tc>
          <w:tcPr>
            <w:tcW w:w="9350" w:type="dxa"/>
          </w:tcPr>
          <w:p w14:paraId="0D7D5515" w14:textId="77777777" w:rsidR="002D7F96" w:rsidRPr="002D7F96" w:rsidRDefault="002D7F96" w:rsidP="002D7F96">
            <w:pPr>
              <w:rPr>
                <w:b/>
                <w:bCs/>
                <w:color w:val="FF0000"/>
                <w:sz w:val="24"/>
                <w:szCs w:val="24"/>
              </w:rPr>
            </w:pPr>
            <w:r w:rsidRPr="002D7F96">
              <w:rPr>
                <w:b/>
                <w:bCs/>
                <w:color w:val="FF0000"/>
                <w:sz w:val="24"/>
                <w:szCs w:val="24"/>
              </w:rPr>
              <w:t>Grand total                                                                                                                               $3,210,180</w:t>
            </w:r>
          </w:p>
        </w:tc>
      </w:tr>
      <w:tr w:rsidR="002D7F96" w:rsidRPr="002D7F96" w14:paraId="79E1074D" w14:textId="77777777" w:rsidTr="00BD57E6">
        <w:tc>
          <w:tcPr>
            <w:tcW w:w="9350" w:type="dxa"/>
          </w:tcPr>
          <w:p w14:paraId="538D96DA" w14:textId="77777777" w:rsidR="002D7F96" w:rsidRPr="002D7F96" w:rsidRDefault="002D7F96" w:rsidP="002D7F96">
            <w:pPr>
              <w:rPr>
                <w:sz w:val="24"/>
                <w:szCs w:val="24"/>
              </w:rPr>
            </w:pPr>
          </w:p>
        </w:tc>
      </w:tr>
      <w:tr w:rsidR="002D7F96" w:rsidRPr="002D7F96" w14:paraId="252227C9" w14:textId="77777777" w:rsidTr="00BD57E6">
        <w:tc>
          <w:tcPr>
            <w:tcW w:w="9350" w:type="dxa"/>
          </w:tcPr>
          <w:p w14:paraId="48E21A92" w14:textId="77777777" w:rsidR="002D7F96" w:rsidRPr="002D7F96" w:rsidRDefault="002D7F96" w:rsidP="002D7F96">
            <w:pPr>
              <w:rPr>
                <w:b/>
                <w:bCs/>
                <w:sz w:val="24"/>
                <w:szCs w:val="24"/>
              </w:rPr>
            </w:pPr>
            <w:r w:rsidRPr="002D7F96">
              <w:rPr>
                <w:b/>
                <w:bCs/>
                <w:color w:val="FF0000"/>
                <w:sz w:val="24"/>
                <w:szCs w:val="24"/>
              </w:rPr>
              <w:t>Home Investment Partnership Program                                                                            $89,670.62</w:t>
            </w:r>
          </w:p>
        </w:tc>
      </w:tr>
      <w:tr w:rsidR="002D7F96" w:rsidRPr="002D7F96" w14:paraId="4EF6C5F8" w14:textId="77777777" w:rsidTr="00BD57E6">
        <w:tc>
          <w:tcPr>
            <w:tcW w:w="9350" w:type="dxa"/>
          </w:tcPr>
          <w:p w14:paraId="2A5D0E35" w14:textId="77777777" w:rsidR="002D7F96" w:rsidRPr="002D7F96" w:rsidRDefault="002D7F96" w:rsidP="002D7F96">
            <w:pPr>
              <w:numPr>
                <w:ilvl w:val="0"/>
                <w:numId w:val="6"/>
              </w:numPr>
              <w:contextualSpacing/>
              <w:rPr>
                <w:sz w:val="24"/>
                <w:szCs w:val="24"/>
              </w:rPr>
            </w:pPr>
            <w:r w:rsidRPr="002D7F96">
              <w:rPr>
                <w:sz w:val="24"/>
                <w:szCs w:val="24"/>
              </w:rPr>
              <w:t>First-Time Homebuyers Program                                                                            $41,033.00</w:t>
            </w:r>
          </w:p>
        </w:tc>
      </w:tr>
      <w:tr w:rsidR="002D7F96" w:rsidRPr="002D7F96" w14:paraId="1330444D" w14:textId="77777777" w:rsidTr="00BD57E6">
        <w:tc>
          <w:tcPr>
            <w:tcW w:w="9350" w:type="dxa"/>
          </w:tcPr>
          <w:p w14:paraId="6C159634" w14:textId="77777777" w:rsidR="002D7F96" w:rsidRPr="002D7F96" w:rsidRDefault="002D7F96" w:rsidP="002D7F96">
            <w:pPr>
              <w:numPr>
                <w:ilvl w:val="0"/>
                <w:numId w:val="6"/>
              </w:numPr>
              <w:contextualSpacing/>
              <w:rPr>
                <w:sz w:val="24"/>
                <w:szCs w:val="24"/>
              </w:rPr>
            </w:pPr>
            <w:r w:rsidRPr="002D7F96">
              <w:rPr>
                <w:sz w:val="24"/>
                <w:szCs w:val="24"/>
              </w:rPr>
              <w:t>Community Development Housing Development Organ                                   $13,451.00</w:t>
            </w:r>
          </w:p>
        </w:tc>
      </w:tr>
      <w:tr w:rsidR="002D7F96" w:rsidRPr="002D7F96" w14:paraId="7C050F95" w14:textId="77777777" w:rsidTr="00BD57E6">
        <w:tc>
          <w:tcPr>
            <w:tcW w:w="9350" w:type="dxa"/>
          </w:tcPr>
          <w:p w14:paraId="3DB8F7BE" w14:textId="77777777" w:rsidR="002D7F96" w:rsidRPr="002D7F96" w:rsidRDefault="002D7F96" w:rsidP="002D7F96">
            <w:pPr>
              <w:numPr>
                <w:ilvl w:val="0"/>
                <w:numId w:val="6"/>
              </w:numPr>
              <w:contextualSpacing/>
              <w:rPr>
                <w:sz w:val="24"/>
                <w:szCs w:val="24"/>
              </w:rPr>
            </w:pPr>
            <w:r w:rsidRPr="002D7F96">
              <w:rPr>
                <w:sz w:val="24"/>
                <w:szCs w:val="24"/>
              </w:rPr>
              <w:t>Affordable Housing                                                                                                    $26,219.62</w:t>
            </w:r>
          </w:p>
        </w:tc>
      </w:tr>
      <w:tr w:rsidR="002D7F96" w:rsidRPr="002D7F96" w14:paraId="023F1BF5" w14:textId="77777777" w:rsidTr="00BD57E6">
        <w:tc>
          <w:tcPr>
            <w:tcW w:w="9350" w:type="dxa"/>
          </w:tcPr>
          <w:p w14:paraId="6933C5FB" w14:textId="77777777" w:rsidR="002D7F96" w:rsidRPr="002D7F96" w:rsidRDefault="002D7F96" w:rsidP="002D7F96">
            <w:pPr>
              <w:numPr>
                <w:ilvl w:val="0"/>
                <w:numId w:val="6"/>
              </w:numPr>
              <w:contextualSpacing/>
              <w:rPr>
                <w:sz w:val="24"/>
                <w:szCs w:val="24"/>
              </w:rPr>
            </w:pPr>
            <w:r w:rsidRPr="002D7F96">
              <w:rPr>
                <w:sz w:val="24"/>
                <w:szCs w:val="24"/>
              </w:rPr>
              <w:t>Administration                                                                                                            $8,967.00</w:t>
            </w:r>
          </w:p>
        </w:tc>
      </w:tr>
      <w:tr w:rsidR="002D7F96" w:rsidRPr="002D7F96" w14:paraId="51E24E81" w14:textId="77777777" w:rsidTr="00BD57E6">
        <w:tc>
          <w:tcPr>
            <w:tcW w:w="9350" w:type="dxa"/>
          </w:tcPr>
          <w:p w14:paraId="4A203D73" w14:textId="77777777" w:rsidR="002D7F96" w:rsidRPr="002D7F96" w:rsidRDefault="002D7F96" w:rsidP="002D7F96">
            <w:pPr>
              <w:ind w:left="720"/>
              <w:contextualSpacing/>
              <w:rPr>
                <w:sz w:val="24"/>
                <w:szCs w:val="24"/>
              </w:rPr>
            </w:pPr>
          </w:p>
        </w:tc>
      </w:tr>
      <w:tr w:rsidR="002D7F96" w:rsidRPr="002D7F96" w14:paraId="4C56860C" w14:textId="77777777" w:rsidTr="00BD57E6">
        <w:tc>
          <w:tcPr>
            <w:tcW w:w="9350" w:type="dxa"/>
          </w:tcPr>
          <w:p w14:paraId="71EA80A7" w14:textId="77777777" w:rsidR="002D7F96" w:rsidRPr="002D7F96" w:rsidRDefault="002D7F96" w:rsidP="002D7F96">
            <w:pPr>
              <w:rPr>
                <w:b/>
                <w:bCs/>
                <w:color w:val="FF0000"/>
                <w:sz w:val="24"/>
                <w:szCs w:val="24"/>
              </w:rPr>
            </w:pPr>
            <w:r w:rsidRPr="002D7F96">
              <w:rPr>
                <w:b/>
                <w:bCs/>
                <w:color w:val="FF0000"/>
                <w:sz w:val="24"/>
                <w:szCs w:val="24"/>
              </w:rPr>
              <w:t>Emergency Solutions Grant Program                                                                                   $286,232</w:t>
            </w:r>
          </w:p>
        </w:tc>
      </w:tr>
      <w:tr w:rsidR="002D7F96" w:rsidRPr="002D7F96" w14:paraId="65B1882A" w14:textId="77777777" w:rsidTr="00BD57E6">
        <w:tc>
          <w:tcPr>
            <w:tcW w:w="9350" w:type="dxa"/>
          </w:tcPr>
          <w:p w14:paraId="2E614C1C" w14:textId="77777777" w:rsidR="002D7F96" w:rsidRPr="002D7F96" w:rsidRDefault="002D7F96" w:rsidP="002D7F96">
            <w:pPr>
              <w:numPr>
                <w:ilvl w:val="0"/>
                <w:numId w:val="7"/>
              </w:numPr>
              <w:contextualSpacing/>
              <w:rPr>
                <w:sz w:val="24"/>
                <w:szCs w:val="24"/>
              </w:rPr>
            </w:pPr>
            <w:r w:rsidRPr="002D7F96">
              <w:rPr>
                <w:sz w:val="24"/>
                <w:szCs w:val="24"/>
              </w:rPr>
              <w:t>Crisis Center, Inc                                                                                                         $76,739</w:t>
            </w:r>
          </w:p>
        </w:tc>
      </w:tr>
      <w:tr w:rsidR="002D7F96" w:rsidRPr="002D7F96" w14:paraId="2DB2E2B3" w14:textId="77777777" w:rsidTr="00BD57E6">
        <w:tc>
          <w:tcPr>
            <w:tcW w:w="9350" w:type="dxa"/>
          </w:tcPr>
          <w:p w14:paraId="66C1A3B9" w14:textId="77777777" w:rsidR="002D7F96" w:rsidRPr="002D7F96" w:rsidRDefault="002D7F96" w:rsidP="002D7F96">
            <w:pPr>
              <w:numPr>
                <w:ilvl w:val="0"/>
                <w:numId w:val="7"/>
              </w:numPr>
              <w:contextualSpacing/>
              <w:rPr>
                <w:sz w:val="24"/>
                <w:szCs w:val="24"/>
              </w:rPr>
            </w:pPr>
            <w:r w:rsidRPr="002D7F96">
              <w:rPr>
                <w:sz w:val="24"/>
                <w:szCs w:val="24"/>
              </w:rPr>
              <w:t xml:space="preserve">Rebuilding the Breach Ministries (Lydia House Shelter </w:t>
            </w:r>
            <w:proofErr w:type="gramStart"/>
            <w:r w:rsidRPr="002D7F96">
              <w:rPr>
                <w:sz w:val="24"/>
                <w:szCs w:val="24"/>
              </w:rPr>
              <w:t xml:space="preserve">Operation)   </w:t>
            </w:r>
            <w:proofErr w:type="gramEnd"/>
            <w:r w:rsidRPr="002D7F96">
              <w:rPr>
                <w:sz w:val="24"/>
                <w:szCs w:val="24"/>
              </w:rPr>
              <w:t xml:space="preserve">               $25,000</w:t>
            </w:r>
          </w:p>
        </w:tc>
      </w:tr>
      <w:tr w:rsidR="002D7F96" w:rsidRPr="002D7F96" w14:paraId="69D22252" w14:textId="77777777" w:rsidTr="00BD57E6">
        <w:tc>
          <w:tcPr>
            <w:tcW w:w="9350" w:type="dxa"/>
          </w:tcPr>
          <w:p w14:paraId="42AFB57C" w14:textId="77777777" w:rsidR="002D7F96" w:rsidRPr="002D7F96" w:rsidRDefault="002D7F96" w:rsidP="002D7F96">
            <w:pPr>
              <w:numPr>
                <w:ilvl w:val="0"/>
                <w:numId w:val="7"/>
              </w:numPr>
              <w:contextualSpacing/>
              <w:rPr>
                <w:sz w:val="24"/>
                <w:szCs w:val="24"/>
              </w:rPr>
            </w:pPr>
            <w:r w:rsidRPr="002D7F96">
              <w:rPr>
                <w:sz w:val="24"/>
                <w:szCs w:val="24"/>
              </w:rPr>
              <w:t xml:space="preserve">The Women’s Shelter (Anna’s </w:t>
            </w:r>
            <w:proofErr w:type="gramStart"/>
            <w:r w:rsidRPr="002D7F96">
              <w:rPr>
                <w:sz w:val="24"/>
                <w:szCs w:val="24"/>
              </w:rPr>
              <w:t xml:space="preserve">Angels)   </w:t>
            </w:r>
            <w:proofErr w:type="gramEnd"/>
            <w:r w:rsidRPr="002D7F96">
              <w:rPr>
                <w:sz w:val="24"/>
                <w:szCs w:val="24"/>
              </w:rPr>
              <w:t xml:space="preserve">                                                                $30,000</w:t>
            </w:r>
          </w:p>
        </w:tc>
      </w:tr>
      <w:tr w:rsidR="002D7F96" w:rsidRPr="002D7F96" w14:paraId="4ACADEE5" w14:textId="77777777" w:rsidTr="00BD57E6">
        <w:tc>
          <w:tcPr>
            <w:tcW w:w="9350" w:type="dxa"/>
          </w:tcPr>
          <w:p w14:paraId="3D7BA08C" w14:textId="77777777" w:rsidR="002D7F96" w:rsidRPr="002D7F96" w:rsidRDefault="002D7F96" w:rsidP="002D7F96">
            <w:pPr>
              <w:numPr>
                <w:ilvl w:val="0"/>
                <w:numId w:val="7"/>
              </w:numPr>
              <w:contextualSpacing/>
              <w:rPr>
                <w:sz w:val="24"/>
                <w:szCs w:val="24"/>
              </w:rPr>
            </w:pPr>
            <w:r w:rsidRPr="002D7F96">
              <w:rPr>
                <w:sz w:val="24"/>
                <w:szCs w:val="24"/>
              </w:rPr>
              <w:t>Rapid Rehousing                                                                                                        $50,000</w:t>
            </w:r>
          </w:p>
        </w:tc>
      </w:tr>
      <w:tr w:rsidR="002D7F96" w:rsidRPr="002D7F96" w14:paraId="1C59763C" w14:textId="77777777" w:rsidTr="00BD57E6">
        <w:tc>
          <w:tcPr>
            <w:tcW w:w="9350" w:type="dxa"/>
          </w:tcPr>
          <w:p w14:paraId="63D5CE55" w14:textId="77777777" w:rsidR="002D7F96" w:rsidRPr="002D7F96" w:rsidRDefault="002D7F96" w:rsidP="002D7F96">
            <w:pPr>
              <w:numPr>
                <w:ilvl w:val="0"/>
                <w:numId w:val="7"/>
              </w:numPr>
              <w:contextualSpacing/>
              <w:rPr>
                <w:sz w:val="24"/>
                <w:szCs w:val="24"/>
              </w:rPr>
            </w:pPr>
            <w:r w:rsidRPr="002D7F96">
              <w:rPr>
                <w:sz w:val="24"/>
                <w:szCs w:val="24"/>
              </w:rPr>
              <w:t>Administration                                                                                                            $21,467</w:t>
            </w:r>
          </w:p>
        </w:tc>
      </w:tr>
      <w:tr w:rsidR="002D7F96" w:rsidRPr="002D7F96" w14:paraId="07854976" w14:textId="77777777" w:rsidTr="00BD57E6">
        <w:tc>
          <w:tcPr>
            <w:tcW w:w="9350" w:type="dxa"/>
          </w:tcPr>
          <w:p w14:paraId="2F19B018" w14:textId="77777777" w:rsidR="002D7F96" w:rsidRPr="002D7F96" w:rsidRDefault="002D7F96" w:rsidP="002D7F96">
            <w:pPr>
              <w:numPr>
                <w:ilvl w:val="0"/>
                <w:numId w:val="7"/>
              </w:numPr>
              <w:contextualSpacing/>
              <w:rPr>
                <w:sz w:val="24"/>
                <w:szCs w:val="24"/>
              </w:rPr>
            </w:pPr>
            <w:r w:rsidRPr="002D7F96">
              <w:rPr>
                <w:sz w:val="24"/>
                <w:szCs w:val="24"/>
              </w:rPr>
              <w:t>Data Collection                                                                                                           $43,026.00</w:t>
            </w:r>
          </w:p>
        </w:tc>
      </w:tr>
      <w:tr w:rsidR="002D7F96" w:rsidRPr="002D7F96" w14:paraId="3CDEF0C8" w14:textId="77777777" w:rsidTr="00BD57E6">
        <w:tc>
          <w:tcPr>
            <w:tcW w:w="9350" w:type="dxa"/>
          </w:tcPr>
          <w:p w14:paraId="1F5FE4F3" w14:textId="77777777" w:rsidR="002D7F96" w:rsidRPr="002D7F96" w:rsidRDefault="002D7F96" w:rsidP="002D7F96">
            <w:pPr>
              <w:ind w:left="720"/>
              <w:contextualSpacing/>
              <w:rPr>
                <w:sz w:val="24"/>
                <w:szCs w:val="24"/>
              </w:rPr>
            </w:pPr>
          </w:p>
        </w:tc>
      </w:tr>
      <w:tr w:rsidR="002D7F96" w:rsidRPr="002D7F96" w14:paraId="43C779D5" w14:textId="77777777" w:rsidTr="00BD57E6">
        <w:tc>
          <w:tcPr>
            <w:tcW w:w="9350" w:type="dxa"/>
          </w:tcPr>
          <w:p w14:paraId="4FC7EC77" w14:textId="77777777" w:rsidR="002D7F96" w:rsidRPr="002D7F96" w:rsidRDefault="002D7F96" w:rsidP="002D7F96">
            <w:pPr>
              <w:rPr>
                <w:b/>
                <w:bCs/>
                <w:sz w:val="24"/>
                <w:szCs w:val="24"/>
              </w:rPr>
            </w:pPr>
            <w:r w:rsidRPr="002D7F96">
              <w:rPr>
                <w:b/>
                <w:bCs/>
                <w:color w:val="FF0000"/>
                <w:sz w:val="24"/>
                <w:szCs w:val="24"/>
              </w:rPr>
              <w:t xml:space="preserve">Grand Total (CDBG + HOME + </w:t>
            </w:r>
            <w:proofErr w:type="gramStart"/>
            <w:r w:rsidRPr="002D7F96">
              <w:rPr>
                <w:b/>
                <w:bCs/>
                <w:color w:val="FF0000"/>
                <w:sz w:val="24"/>
                <w:szCs w:val="24"/>
              </w:rPr>
              <w:t xml:space="preserve">ESG)   </w:t>
            </w:r>
            <w:proofErr w:type="gramEnd"/>
            <w:r w:rsidRPr="002D7F96">
              <w:rPr>
                <w:b/>
                <w:bCs/>
                <w:color w:val="FF0000"/>
                <w:sz w:val="24"/>
                <w:szCs w:val="24"/>
              </w:rPr>
              <w:t xml:space="preserve">                                                                         $3,586,082.62</w:t>
            </w:r>
          </w:p>
        </w:tc>
      </w:tr>
    </w:tbl>
    <w:p w14:paraId="5699A9BC" w14:textId="77777777" w:rsidR="002D7F96" w:rsidRPr="002D7F96" w:rsidRDefault="002D7F96" w:rsidP="002D7F96"/>
    <w:p w14:paraId="78C64FC9" w14:textId="0DF043DC" w:rsidR="00E1189D" w:rsidRPr="00E1189D" w:rsidRDefault="00E1189D" w:rsidP="002D7F96">
      <w:pPr>
        <w:pStyle w:val="NormalWeb"/>
      </w:pPr>
    </w:p>
    <w:p w14:paraId="6247C554" w14:textId="77777777" w:rsidR="00E1189D" w:rsidRDefault="00E1189D" w:rsidP="00E1189D">
      <w:pPr>
        <w:pStyle w:val="NormalWeb"/>
      </w:pPr>
    </w:p>
    <w:p w14:paraId="4139F663" w14:textId="77777777" w:rsidR="00E1189D" w:rsidRDefault="00E1189D" w:rsidP="00E1189D">
      <w:pPr>
        <w:pStyle w:val="NormalWeb"/>
        <w:rPr>
          <w:rFonts w:ascii="Verdana" w:hAnsi="Verdana"/>
          <w:color w:val="000000"/>
          <w:sz w:val="19"/>
          <w:szCs w:val="19"/>
        </w:rPr>
      </w:pPr>
    </w:p>
    <w:p w14:paraId="497EB1F4" w14:textId="77777777" w:rsidR="00E1189D" w:rsidRDefault="00E1189D" w:rsidP="00E1189D">
      <w:pPr>
        <w:pStyle w:val="NormalWeb"/>
        <w:rPr>
          <w:rFonts w:ascii="Verdana" w:hAnsi="Verdana"/>
          <w:color w:val="000000"/>
          <w:sz w:val="19"/>
          <w:szCs w:val="19"/>
        </w:rPr>
      </w:pPr>
    </w:p>
    <w:p w14:paraId="32D10DAA" w14:textId="77777777" w:rsidR="00655EFD" w:rsidRPr="00655EFD" w:rsidRDefault="00655EFD" w:rsidP="00655EFD">
      <w:pPr>
        <w:spacing w:after="0" w:line="240" w:lineRule="auto"/>
        <w:rPr>
          <w:sz w:val="36"/>
          <w:szCs w:val="36"/>
        </w:rPr>
      </w:pPr>
    </w:p>
    <w:sectPr w:rsidR="00655EFD" w:rsidRPr="00655E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338D0"/>
    <w:multiLevelType w:val="hybridMultilevel"/>
    <w:tmpl w:val="A36C066E"/>
    <w:lvl w:ilvl="0" w:tplc="04090001">
      <w:start w:val="1"/>
      <w:numFmt w:val="bullet"/>
      <w:lvlText w:val=""/>
      <w:lvlJc w:val="left"/>
      <w:pPr>
        <w:ind w:left="924" w:hanging="360"/>
      </w:pPr>
      <w:rPr>
        <w:rFonts w:ascii="Symbol" w:hAnsi="Symbo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 w15:restartNumberingAfterBreak="0">
    <w:nsid w:val="11E5351C"/>
    <w:multiLevelType w:val="hybridMultilevel"/>
    <w:tmpl w:val="349246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607D0F"/>
    <w:multiLevelType w:val="hybridMultilevel"/>
    <w:tmpl w:val="0472033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3D506030"/>
    <w:multiLevelType w:val="multilevel"/>
    <w:tmpl w:val="C3A8A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541C4E"/>
    <w:multiLevelType w:val="hybridMultilevel"/>
    <w:tmpl w:val="10946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AB1A06"/>
    <w:multiLevelType w:val="hybridMultilevel"/>
    <w:tmpl w:val="0F1E3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C146DA"/>
    <w:multiLevelType w:val="hybridMultilevel"/>
    <w:tmpl w:val="C138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B1C"/>
    <w:rsid w:val="002D7F96"/>
    <w:rsid w:val="00655EFD"/>
    <w:rsid w:val="008068CE"/>
    <w:rsid w:val="00A06B1C"/>
    <w:rsid w:val="00E11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26B1"/>
  <w15:chartTrackingRefBased/>
  <w15:docId w15:val="{49E143BD-4FC4-4A74-974B-F387AC263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189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D7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850888">
      <w:bodyDiv w:val="1"/>
      <w:marLeft w:val="0"/>
      <w:marRight w:val="0"/>
      <w:marTop w:val="0"/>
      <w:marBottom w:val="0"/>
      <w:divBdr>
        <w:top w:val="none" w:sz="0" w:space="0" w:color="auto"/>
        <w:left w:val="none" w:sz="0" w:space="0" w:color="auto"/>
        <w:bottom w:val="none" w:sz="0" w:space="0" w:color="auto"/>
        <w:right w:val="none" w:sz="0" w:space="0" w:color="auto"/>
      </w:divBdr>
    </w:div>
    <w:div w:id="678193908">
      <w:bodyDiv w:val="1"/>
      <w:marLeft w:val="0"/>
      <w:marRight w:val="0"/>
      <w:marTop w:val="0"/>
      <w:marBottom w:val="0"/>
      <w:divBdr>
        <w:top w:val="none" w:sz="0" w:space="0" w:color="auto"/>
        <w:left w:val="none" w:sz="0" w:space="0" w:color="auto"/>
        <w:bottom w:val="none" w:sz="0" w:space="0" w:color="auto"/>
        <w:right w:val="none" w:sz="0" w:space="0" w:color="auto"/>
      </w:divBdr>
    </w:div>
    <w:div w:id="792988444">
      <w:bodyDiv w:val="1"/>
      <w:marLeft w:val="0"/>
      <w:marRight w:val="0"/>
      <w:marTop w:val="0"/>
      <w:marBottom w:val="0"/>
      <w:divBdr>
        <w:top w:val="none" w:sz="0" w:space="0" w:color="auto"/>
        <w:left w:val="none" w:sz="0" w:space="0" w:color="auto"/>
        <w:bottom w:val="none" w:sz="0" w:space="0" w:color="auto"/>
        <w:right w:val="none" w:sz="0" w:space="0" w:color="auto"/>
      </w:divBdr>
    </w:div>
    <w:div w:id="854927929">
      <w:bodyDiv w:val="1"/>
      <w:marLeft w:val="0"/>
      <w:marRight w:val="0"/>
      <w:marTop w:val="0"/>
      <w:marBottom w:val="0"/>
      <w:divBdr>
        <w:top w:val="none" w:sz="0" w:space="0" w:color="auto"/>
        <w:left w:val="none" w:sz="0" w:space="0" w:color="auto"/>
        <w:bottom w:val="none" w:sz="0" w:space="0" w:color="auto"/>
        <w:right w:val="none" w:sz="0" w:space="0" w:color="auto"/>
      </w:divBdr>
    </w:div>
    <w:div w:id="906495849">
      <w:bodyDiv w:val="1"/>
      <w:marLeft w:val="0"/>
      <w:marRight w:val="0"/>
      <w:marTop w:val="0"/>
      <w:marBottom w:val="0"/>
      <w:divBdr>
        <w:top w:val="none" w:sz="0" w:space="0" w:color="auto"/>
        <w:left w:val="none" w:sz="0" w:space="0" w:color="auto"/>
        <w:bottom w:val="none" w:sz="0" w:space="0" w:color="auto"/>
        <w:right w:val="none" w:sz="0" w:space="0" w:color="auto"/>
      </w:divBdr>
    </w:div>
    <w:div w:id="943852719">
      <w:bodyDiv w:val="1"/>
      <w:marLeft w:val="0"/>
      <w:marRight w:val="0"/>
      <w:marTop w:val="0"/>
      <w:marBottom w:val="0"/>
      <w:divBdr>
        <w:top w:val="none" w:sz="0" w:space="0" w:color="auto"/>
        <w:left w:val="none" w:sz="0" w:space="0" w:color="auto"/>
        <w:bottom w:val="none" w:sz="0" w:space="0" w:color="auto"/>
        <w:right w:val="none" w:sz="0" w:space="0" w:color="auto"/>
      </w:divBdr>
    </w:div>
    <w:div w:id="116493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5</Pages>
  <Words>1758</Words>
  <Characters>10025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LaTrea Reed</dc:creator>
  <cp:keywords/>
  <dc:description/>
  <cp:lastModifiedBy>LaTrea Reed</cp:lastModifiedBy>
  <cp:revision>1</cp:revision>
  <dcterms:created xsi:type="dcterms:W3CDTF">2025-08-18T16:21:00Z</dcterms:created>
  <dcterms:modified xsi:type="dcterms:W3CDTF">2025-08-19T17:37:00Z</dcterms:modified>
</cp:coreProperties>
</file>