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5B1B9" w14:textId="77777777" w:rsidR="001B2F7F" w:rsidRDefault="001B2F7F">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1B2F7F" w14:paraId="211F8F41" w14:textId="77777777">
        <w:tc>
          <w:tcPr>
            <w:tcW w:w="9350" w:type="dxa"/>
          </w:tcPr>
          <w:p w14:paraId="75FFF805" w14:textId="77777777" w:rsidR="001B2F7F" w:rsidRDefault="007F6970">
            <w:pPr>
              <w:rPr>
                <w:b/>
                <w:bCs/>
                <w:color w:val="00B050"/>
                <w:sz w:val="24"/>
                <w:szCs w:val="24"/>
              </w:rPr>
            </w:pPr>
            <w:r>
              <w:rPr>
                <w:b/>
                <w:bCs/>
                <w:color w:val="00B050"/>
                <w:sz w:val="24"/>
                <w:szCs w:val="24"/>
              </w:rPr>
              <w:t xml:space="preserve">What is the Primary Committee that will be responsible for implementing the proposed Activity(ies) or Event(s)? </w:t>
            </w:r>
          </w:p>
          <w:p w14:paraId="77DAD4B8" w14:textId="77777777" w:rsidR="001B2F7F" w:rsidRDefault="007F6970">
            <w:pPr>
              <w:pBdr>
                <w:top w:val="nil"/>
                <w:left w:val="nil"/>
                <w:bottom w:val="nil"/>
                <w:right w:val="nil"/>
                <w:between w:val="nil"/>
              </w:pBdr>
              <w:spacing w:after="0" w:line="240" w:lineRule="auto"/>
              <w:ind w:left="720"/>
              <w:rPr>
                <w:b/>
                <w:bCs/>
                <w:color w:val="000000"/>
                <w:sz w:val="24"/>
                <w:szCs w:val="24"/>
              </w:rPr>
            </w:pPr>
            <w:r>
              <w:rPr>
                <w:b/>
                <w:bCs/>
                <w:sz w:val="24"/>
                <w:szCs w:val="24"/>
              </w:rPr>
              <w:t>Membership Committee</w:t>
            </w:r>
          </w:p>
        </w:tc>
      </w:tr>
      <w:tr w:rsidR="001B2F7F" w14:paraId="63591C18" w14:textId="77777777">
        <w:tc>
          <w:tcPr>
            <w:tcW w:w="9350" w:type="dxa"/>
          </w:tcPr>
          <w:p w14:paraId="52C7868E" w14:textId="77777777" w:rsidR="001B2F7F" w:rsidRDefault="007F6970">
            <w:pPr>
              <w:rPr>
                <w:rFonts w:ascii="Arial" w:eastAsia="Arial" w:hAnsi="Arial" w:cs="Arial"/>
                <w:b/>
                <w:bCs/>
                <w:color w:val="0A0A0A"/>
                <w:sz w:val="24"/>
                <w:szCs w:val="24"/>
              </w:rPr>
            </w:pPr>
            <w:r>
              <w:rPr>
                <w:b/>
                <w:bCs/>
                <w:color w:val="00B050"/>
                <w:sz w:val="24"/>
                <w:szCs w:val="24"/>
              </w:rPr>
              <w:t>Describe expected outcomes of the activity (ies)/event(s)</w:t>
            </w:r>
            <w:r>
              <w:rPr>
                <w:rFonts w:ascii="Arial" w:eastAsia="Arial" w:hAnsi="Arial" w:cs="Arial"/>
                <w:b/>
                <w:bCs/>
                <w:color w:val="00B050"/>
                <w:sz w:val="24"/>
                <w:szCs w:val="24"/>
              </w:rPr>
              <w:t>.</w:t>
            </w:r>
            <w:r>
              <w:rPr>
                <w:rFonts w:ascii="Arial" w:eastAsia="Arial" w:hAnsi="Arial" w:cs="Arial"/>
                <w:b/>
                <w:bCs/>
                <w:sz w:val="24"/>
                <w:szCs w:val="24"/>
              </w:rPr>
              <w:t>The</w:t>
            </w:r>
            <w:r>
              <w:rPr>
                <w:rFonts w:ascii="Arial" w:eastAsia="Arial" w:hAnsi="Arial" w:cs="Arial"/>
                <w:b/>
                <w:bCs/>
                <w:color w:val="00B050"/>
                <w:sz w:val="24"/>
                <w:szCs w:val="24"/>
              </w:rPr>
              <w:t xml:space="preserve"> </w:t>
            </w:r>
            <w:r>
              <w:rPr>
                <w:rFonts w:ascii="Arial" w:eastAsia="Arial" w:hAnsi="Arial" w:cs="Arial"/>
                <w:b/>
                <w:bCs/>
                <w:color w:val="0A0A0A"/>
                <w:sz w:val="24"/>
                <w:szCs w:val="24"/>
              </w:rPr>
              <w:t>Membership Committee focuses on ensuring chapter sustainability, member satisfaction, and operational compliance.</w:t>
            </w:r>
          </w:p>
          <w:p w14:paraId="4B81DC89" w14:textId="77777777" w:rsidR="001B2F7F" w:rsidRDefault="007F6970">
            <w:pPr>
              <w:shd w:val="clear" w:color="auto" w:fill="FFFFFF"/>
              <w:spacing w:before="240" w:after="240" w:line="360" w:lineRule="auto"/>
              <w:rPr>
                <w:rFonts w:ascii="Arial" w:eastAsia="Arial" w:hAnsi="Arial" w:cs="Arial"/>
                <w:b/>
                <w:bCs/>
                <w:color w:val="0A0A0A"/>
                <w:sz w:val="24"/>
                <w:szCs w:val="24"/>
              </w:rPr>
            </w:pPr>
            <w:r>
              <w:rPr>
                <w:rFonts w:ascii="Arial" w:eastAsia="Arial" w:hAnsi="Arial" w:cs="Arial"/>
                <w:b/>
                <w:bCs/>
                <w:color w:val="0A0A0A"/>
                <w:sz w:val="24"/>
                <w:szCs w:val="24"/>
              </w:rPr>
              <w:t>Key expected outcomes include:</w:t>
            </w:r>
          </w:p>
          <w:p w14:paraId="4FF663A3" w14:textId="77777777" w:rsidR="001B2F7F" w:rsidRDefault="007F6970">
            <w:pPr>
              <w:numPr>
                <w:ilvl w:val="0"/>
                <w:numId w:val="1"/>
              </w:numPr>
              <w:shd w:val="clear" w:color="auto" w:fill="FFFFFF"/>
              <w:spacing w:before="240" w:after="0" w:line="360" w:lineRule="auto"/>
              <w:rPr>
                <w:rFonts w:ascii="Arial" w:eastAsia="Arial" w:hAnsi="Arial" w:cs="Arial"/>
                <w:b/>
                <w:bCs/>
              </w:rPr>
            </w:pPr>
            <w:r>
              <w:rPr>
                <w:rFonts w:ascii="Arial" w:eastAsia="Arial" w:hAnsi="Arial" w:cs="Arial"/>
                <w:b/>
                <w:bCs/>
                <w:color w:val="0A0A0A"/>
                <w:sz w:val="24"/>
                <w:szCs w:val="24"/>
                <w:u w:val="single"/>
              </w:rPr>
              <w:t>Effective New Member Integration</w:t>
            </w:r>
            <w:r>
              <w:rPr>
                <w:rFonts w:ascii="Arial" w:eastAsia="Arial" w:hAnsi="Arial" w:cs="Arial"/>
                <w:b/>
                <w:bCs/>
                <w:color w:val="0A0A0A"/>
                <w:sz w:val="24"/>
                <w:szCs w:val="24"/>
              </w:rPr>
              <w:t>: Successful orientation and the pairing of new members with chapter mentors result in "Links" who are quickly acclimated to the organization's culture, processes, and internal sisterhood.</w:t>
            </w:r>
          </w:p>
          <w:p w14:paraId="3A594553" w14:textId="77777777" w:rsidR="001B2F7F" w:rsidRDefault="007F6970">
            <w:pPr>
              <w:numPr>
                <w:ilvl w:val="0"/>
                <w:numId w:val="1"/>
              </w:numPr>
              <w:shd w:val="clear" w:color="auto" w:fill="FFFFFF"/>
              <w:spacing w:after="0" w:line="360" w:lineRule="auto"/>
              <w:rPr>
                <w:rFonts w:ascii="Arial" w:eastAsia="Arial" w:hAnsi="Arial" w:cs="Arial"/>
                <w:b/>
                <w:bCs/>
              </w:rPr>
            </w:pPr>
            <w:r>
              <w:rPr>
                <w:rFonts w:ascii="Arial" w:eastAsia="Arial" w:hAnsi="Arial" w:cs="Arial"/>
                <w:b/>
                <w:bCs/>
                <w:color w:val="0A0A0A"/>
                <w:sz w:val="24"/>
                <w:szCs w:val="24"/>
                <w:u w:val="single"/>
              </w:rPr>
              <w:t>High Retention and Engagement</w:t>
            </w:r>
            <w:r>
              <w:rPr>
                <w:rFonts w:ascii="Arial" w:eastAsia="Arial" w:hAnsi="Arial" w:cs="Arial"/>
                <w:b/>
                <w:bCs/>
                <w:color w:val="0A0A0A"/>
                <w:sz w:val="24"/>
                <w:szCs w:val="24"/>
              </w:rPr>
              <w:t>: Continuous monitoring of attendance and active participation helps maintain a strong, vibrant membership base and reduces member turnover.</w:t>
            </w:r>
          </w:p>
          <w:p w14:paraId="0DC54437" w14:textId="77777777" w:rsidR="001B2F7F" w:rsidRDefault="007F6970">
            <w:pPr>
              <w:numPr>
                <w:ilvl w:val="0"/>
                <w:numId w:val="1"/>
              </w:numPr>
              <w:shd w:val="clear" w:color="auto" w:fill="FFFFFF"/>
              <w:spacing w:after="0" w:line="360" w:lineRule="auto"/>
              <w:rPr>
                <w:rFonts w:ascii="Arial" w:eastAsia="Arial" w:hAnsi="Arial" w:cs="Arial"/>
                <w:b/>
                <w:bCs/>
              </w:rPr>
            </w:pPr>
            <w:r>
              <w:rPr>
                <w:rFonts w:ascii="Arial" w:eastAsia="Arial" w:hAnsi="Arial" w:cs="Arial"/>
                <w:b/>
                <w:bCs/>
                <w:color w:val="0A0A0A"/>
                <w:sz w:val="24"/>
                <w:szCs w:val="24"/>
                <w:u w:val="single"/>
              </w:rPr>
              <w:t>Operational Compliance</w:t>
            </w:r>
            <w:r>
              <w:rPr>
                <w:rFonts w:ascii="Arial" w:eastAsia="Arial" w:hAnsi="Arial" w:cs="Arial"/>
                <w:b/>
                <w:bCs/>
                <w:color w:val="0A0A0A"/>
                <w:sz w:val="24"/>
                <w:szCs w:val="24"/>
              </w:rPr>
              <w:t>: Regular reporting and tracking ensure that all active members meet the mandatory 48-hour annual service requirement and maintain good financial standing.</w:t>
            </w:r>
          </w:p>
          <w:p w14:paraId="63D6BB42" w14:textId="77777777" w:rsidR="001B2F7F" w:rsidRDefault="007F6970">
            <w:pPr>
              <w:numPr>
                <w:ilvl w:val="0"/>
                <w:numId w:val="1"/>
              </w:numPr>
              <w:shd w:val="clear" w:color="auto" w:fill="FFFFFF"/>
              <w:spacing w:after="0" w:line="360" w:lineRule="auto"/>
              <w:rPr>
                <w:rFonts w:ascii="Arial" w:eastAsia="Arial" w:hAnsi="Arial" w:cs="Arial"/>
                <w:b/>
                <w:bCs/>
              </w:rPr>
            </w:pPr>
            <w:r>
              <w:rPr>
                <w:rFonts w:ascii="Arial" w:eastAsia="Arial" w:hAnsi="Arial" w:cs="Arial"/>
                <w:b/>
                <w:bCs/>
                <w:color w:val="0A0A0A"/>
                <w:sz w:val="24"/>
                <w:szCs w:val="24"/>
                <w:u w:val="single"/>
              </w:rPr>
              <w:t>Positive Chapter Climate</w:t>
            </w:r>
            <w:r>
              <w:rPr>
                <w:rFonts w:ascii="Arial" w:eastAsia="Arial" w:hAnsi="Arial" w:cs="Arial"/>
                <w:b/>
                <w:bCs/>
                <w:color w:val="0A0A0A"/>
                <w:sz w:val="24"/>
                <w:szCs w:val="24"/>
              </w:rPr>
              <w:t>: Activities led by the Membership Committee aim to enhance friendships and create a satisfying, enthusiastic environment for all members.</w:t>
            </w:r>
          </w:p>
          <w:p w14:paraId="3FDAC58B" w14:textId="77777777" w:rsidR="001B2F7F" w:rsidRDefault="007F6970">
            <w:pPr>
              <w:numPr>
                <w:ilvl w:val="0"/>
                <w:numId w:val="1"/>
              </w:numPr>
              <w:shd w:val="clear" w:color="auto" w:fill="FFFFFF"/>
              <w:spacing w:after="0" w:line="360" w:lineRule="auto"/>
              <w:rPr>
                <w:rFonts w:ascii="Arial" w:eastAsia="Arial" w:hAnsi="Arial" w:cs="Arial"/>
                <w:b/>
                <w:bCs/>
              </w:rPr>
            </w:pPr>
            <w:r>
              <w:rPr>
                <w:rFonts w:ascii="Arial" w:eastAsia="Arial" w:hAnsi="Arial" w:cs="Arial"/>
                <w:b/>
                <w:bCs/>
                <w:color w:val="0A0A0A"/>
                <w:sz w:val="24"/>
                <w:szCs w:val="24"/>
                <w:u w:val="single"/>
              </w:rPr>
              <w:t>Leadership Development</w:t>
            </w:r>
            <w:r>
              <w:rPr>
                <w:rFonts w:ascii="Arial" w:eastAsia="Arial" w:hAnsi="Arial" w:cs="Arial"/>
                <w:b/>
                <w:bCs/>
                <w:color w:val="0A0A0A"/>
                <w:sz w:val="24"/>
                <w:szCs w:val="24"/>
              </w:rPr>
              <w:t>: Providing training and empowering members for greater effectiveness in their roles, ensuring the chapter has a pipeline of prepared future leaders.</w:t>
            </w:r>
          </w:p>
          <w:p w14:paraId="46D934EC" w14:textId="77777777" w:rsidR="001B2F7F" w:rsidRDefault="007F6970">
            <w:pPr>
              <w:numPr>
                <w:ilvl w:val="0"/>
                <w:numId w:val="1"/>
              </w:numPr>
              <w:shd w:val="clear" w:color="auto" w:fill="FFFFFF"/>
              <w:spacing w:after="420" w:line="360" w:lineRule="auto"/>
              <w:rPr>
                <w:rFonts w:ascii="Arial" w:eastAsia="Arial" w:hAnsi="Arial" w:cs="Arial"/>
                <w:b/>
                <w:bCs/>
              </w:rPr>
            </w:pPr>
            <w:r>
              <w:rPr>
                <w:rFonts w:ascii="Arial" w:eastAsia="Arial" w:hAnsi="Arial" w:cs="Arial"/>
                <w:b/>
                <w:bCs/>
                <w:color w:val="0A0A0A"/>
                <w:sz w:val="24"/>
                <w:szCs w:val="24"/>
                <w:u w:val="single"/>
              </w:rPr>
              <w:t>Standardized Membership Status</w:t>
            </w:r>
            <w:r>
              <w:rPr>
                <w:rFonts w:ascii="Arial" w:eastAsia="Arial" w:hAnsi="Arial" w:cs="Arial"/>
                <w:b/>
                <w:bCs/>
                <w:color w:val="0A0A0A"/>
                <w:sz w:val="24"/>
                <w:szCs w:val="24"/>
              </w:rPr>
              <w:t xml:space="preserve">: Clear management of membership classifications (e.g., Alumna, Platinum) ensures that members are accorded the correct rights and privileges, such as voting and holding office, according to their current status. </w:t>
            </w:r>
          </w:p>
          <w:p w14:paraId="15D009E5" w14:textId="77777777" w:rsidR="001B2F7F" w:rsidRDefault="001B2F7F">
            <w:pPr>
              <w:rPr>
                <w:b/>
                <w:bCs/>
                <w:color w:val="00B050"/>
                <w:sz w:val="24"/>
                <w:szCs w:val="24"/>
              </w:rPr>
            </w:pPr>
          </w:p>
          <w:p w14:paraId="69184698" w14:textId="77777777" w:rsidR="001B2F7F" w:rsidRDefault="001B2F7F">
            <w:pPr>
              <w:pBdr>
                <w:top w:val="nil"/>
                <w:left w:val="nil"/>
                <w:bottom w:val="nil"/>
                <w:right w:val="nil"/>
                <w:between w:val="nil"/>
              </w:pBdr>
              <w:spacing w:after="0" w:line="240" w:lineRule="auto"/>
              <w:ind w:left="1440"/>
              <w:rPr>
                <w:b/>
                <w:bCs/>
                <w:color w:val="00B050"/>
                <w:sz w:val="24"/>
                <w:szCs w:val="24"/>
              </w:rPr>
            </w:pPr>
          </w:p>
        </w:tc>
      </w:tr>
      <w:tr w:rsidR="001B2F7F" w14:paraId="35E9C240" w14:textId="77777777">
        <w:tc>
          <w:tcPr>
            <w:tcW w:w="9350" w:type="dxa"/>
          </w:tcPr>
          <w:p w14:paraId="6C97AD9E" w14:textId="77777777" w:rsidR="001B2F7F" w:rsidRDefault="007F6970">
            <w:pPr>
              <w:rPr>
                <w:rFonts w:ascii="Arial" w:eastAsia="Arial" w:hAnsi="Arial" w:cs="Arial"/>
                <w:b/>
                <w:bCs/>
                <w:sz w:val="24"/>
                <w:szCs w:val="24"/>
              </w:rPr>
            </w:pPr>
            <w:r>
              <w:rPr>
                <w:b/>
                <w:bCs/>
                <w:color w:val="00B050"/>
                <w:sz w:val="24"/>
                <w:szCs w:val="24"/>
              </w:rPr>
              <w:lastRenderedPageBreak/>
              <w:t>Describe how the new /existing activity(ies) or event(s) is in alignment with a National Eastern Area Links Incorporated or Chapter Initiative.</w:t>
            </w:r>
            <w:r>
              <w:rPr>
                <w:b/>
                <w:bCs/>
                <w:sz w:val="24"/>
                <w:szCs w:val="24"/>
              </w:rPr>
              <w:t xml:space="preserve"> </w:t>
            </w:r>
            <w:r>
              <w:rPr>
                <w:rFonts w:ascii="Arial" w:eastAsia="Arial" w:hAnsi="Arial" w:cs="Arial"/>
                <w:b/>
                <w:bCs/>
                <w:sz w:val="24"/>
                <w:szCs w:val="24"/>
              </w:rPr>
              <w:t xml:space="preserve">The </w:t>
            </w:r>
            <w:r>
              <w:rPr>
                <w:rFonts w:ascii="Arial" w:eastAsia="Arial" w:hAnsi="Arial" w:cs="Arial"/>
                <w:b/>
                <w:bCs/>
                <w:color w:val="0A0A0A"/>
                <w:sz w:val="24"/>
                <w:szCs w:val="24"/>
              </w:rPr>
              <w:t>current activities led by the Membership Committee aim to enhance friendships and create a satisfying, enthusiastic environment for all members. These a</w:t>
            </w:r>
            <w:r>
              <w:rPr>
                <w:rFonts w:ascii="Arial" w:eastAsia="Arial" w:hAnsi="Arial" w:cs="Arial"/>
                <w:b/>
                <w:bCs/>
                <w:sz w:val="24"/>
                <w:szCs w:val="24"/>
              </w:rPr>
              <w:t>ctivities are all in alignment with the National Eastern Area Links, Incorporated and our Chapter Initiative.</w:t>
            </w:r>
          </w:p>
          <w:p w14:paraId="11EC6BA1" w14:textId="77777777" w:rsidR="001B2F7F" w:rsidRDefault="001B2F7F">
            <w:pPr>
              <w:rPr>
                <w:b/>
                <w:bCs/>
                <w:color w:val="00B050"/>
                <w:sz w:val="24"/>
                <w:szCs w:val="24"/>
              </w:rPr>
            </w:pPr>
          </w:p>
        </w:tc>
      </w:tr>
      <w:tr w:rsidR="001B2F7F" w14:paraId="2DF39BCA" w14:textId="77777777">
        <w:tc>
          <w:tcPr>
            <w:tcW w:w="9350" w:type="dxa"/>
          </w:tcPr>
          <w:p w14:paraId="63CDE505" w14:textId="77777777" w:rsidR="001B2F7F" w:rsidRDefault="007F6970">
            <w:pPr>
              <w:rPr>
                <w:b/>
                <w:bCs/>
                <w:color w:val="00B050"/>
                <w:sz w:val="24"/>
                <w:szCs w:val="24"/>
              </w:rPr>
            </w:pPr>
            <w:r>
              <w:rPr>
                <w:b/>
                <w:bCs/>
                <w:color w:val="00B050"/>
                <w:sz w:val="24"/>
                <w:szCs w:val="24"/>
              </w:rPr>
              <w:t xml:space="preserve">Does the activity(ies)/event(s) coordinate with any other Committees or Facets? </w:t>
            </w:r>
          </w:p>
          <w:p w14:paraId="6CD7CD80" w14:textId="77777777" w:rsidR="001B2F7F" w:rsidRDefault="007F6970">
            <w:pPr>
              <w:rPr>
                <w:rFonts w:ascii="Arial" w:eastAsia="Arial" w:hAnsi="Arial" w:cs="Arial"/>
                <w:b/>
                <w:bCs/>
                <w:sz w:val="24"/>
                <w:szCs w:val="24"/>
              </w:rPr>
            </w:pPr>
            <w:r>
              <w:rPr>
                <w:rFonts w:ascii="Arial" w:eastAsia="Arial" w:hAnsi="Arial" w:cs="Arial"/>
                <w:b/>
                <w:bCs/>
                <w:sz w:val="24"/>
                <w:szCs w:val="24"/>
              </w:rPr>
              <w:t>Currently, the activities and events do not coordinate with any other Committees or Facets with the exception of the upcoming New Member Intake Process which will include presentations and participation from all committees and facets during the scheduled intake sessions.</w:t>
            </w:r>
          </w:p>
        </w:tc>
      </w:tr>
      <w:tr w:rsidR="001B2F7F" w14:paraId="33EA5207" w14:textId="77777777">
        <w:tc>
          <w:tcPr>
            <w:tcW w:w="9350" w:type="dxa"/>
          </w:tcPr>
          <w:p w14:paraId="75AC6A9F" w14:textId="77777777" w:rsidR="001B2F7F" w:rsidRDefault="007F6970">
            <w:pPr>
              <w:rPr>
                <w:b/>
                <w:bCs/>
                <w:color w:val="00B050"/>
                <w:sz w:val="24"/>
                <w:szCs w:val="24"/>
              </w:rPr>
            </w:pPr>
            <w:r>
              <w:rPr>
                <w:b/>
                <w:bCs/>
                <w:color w:val="00B050"/>
                <w:sz w:val="24"/>
                <w:szCs w:val="24"/>
              </w:rPr>
              <w:t xml:space="preserve">If not, how could the proposed/existing Activity(ies)/events(s) be combined or modified to be coordinated and aligned with Umbrella Program, Integrated Program or Facet Program? </w:t>
            </w:r>
            <w:r>
              <w:rPr>
                <w:b/>
                <w:bCs/>
                <w:sz w:val="24"/>
                <w:szCs w:val="24"/>
              </w:rPr>
              <w:t>All members of the membership committee should actively participate in the Umbrella Program to enhance participation and serve the community.</w:t>
            </w:r>
          </w:p>
          <w:p w14:paraId="72835895" w14:textId="77777777" w:rsidR="001B2F7F" w:rsidRDefault="001B2F7F">
            <w:pPr>
              <w:rPr>
                <w:b/>
                <w:bCs/>
                <w:color w:val="00B050"/>
                <w:sz w:val="24"/>
                <w:szCs w:val="24"/>
              </w:rPr>
            </w:pPr>
          </w:p>
        </w:tc>
      </w:tr>
      <w:tr w:rsidR="001B2F7F" w14:paraId="6F7F1369" w14:textId="77777777">
        <w:tc>
          <w:tcPr>
            <w:tcW w:w="9350" w:type="dxa"/>
          </w:tcPr>
          <w:p w14:paraId="3F59A0CC" w14:textId="77777777" w:rsidR="001B2F7F" w:rsidRDefault="007F6970">
            <w:pPr>
              <w:rPr>
                <w:b/>
                <w:bCs/>
                <w:sz w:val="24"/>
                <w:szCs w:val="24"/>
              </w:rPr>
            </w:pPr>
            <w:r>
              <w:rPr>
                <w:b/>
                <w:bCs/>
                <w:color w:val="00B050"/>
                <w:sz w:val="24"/>
                <w:szCs w:val="24"/>
              </w:rPr>
              <w:t xml:space="preserve">What are the budget and resource needs for the Activity(ies)/Event(s)? </w:t>
            </w:r>
            <w:r>
              <w:rPr>
                <w:b/>
                <w:bCs/>
                <w:sz w:val="24"/>
                <w:szCs w:val="24"/>
              </w:rPr>
              <w:t>This information will be documented in the 2026/27 Fiscal Year Budget.</w:t>
            </w:r>
          </w:p>
          <w:p w14:paraId="6C7A8C2C" w14:textId="77777777" w:rsidR="001B2F7F" w:rsidRDefault="001B2F7F">
            <w:pPr>
              <w:rPr>
                <w:b/>
                <w:bCs/>
                <w:color w:val="00B050"/>
                <w:sz w:val="24"/>
                <w:szCs w:val="24"/>
              </w:rPr>
            </w:pPr>
          </w:p>
          <w:p w14:paraId="34605A90" w14:textId="77777777" w:rsidR="001B2F7F" w:rsidRDefault="001B2F7F">
            <w:pPr>
              <w:pBdr>
                <w:top w:val="nil"/>
                <w:left w:val="nil"/>
                <w:bottom w:val="nil"/>
                <w:right w:val="nil"/>
                <w:between w:val="nil"/>
              </w:pBdr>
              <w:spacing w:after="0" w:line="240" w:lineRule="auto"/>
              <w:ind w:left="720"/>
              <w:rPr>
                <w:color w:val="00B050"/>
                <w:sz w:val="24"/>
                <w:szCs w:val="24"/>
              </w:rPr>
            </w:pPr>
          </w:p>
        </w:tc>
      </w:tr>
    </w:tbl>
    <w:p w14:paraId="79189FD2" w14:textId="77777777" w:rsidR="001B2F7F" w:rsidRDefault="001B2F7F"/>
    <w:p w14:paraId="40B84515" w14:textId="77777777" w:rsidR="001B2F7F" w:rsidRDefault="001B2F7F"/>
    <w:p w14:paraId="783F11F7" w14:textId="77777777" w:rsidR="001B2F7F" w:rsidRDefault="007F6970">
      <w:r>
        <w:t>Please add supporting documents as appropriate</w:t>
      </w:r>
    </w:p>
    <w:p w14:paraId="26A11AAE" w14:textId="77777777" w:rsidR="001B2F7F" w:rsidRDefault="001B2F7F"/>
    <w:sectPr w:rsidR="001B2F7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79787" w14:textId="77777777" w:rsidR="007F6970" w:rsidRDefault="007F6970">
      <w:pPr>
        <w:spacing w:after="0" w:line="240" w:lineRule="auto"/>
      </w:pPr>
      <w:r>
        <w:separator/>
      </w:r>
    </w:p>
  </w:endnote>
  <w:endnote w:type="continuationSeparator" w:id="0">
    <w:p w14:paraId="0123FE21" w14:textId="77777777" w:rsidR="007F6970" w:rsidRDefault="007F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embedRegular r:id="rId1" w:fontKey="{1A3F560F-2793-4F57-AF51-2AA5B9E282B7}"/>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A56FCC7F-05B2-4607-9990-64682E242805}"/>
    <w:embedBold r:id="rId3" w:fontKey="{2B6818F7-1065-48FC-98AA-C7A5C2A6E140}"/>
    <w:embedItalic r:id="rId4" w:fontKey="{BD7EEFF1-78E4-47F6-8E97-1C44A7F60B88}"/>
  </w:font>
  <w:font w:name="Play">
    <w:charset w:val="00"/>
    <w:family w:val="auto"/>
    <w:pitch w:val="default"/>
    <w:embedRegular r:id="rId5" w:fontKey="{A102CBCB-E0AC-4033-8AF3-4B11F66258F5}"/>
  </w:font>
  <w:font w:name="Aptos Display">
    <w:charset w:val="00"/>
    <w:family w:val="swiss"/>
    <w:pitch w:val="variable"/>
    <w:sig w:usb0="20000287" w:usb1="00000003" w:usb2="00000000" w:usb3="00000000" w:csb0="0000019F" w:csb1="00000000"/>
    <w:embedRegular r:id="rId6" w:fontKey="{84C4A3DA-7C45-479A-8E84-98FB7E073144}"/>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A51BD" w14:textId="77777777" w:rsidR="007F6970" w:rsidRDefault="007F6970">
      <w:pPr>
        <w:spacing w:after="0" w:line="240" w:lineRule="auto"/>
      </w:pPr>
      <w:r>
        <w:separator/>
      </w:r>
    </w:p>
  </w:footnote>
  <w:footnote w:type="continuationSeparator" w:id="0">
    <w:p w14:paraId="57FC2EA2" w14:textId="77777777" w:rsidR="007F6970" w:rsidRDefault="007F6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79E47" w14:textId="77777777" w:rsidR="001B2F7F" w:rsidRDefault="007F697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118745" distR="118745" simplePos="0" relativeHeight="251658240" behindDoc="0" locked="0" layoutInCell="1" hidden="0" allowOverlap="1" wp14:anchorId="75B057E4" wp14:editId="0928B0AE">
              <wp:simplePos x="0" y="0"/>
              <wp:positionH relativeFrom="margin">
                <wp:align>center</wp:align>
              </wp:positionH>
              <wp:positionV relativeFrom="page">
                <wp:posOffset>447358</wp:posOffset>
              </wp:positionV>
              <wp:extent cx="5959564" cy="279982"/>
              <wp:effectExtent l="0" t="0" r="0" b="0"/>
              <wp:wrapSquare wrapText="bothSides" distT="0" distB="0" distL="118745" distR="118745"/>
              <wp:docPr id="198" name="Rectangle 198"/>
              <wp:cNvGraphicFramePr/>
              <a:graphic xmlns:a="http://schemas.openxmlformats.org/drawingml/2006/main">
                <a:graphicData uri="http://schemas.microsoft.com/office/word/2010/wordprocessingShape">
                  <wps:wsp>
                    <wps:cNvSpPr/>
                    <wps:spPr>
                      <a:xfrm>
                        <a:off x="2370981" y="3644772"/>
                        <a:ext cx="5950039" cy="270457"/>
                      </a:xfrm>
                      <a:prstGeom prst="rect">
                        <a:avLst/>
                      </a:prstGeom>
                      <a:solidFill>
                        <a:schemeClr val="accent1"/>
                      </a:solidFill>
                      <a:ln>
                        <a:noFill/>
                      </a:ln>
                    </wps:spPr>
                    <wps:txbx>
                      <w:txbxContent>
                        <w:p w14:paraId="790EB795" w14:textId="77777777" w:rsidR="001B2F7F" w:rsidRDefault="007F6970">
                          <w:pPr>
                            <w:spacing w:after="0" w:line="240" w:lineRule="auto"/>
                            <w:jc w:val="center"/>
                            <w:textDirection w:val="btLr"/>
                          </w:pPr>
                          <w:r>
                            <w:rPr>
                              <w:rFonts w:ascii="Arial" w:eastAsia="Arial" w:hAnsi="Arial" w:cs="Arial"/>
                              <w:smallCaps/>
                              <w:color w:val="FFFFFF"/>
                            </w:rPr>
                            <w:t>STANDING COMMITTEE EVALUATION FORM</w:t>
                          </w:r>
                        </w:p>
                      </w:txbxContent>
                    </wps:txbx>
                    <wps:bodyPr spcFirstLastPara="1" wrap="square" lIns="91425" tIns="45700" rIns="91425" bIns="45700" anchor="ctr" anchorCtr="0">
                      <a:noAutofit/>
                    </wps:bodyPr>
                  </wps:wsp>
                </a:graphicData>
              </a:graphic>
            </wp:anchor>
          </w:drawing>
        </mc:Choice>
        <mc:Fallback>
          <w:pict>
            <v:rect w14:anchorId="75B057E4" id="Rectangle 198" o:spid="_x0000_s1026" style="position:absolute;margin-left:0;margin-top:35.25pt;width:469.25pt;height:22.05pt;z-index:251658240;visibility:visible;mso-wrap-style:square;mso-wrap-distance-left:9.35pt;mso-wrap-distance-top:0;mso-wrap-distance-right:9.35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" fillcolor="#156082 [3204]" stroked="f">
              <v:textbox inset="2.53958mm,1.2694mm,2.53958mm,1.2694mm">
                <w:txbxContent>
                  <w:p w14:paraId="790EB795" w14:textId="77777777" w:rsidR="001B2F7F" w:rsidRDefault="007F6970">
                    <w:pPr>
                      <w:spacing w:after="0" w:line="240" w:lineRule="auto"/>
                      <w:jc w:val="center"/>
                      <w:textDirection w:val="btLr"/>
                    </w:pPr>
                    <w:r>
                      <w:rPr>
                        <w:rFonts w:ascii="Arial" w:eastAsia="Arial" w:hAnsi="Arial" w:cs="Arial"/>
                        <w:smallCaps/>
                        <w:color w:val="FFFFFF"/>
                      </w:rPr>
                      <w:t>STANDING COMMITTEE EVALUATION FORM</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772AE"/>
    <w:multiLevelType w:val="multilevel"/>
    <w:tmpl w:val="A54E3C6A"/>
    <w:lvl w:ilvl="0">
      <w:start w:val="1"/>
      <w:numFmt w:val="bullet"/>
      <w:lvlText w:val="●"/>
      <w:lvlJc w:val="left"/>
      <w:pPr>
        <w:ind w:left="720" w:hanging="360"/>
      </w:pPr>
      <w:rPr>
        <w:rFonts w:ascii="Roboto" w:eastAsia="Roboto" w:hAnsi="Roboto" w:cs="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947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F7F"/>
    <w:rsid w:val="001B2F7F"/>
    <w:rsid w:val="007F6970"/>
    <w:rsid w:val="00F9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3098"/>
  <w15:docId w15:val="{BE11E68D-24ED-4C84-B0EA-4BE0036C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40"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40"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40" w:lineRule="auto"/>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40" w:lineRule="auto"/>
      <w:outlineLvl w:val="3"/>
    </w:pPr>
    <w:rPr>
      <w:i/>
      <w:iCs/>
      <w:color w:val="0F4761"/>
      <w:sz w:val="24"/>
      <w:szCs w:val="24"/>
    </w:rPr>
  </w:style>
  <w:style w:type="paragraph" w:styleId="Heading5">
    <w:name w:val="heading 5"/>
    <w:basedOn w:val="Normal"/>
    <w:next w:val="Normal"/>
    <w:link w:val="Heading5Char"/>
    <w:uiPriority w:val="9"/>
    <w:semiHidden/>
    <w:unhideWhenUsed/>
    <w:qFormat/>
    <w:pPr>
      <w:keepNext/>
      <w:keepLines/>
      <w:spacing w:before="80" w:after="40" w:line="240" w:lineRule="auto"/>
      <w:outlineLvl w:val="4"/>
    </w:pPr>
    <w:rPr>
      <w:color w:val="0F4761"/>
      <w:sz w:val="24"/>
      <w:szCs w:val="24"/>
    </w:rPr>
  </w:style>
  <w:style w:type="paragraph" w:styleId="Heading6">
    <w:name w:val="heading 6"/>
    <w:basedOn w:val="Normal"/>
    <w:next w:val="Normal"/>
    <w:link w:val="Heading6Char"/>
    <w:uiPriority w:val="9"/>
    <w:semiHidden/>
    <w:unhideWhenUsed/>
    <w:qFormat/>
    <w:pPr>
      <w:keepNext/>
      <w:keepLines/>
      <w:spacing w:before="40" w:after="0" w:line="240" w:lineRule="auto"/>
      <w:outlineLvl w:val="5"/>
    </w:pPr>
    <w:rPr>
      <w:i/>
      <w:iCs/>
      <w:color w:val="595959"/>
      <w:sz w:val="24"/>
      <w:szCs w:val="24"/>
    </w:rPr>
  </w:style>
  <w:style w:type="paragraph" w:styleId="Heading7">
    <w:name w:val="heading 7"/>
    <w:basedOn w:val="Normal"/>
    <w:next w:val="Normal"/>
    <w:link w:val="Heading7Char"/>
    <w:uiPriority w:val="9"/>
    <w:semiHidden/>
    <w:unhideWhenUsed/>
    <w:qFormat/>
    <w:rsid w:val="00C4739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4739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4739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C47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95"/>
    <w:rPr>
      <w:rFonts w:eastAsiaTheme="majorEastAsia" w:cstheme="majorBidi"/>
      <w:color w:val="272727" w:themeColor="text1" w:themeTint="D8"/>
    </w:rPr>
  </w:style>
  <w:style w:type="character" w:customStyle="1" w:styleId="TitleChar">
    <w:name w:val="Title Char"/>
    <w:basedOn w:val="DefaultParagraphFont"/>
    <w:link w:val="Title"/>
    <w:uiPriority w:val="10"/>
    <w:rsid w:val="00C4739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4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95"/>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47395"/>
    <w:rPr>
      <w:i/>
      <w:iCs/>
      <w:color w:val="404040" w:themeColor="text1" w:themeTint="BF"/>
    </w:rPr>
  </w:style>
  <w:style w:type="paragraph" w:styleId="ListParagraph">
    <w:name w:val="List Paragraph"/>
    <w:basedOn w:val="Normal"/>
    <w:uiPriority w:val="34"/>
    <w:qFormat/>
    <w:rsid w:val="00C47395"/>
    <w:pPr>
      <w:spacing w:after="0" w:line="240" w:lineRule="auto"/>
      <w:ind w:left="720"/>
      <w:contextualSpacing/>
    </w:pPr>
    <w:rPr>
      <w:sz w:val="24"/>
      <w:szCs w:val="24"/>
    </w:rPr>
  </w:style>
  <w:style w:type="character" w:styleId="IntenseEmphasis">
    <w:name w:val="Intense Emphasis"/>
    <w:basedOn w:val="DefaultParagraphFont"/>
    <w:uiPriority w:val="21"/>
    <w:qFormat/>
    <w:rsid w:val="00C47395"/>
    <w:rPr>
      <w:i/>
      <w:iCs/>
      <w:color w:val="0F4761" w:themeColor="accent1" w:themeShade="BF"/>
    </w:rPr>
  </w:style>
  <w:style w:type="paragraph" w:styleId="IntenseQuote">
    <w:name w:val="Intense Quote"/>
    <w:basedOn w:val="Normal"/>
    <w:next w:val="Normal"/>
    <w:link w:val="IntenseQuoteChar"/>
    <w:uiPriority w:val="30"/>
    <w:qFormat/>
    <w:rsid w:val="00C473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47395"/>
    <w:rPr>
      <w:i/>
      <w:iCs/>
      <w:color w:val="0F4761" w:themeColor="accent1" w:themeShade="BF"/>
    </w:rPr>
  </w:style>
  <w:style w:type="character" w:styleId="IntenseReference">
    <w:name w:val="Intense Reference"/>
    <w:basedOn w:val="DefaultParagraphFont"/>
    <w:uiPriority w:val="32"/>
    <w:qFormat/>
    <w:rsid w:val="00C47395"/>
    <w:rPr>
      <w:b/>
      <w:bCs/>
      <w:smallCaps/>
      <w:color w:val="0F4761" w:themeColor="accent1" w:themeShade="BF"/>
      <w:spacing w:val="5"/>
    </w:rPr>
  </w:style>
  <w:style w:type="table" w:styleId="TableGrid">
    <w:name w:val="Table Grid"/>
    <w:basedOn w:val="TableNormal"/>
    <w:uiPriority w:val="39"/>
    <w:rsid w:val="00C4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95"/>
    <w:rPr>
      <w:sz w:val="22"/>
      <w:szCs w:val="22"/>
    </w:rPr>
  </w:style>
  <w:style w:type="paragraph" w:styleId="Footer">
    <w:name w:val="footer"/>
    <w:basedOn w:val="Normal"/>
    <w:link w:val="FooterChar"/>
    <w:uiPriority w:val="99"/>
    <w:unhideWhenUsed/>
    <w:rsid w:val="00C4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95"/>
    <w:rPr>
      <w:sz w:val="22"/>
      <w:szCs w:val="22"/>
    </w:rPr>
  </w:style>
  <w:style w:type="paragraph" w:styleId="Subtitle">
    <w:name w:val="Subtitle"/>
    <w:basedOn w:val="Normal"/>
    <w:next w:val="Normal"/>
    <w:link w:val="SubtitleChar"/>
    <w:uiPriority w:val="11"/>
    <w:qFormat/>
    <w:pPr>
      <w:spacing w:line="240" w:lineRule="auto"/>
    </w:pPr>
    <w:rPr>
      <w:color w:val="595959"/>
      <w:sz w:val="28"/>
      <w:szCs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E7QRlCslEyRGhaRRwVM8UOs3Q==">CgMxLjA4AHIhMU5VNm9tZFhiZUZnX3FHcmhrSUk3eE91R2hGM1pyY1lX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Little</dc:creator>
  <cp:lastModifiedBy>Judy Smith</cp:lastModifiedBy>
  <cp:revision>2</cp:revision>
  <dcterms:created xsi:type="dcterms:W3CDTF">2025-12-26T11:01:00Z</dcterms:created>
  <dcterms:modified xsi:type="dcterms:W3CDTF">2025-12-26T11:01:00Z</dcterms:modified>
</cp:coreProperties>
</file>