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ind w:firstLine="709"/>
        <w:jc w:val="center"/>
        <w:rPr>
          <w:b w:val="1"/>
          <w:sz w:val="24"/>
          <w:szCs w:val="24"/>
        </w:rPr>
      </w:pPr>
      <w:bookmarkStart w:colFirst="0" w:colLast="0" w:name="_gjdgxs" w:id="0"/>
      <w:bookmarkEnd w:id="0"/>
      <w:r w:rsidDel="00000000" w:rsidR="00000000" w:rsidRPr="00000000">
        <w:rPr>
          <w:b w:val="1"/>
          <w:sz w:val="24"/>
          <w:szCs w:val="24"/>
          <w:rtl w:val="0"/>
        </w:rPr>
        <w:t xml:space="preserve">СОГЛАШЕНИЕ О СОБЛЮДЕНИИ КОНФИДЕНЦИАЛЬНОСТИ</w:t>
      </w:r>
    </w:p>
    <w:p w:rsidR="00000000" w:rsidDel="00000000" w:rsidP="00000000" w:rsidRDefault="00000000" w:rsidRPr="00000000" w14:paraId="00000002">
      <w:pPr>
        <w:widowControl w:val="0"/>
        <w:jc w:val="center"/>
        <w:rPr>
          <w:b w:val="1"/>
          <w:i w:val="1"/>
          <w:sz w:val="24"/>
          <w:szCs w:val="24"/>
        </w:rPr>
      </w:pPr>
      <w:r w:rsidDel="00000000" w:rsidR="00000000" w:rsidRPr="00000000">
        <w:rPr>
          <w:rtl w:val="0"/>
        </w:rPr>
      </w:r>
    </w:p>
    <w:tbl>
      <w:tblPr>
        <w:tblStyle w:val="Table1"/>
        <w:tblW w:w="9571.0" w:type="dxa"/>
        <w:jc w:val="left"/>
        <w:tblInd w:w="-115.0" w:type="dxa"/>
        <w:tblLayout w:type="fixed"/>
        <w:tblLook w:val="0000"/>
      </w:tblPr>
      <w:tblGrid>
        <w:gridCol w:w="4765"/>
        <w:gridCol w:w="4806"/>
        <w:tblGridChange w:id="0">
          <w:tblGrid>
            <w:gridCol w:w="4765"/>
            <w:gridCol w:w="4806"/>
          </w:tblGrid>
        </w:tblGridChange>
      </w:tblGrid>
      <w:tr>
        <w:trPr>
          <w:cantSplit w:val="0"/>
          <w:tblHeader w:val="0"/>
        </w:trPr>
        <w:tc>
          <w:tcPr/>
          <w:p w:rsidR="00000000" w:rsidDel="00000000" w:rsidP="00000000" w:rsidRDefault="00000000" w:rsidRPr="00000000" w14:paraId="00000003">
            <w:pPr>
              <w:widowControl w:val="0"/>
              <w:rPr>
                <w:sz w:val="24"/>
                <w:szCs w:val="24"/>
              </w:rPr>
            </w:pPr>
            <w:r w:rsidDel="00000000" w:rsidR="00000000" w:rsidRPr="00000000">
              <w:rPr>
                <w:sz w:val="24"/>
                <w:szCs w:val="24"/>
                <w:rtl w:val="0"/>
              </w:rPr>
              <w:t xml:space="preserve">г. Москва</w:t>
            </w:r>
          </w:p>
        </w:tc>
        <w:tc>
          <w:tcPr/>
          <w:p w:rsidR="00000000" w:rsidDel="00000000" w:rsidP="00000000" w:rsidRDefault="00000000" w:rsidRPr="00000000" w14:paraId="00000004">
            <w:pPr>
              <w:widowControl w:val="0"/>
              <w:jc w:val="right"/>
              <w:rPr>
                <w:sz w:val="24"/>
                <w:szCs w:val="24"/>
              </w:rPr>
            </w:pPr>
            <w:r w:rsidDel="00000000" w:rsidR="00000000" w:rsidRPr="00000000">
              <w:rPr>
                <w:rtl w:val="0"/>
              </w:rPr>
            </w:r>
          </w:p>
          <w:p w:rsidR="00000000" w:rsidDel="00000000" w:rsidP="00000000" w:rsidRDefault="00000000" w:rsidRPr="00000000" w14:paraId="00000005">
            <w:pPr>
              <w:widowControl w:val="0"/>
              <w:jc w:val="right"/>
              <w:rPr>
                <w:sz w:val="24"/>
                <w:szCs w:val="24"/>
              </w:rPr>
            </w:pPr>
            <w:r w:rsidDel="00000000" w:rsidR="00000000" w:rsidRPr="00000000">
              <w:rPr>
                <w:sz w:val="24"/>
                <w:szCs w:val="24"/>
                <w:rtl w:val="0"/>
              </w:rPr>
              <w:t xml:space="preserve">«___» ___________ 202__ г.</w:t>
            </w:r>
          </w:p>
        </w:tc>
      </w:tr>
    </w:tbl>
    <w:p w:rsidR="00000000" w:rsidDel="00000000" w:rsidP="00000000" w:rsidRDefault="00000000" w:rsidRPr="00000000" w14:paraId="00000006">
      <w:pPr>
        <w:widowControl w:val="0"/>
        <w:ind w:right="-58"/>
        <w:jc w:val="both"/>
        <w:rPr>
          <w:b w:val="1"/>
          <w:sz w:val="24"/>
          <w:szCs w:val="24"/>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Общество с ограниченной ответственностью «КИТ» (ООО «КИТ») в лице Генерального директора Юргина Самата Абдурашидовича, действующего на основании устава, с одной стороны, и Общество с ограниченной ответственностью «__________», в лице Генерального директора ___________, действующего на основании ___________, с другой стороны, (совместно именуемые «Стороны»), заключили настоящее Соглашение о соблюдении конфиденциальности («Соглашение») о нижеследующем:</w:t>
      </w:r>
    </w:p>
    <w:p w:rsidR="00000000" w:rsidDel="00000000" w:rsidP="00000000" w:rsidRDefault="00000000" w:rsidRPr="00000000" w14:paraId="00000008">
      <w:pPr>
        <w:widowControl w:val="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09">
      <w:pPr>
        <w:widowControl w:val="0"/>
        <w:numPr>
          <w:ilvl w:val="0"/>
          <w:numId w:val="1"/>
        </w:numPr>
        <w:spacing w:after="120" w:lineRule="auto"/>
        <w:ind w:left="567" w:hanging="567"/>
        <w:jc w:val="both"/>
        <w:rPr>
          <w:b w:val="1"/>
          <w:sz w:val="24"/>
          <w:szCs w:val="24"/>
        </w:rPr>
      </w:pPr>
      <w:r w:rsidDel="00000000" w:rsidR="00000000" w:rsidRPr="00000000">
        <w:rPr>
          <w:b w:val="1"/>
          <w:sz w:val="24"/>
          <w:szCs w:val="24"/>
          <w:rtl w:val="0"/>
        </w:rPr>
        <w:t xml:space="preserve">ПРЕДМЕТ СОГЛАШЕНИЯ</w:t>
      </w:r>
    </w:p>
    <w:p w:rsidR="00000000" w:rsidDel="00000000" w:rsidP="00000000" w:rsidRDefault="00000000" w:rsidRPr="00000000" w14:paraId="0000000A">
      <w:pPr>
        <w:widowControl w:val="0"/>
        <w:numPr>
          <w:ilvl w:val="1"/>
          <w:numId w:val="1"/>
        </w:numPr>
        <w:ind w:left="567" w:hanging="567"/>
        <w:jc w:val="both"/>
        <w:rPr>
          <w:sz w:val="24"/>
          <w:szCs w:val="24"/>
        </w:rPr>
      </w:pPr>
      <w:r w:rsidDel="00000000" w:rsidR="00000000" w:rsidRPr="00000000">
        <w:rPr>
          <w:sz w:val="24"/>
          <w:szCs w:val="24"/>
          <w:rtl w:val="0"/>
        </w:rPr>
        <w:t xml:space="preserve">Принимая во внимание: </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24" w:right="0" w:hanging="357"/>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намерение Сторон рассмотреть перспективы взаимного сотрудничества в рамках реализации государственной политики по технологическому суверенитету - («Цель»),</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24" w:right="0" w:hanging="357"/>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намерение Компании ООО «КИТ»» предоставить ООО «______» некоторую конфиденциальную информацию.</w:t>
      </w:r>
    </w:p>
    <w:p w:rsidR="00000000" w:rsidDel="00000000" w:rsidP="00000000" w:rsidRDefault="00000000" w:rsidRPr="00000000" w14:paraId="0000000D">
      <w:pPr>
        <w:widowControl w:val="0"/>
        <w:ind w:left="567" w:firstLine="0"/>
        <w:jc w:val="both"/>
        <w:rPr/>
      </w:pPr>
      <w:r w:rsidDel="00000000" w:rsidR="00000000" w:rsidRPr="00000000">
        <w:rPr>
          <w:sz w:val="24"/>
          <w:szCs w:val="24"/>
          <w:rtl w:val="0"/>
        </w:rPr>
        <w:t xml:space="preserve">Стороны настоящим Соглашением устанавливают условия и порядок использования конфиденциальной информации, предоставляемой в связи с вышеуказанными намерениями</w:t>
      </w:r>
      <w:r w:rsidDel="00000000" w:rsidR="00000000" w:rsidRPr="00000000">
        <w:rPr>
          <w:rtl w:val="0"/>
        </w:rPr>
        <w:t xml:space="preserve">.</w:t>
      </w:r>
    </w:p>
    <w:p w:rsidR="00000000" w:rsidDel="00000000" w:rsidP="00000000" w:rsidRDefault="00000000" w:rsidRPr="00000000" w14:paraId="0000000E">
      <w:pPr>
        <w:widowControl w:val="0"/>
        <w:numPr>
          <w:ilvl w:val="1"/>
          <w:numId w:val="1"/>
        </w:numPr>
        <w:ind w:left="567" w:hanging="567"/>
        <w:jc w:val="both"/>
        <w:rPr>
          <w:sz w:val="24"/>
          <w:szCs w:val="24"/>
        </w:rPr>
      </w:pPr>
      <w:r w:rsidDel="00000000" w:rsidR="00000000" w:rsidRPr="00000000">
        <w:rPr>
          <w:sz w:val="24"/>
          <w:szCs w:val="24"/>
          <w:rtl w:val="0"/>
        </w:rPr>
        <w:t xml:space="preserve">В рамках настоящего Соглашения к «Конфиденциальной информации» относится информация на материальных носителях (бумажные, магнитные и пр.), отображаемая в виде символов, образов, сигналов, технических решений и процессов. Конфиденциальная информация включает:</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24" w:right="0" w:hanging="357"/>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информацию, отнесенную к коммерческой тайне в соответствии с Федеральным Законом «О коммерческой тайне» № 98-ФЗ от 29.07.2004 года;</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24" w:right="0" w:hanging="357"/>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информацию, которая содержится в перечне сведений конфиденциального характера, в соответствии с Указом Президента РФ № 188 от 06.03.1997 года;</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24" w:right="0" w:hanging="357"/>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иную информацию, содержащую обозначение «Конфиденциально» или «Коммерческая тайна» на ее носителях, в том числе персональные данные генерального директора ООО «КИТ» работников, клиентов или иных лиц.</w:t>
      </w:r>
    </w:p>
    <w:p w:rsidR="00000000" w:rsidDel="00000000" w:rsidP="00000000" w:rsidRDefault="00000000" w:rsidRPr="00000000" w14:paraId="00000012">
      <w:pPr>
        <w:widowControl w:val="0"/>
        <w:numPr>
          <w:ilvl w:val="1"/>
          <w:numId w:val="1"/>
        </w:numPr>
        <w:ind w:left="567" w:hanging="567"/>
        <w:jc w:val="both"/>
        <w:rPr>
          <w:sz w:val="24"/>
          <w:szCs w:val="24"/>
        </w:rPr>
      </w:pPr>
      <w:r w:rsidDel="00000000" w:rsidR="00000000" w:rsidRPr="00000000">
        <w:rPr>
          <w:sz w:val="24"/>
          <w:szCs w:val="24"/>
          <w:rtl w:val="0"/>
        </w:rPr>
        <w:t xml:space="preserve">Обязательство по соблюдению конфиденциальности не имеет силы в отношении информации, которая</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24" w:right="0" w:hanging="357"/>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 момент разглашения являлась общеизвестной информацией; или</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24" w:right="0" w:hanging="357"/>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стала общеизвестной информацией в результате публикации или иным путем, не связанным с нарушением условий настоящего Соглашения; или</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24" w:right="0" w:hanging="357"/>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 момент разглашения являлась собственностью Стороны, которой был предоставлен доступ к Конфиденциальной информации, и этому имеются письменные доказательства; или</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24" w:right="0" w:hanging="357"/>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была получена от третьей стороны без подобных ограничений и не в результате нарушения настоящего Соглашения; или</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24" w:right="0" w:hanging="357"/>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подлежит разглашению в соответствии с требованием и/или предписанием соответствующего государственного органа на основании законодательства; или</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24" w:right="0" w:hanging="357"/>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разрешена к открытому выпуску письменным разрешением Стороны, предоставившей информацию.</w:t>
      </w:r>
    </w:p>
    <w:p w:rsidR="00000000" w:rsidDel="00000000" w:rsidP="00000000" w:rsidRDefault="00000000" w:rsidRPr="00000000" w14:paraId="00000019">
      <w:pPr>
        <w:widowControl w:val="0"/>
        <w:numPr>
          <w:ilvl w:val="1"/>
          <w:numId w:val="1"/>
        </w:numPr>
        <w:ind w:left="567" w:hanging="567"/>
        <w:jc w:val="both"/>
        <w:rPr>
          <w:sz w:val="24"/>
          <w:szCs w:val="24"/>
        </w:rPr>
      </w:pPr>
      <w:r w:rsidDel="00000000" w:rsidR="00000000" w:rsidRPr="00000000">
        <w:rPr>
          <w:sz w:val="24"/>
          <w:szCs w:val="24"/>
          <w:rtl w:val="0"/>
        </w:rPr>
        <w:t xml:space="preserve">Информация, если она содержится в устной форме, будет считаться Конфиденциальной информацией, только если ее принадлежность к Конфиденциальной информации была объявлена в момент раскрытия, а затем в течение пяти (5) дней после ее раскрытия была изложена в письменной форме и обозначена пометкой «Конфиденциально» или «Коммерческая тайна».</w:t>
      </w:r>
    </w:p>
    <w:p w:rsidR="00000000" w:rsidDel="00000000" w:rsidP="00000000" w:rsidRDefault="00000000" w:rsidRPr="00000000" w14:paraId="0000001A">
      <w:pPr>
        <w:widowControl w:val="0"/>
        <w:jc w:val="both"/>
        <w:rPr>
          <w:sz w:val="24"/>
          <w:szCs w:val="24"/>
        </w:rPr>
      </w:pPr>
      <w:r w:rsidDel="00000000" w:rsidR="00000000" w:rsidRPr="00000000">
        <w:rPr>
          <w:rtl w:val="0"/>
        </w:rPr>
      </w:r>
    </w:p>
    <w:p w:rsidR="00000000" w:rsidDel="00000000" w:rsidP="00000000" w:rsidRDefault="00000000" w:rsidRPr="00000000" w14:paraId="0000001B">
      <w:pPr>
        <w:widowControl w:val="0"/>
        <w:numPr>
          <w:ilvl w:val="0"/>
          <w:numId w:val="1"/>
        </w:numPr>
        <w:spacing w:after="120" w:lineRule="auto"/>
        <w:ind w:left="567" w:hanging="567"/>
        <w:jc w:val="both"/>
        <w:rPr>
          <w:b w:val="1"/>
          <w:smallCaps w:val="1"/>
          <w:sz w:val="24"/>
          <w:szCs w:val="24"/>
        </w:rPr>
      </w:pPr>
      <w:r w:rsidDel="00000000" w:rsidR="00000000" w:rsidRPr="00000000">
        <w:rPr>
          <w:b w:val="1"/>
          <w:smallCaps w:val="1"/>
          <w:sz w:val="24"/>
          <w:szCs w:val="24"/>
          <w:rtl w:val="0"/>
        </w:rPr>
        <w:t xml:space="preserve">ПРАВА И ОБЯЗАННОСТИ СТОРОН</w:t>
      </w:r>
    </w:p>
    <w:p w:rsidR="00000000" w:rsidDel="00000000" w:rsidP="00000000" w:rsidRDefault="00000000" w:rsidRPr="00000000" w14:paraId="0000001C">
      <w:pPr>
        <w:widowControl w:val="0"/>
        <w:numPr>
          <w:ilvl w:val="1"/>
          <w:numId w:val="1"/>
        </w:numPr>
        <w:ind w:left="567" w:hanging="567"/>
        <w:jc w:val="both"/>
        <w:rPr>
          <w:sz w:val="24"/>
          <w:szCs w:val="24"/>
        </w:rPr>
      </w:pPr>
      <w:r w:rsidDel="00000000" w:rsidR="00000000" w:rsidRPr="00000000">
        <w:rPr>
          <w:sz w:val="24"/>
          <w:szCs w:val="24"/>
          <w:rtl w:val="0"/>
        </w:rPr>
        <w:t xml:space="preserve">Стороны признают, что Конфиденциальная информация, доступ к которой предоставляется в соответствии с настоящим Соглашением, а также все права на обладание ею, или в отношении нее, принадлежат Стороне, предоставившей доступ к Конфиденциальной информации.</w:t>
      </w:r>
    </w:p>
    <w:p w:rsidR="00000000" w:rsidDel="00000000" w:rsidP="00000000" w:rsidRDefault="00000000" w:rsidRPr="00000000" w14:paraId="0000001D">
      <w:pPr>
        <w:widowControl w:val="0"/>
        <w:numPr>
          <w:ilvl w:val="1"/>
          <w:numId w:val="1"/>
        </w:numPr>
        <w:ind w:left="567" w:hanging="567"/>
        <w:jc w:val="both"/>
        <w:rPr>
          <w:sz w:val="24"/>
          <w:szCs w:val="24"/>
        </w:rPr>
      </w:pPr>
      <w:r w:rsidDel="00000000" w:rsidR="00000000" w:rsidRPr="00000000">
        <w:rPr>
          <w:sz w:val="24"/>
          <w:szCs w:val="24"/>
          <w:rtl w:val="0"/>
        </w:rPr>
        <w:t xml:space="preserve">Стороны обязуются сохранять надлежащим образом в тайне, не разглашать любыми способами предоставленную Конфиденциальную информацию полностью или частично третьим лицам без предварительного письменного согласия Стороны, предоставившей доступ к Конфиденциальной информации, за исключением случаев, предусмотренных действующим законодательством, когда информация раскрыта по требованию уполномоченного государственного органа или суда. </w:t>
      </w:r>
    </w:p>
    <w:p w:rsidR="00000000" w:rsidDel="00000000" w:rsidP="00000000" w:rsidRDefault="00000000" w:rsidRPr="00000000" w14:paraId="0000001E">
      <w:pPr>
        <w:widowControl w:val="0"/>
        <w:numPr>
          <w:ilvl w:val="1"/>
          <w:numId w:val="1"/>
        </w:numPr>
        <w:ind w:left="567" w:hanging="567"/>
        <w:jc w:val="both"/>
        <w:rPr>
          <w:sz w:val="24"/>
          <w:szCs w:val="24"/>
        </w:rPr>
      </w:pPr>
      <w:r w:rsidDel="00000000" w:rsidR="00000000" w:rsidRPr="00000000">
        <w:rPr>
          <w:sz w:val="24"/>
          <w:szCs w:val="24"/>
          <w:rtl w:val="0"/>
        </w:rPr>
        <w:t xml:space="preserve">Стороны вправе предоставлять доступ к Конфиденциальной информации другой Стороны только тем своим сотрудникам, участвующим в реализации Цели, которые до раскрытия и/или предоставления Конфиденциальной информации приняли обязательства по соблюдению условий использования Конфиденциальной информации в объеме, не меньшем, чем предусмотрено настоящим Соглашением. Сотрудники, получившие доступ к Конфиденциальной информации другой Стороны, имеют право использовать Конфиденциальную информацию только для реализации Цели.</w:t>
      </w:r>
    </w:p>
    <w:p w:rsidR="00000000" w:rsidDel="00000000" w:rsidP="00000000" w:rsidRDefault="00000000" w:rsidRPr="00000000" w14:paraId="0000001F">
      <w:pPr>
        <w:widowControl w:val="0"/>
        <w:numPr>
          <w:ilvl w:val="1"/>
          <w:numId w:val="1"/>
        </w:numPr>
        <w:ind w:left="567" w:hanging="567"/>
        <w:jc w:val="both"/>
        <w:rPr>
          <w:sz w:val="24"/>
          <w:szCs w:val="24"/>
        </w:rPr>
      </w:pPr>
      <w:r w:rsidDel="00000000" w:rsidR="00000000" w:rsidRPr="00000000">
        <w:rPr>
          <w:sz w:val="24"/>
          <w:szCs w:val="24"/>
          <w:rtl w:val="0"/>
        </w:rPr>
        <w:t xml:space="preserve">Стороны вправе передавать Конфиденциальную информацию своим дочерним обществам, если передача такой информации является необходимой для реализации Цели, при условии, что такие дочерние общества приняли обязательства по соблюдению условий использования Конфиденциальной информации в объеме, не меньшем, чем предусмотрено настоящим Соглашением.</w:t>
      </w:r>
    </w:p>
    <w:p w:rsidR="00000000" w:rsidDel="00000000" w:rsidP="00000000" w:rsidRDefault="00000000" w:rsidRPr="00000000" w14:paraId="00000020">
      <w:pPr>
        <w:widowControl w:val="0"/>
        <w:numPr>
          <w:ilvl w:val="1"/>
          <w:numId w:val="1"/>
        </w:numPr>
        <w:ind w:left="567" w:hanging="567"/>
        <w:jc w:val="both"/>
        <w:rPr>
          <w:sz w:val="24"/>
          <w:szCs w:val="24"/>
        </w:rPr>
      </w:pPr>
      <w:r w:rsidDel="00000000" w:rsidR="00000000" w:rsidRPr="00000000">
        <w:rPr>
          <w:sz w:val="24"/>
          <w:szCs w:val="24"/>
          <w:rtl w:val="0"/>
        </w:rPr>
        <w:t xml:space="preserve">Предоставление доступа к Конфиденциальной информации ни в коем случае не подразумевает и не означает передачу или согласие на передачу Сторонами каких-либо лицензий, иных имущественных или неимущественных прав в отношении Конфиденциальной информации.</w:t>
      </w:r>
    </w:p>
    <w:p w:rsidR="00000000" w:rsidDel="00000000" w:rsidP="00000000" w:rsidRDefault="00000000" w:rsidRPr="00000000" w14:paraId="00000021">
      <w:pPr>
        <w:widowControl w:val="0"/>
        <w:numPr>
          <w:ilvl w:val="1"/>
          <w:numId w:val="1"/>
        </w:numPr>
        <w:ind w:left="567" w:hanging="567"/>
        <w:jc w:val="both"/>
        <w:rPr>
          <w:sz w:val="24"/>
          <w:szCs w:val="24"/>
        </w:rPr>
      </w:pPr>
      <w:r w:rsidDel="00000000" w:rsidR="00000000" w:rsidRPr="00000000">
        <w:rPr>
          <w:sz w:val="24"/>
          <w:szCs w:val="24"/>
          <w:rtl w:val="0"/>
        </w:rPr>
        <w:t xml:space="preserve">Сторона, получившая доступ к Конфиденциальной информации другой Стороны, обязана незамедлительно информировать другую Сторону обо всех событиях, которые могут повлечь за собой нарушение режима использования Конфиденциальной информации и попадания ее к третьим лицам.</w:t>
      </w:r>
    </w:p>
    <w:p w:rsidR="00000000" w:rsidDel="00000000" w:rsidP="00000000" w:rsidRDefault="00000000" w:rsidRPr="00000000" w14:paraId="00000022">
      <w:pPr>
        <w:widowControl w:val="0"/>
        <w:jc w:val="both"/>
        <w:rPr>
          <w:sz w:val="24"/>
          <w:szCs w:val="24"/>
        </w:rPr>
      </w:pPr>
      <w:r w:rsidDel="00000000" w:rsidR="00000000" w:rsidRPr="00000000">
        <w:rPr>
          <w:rtl w:val="0"/>
        </w:rPr>
      </w:r>
    </w:p>
    <w:p w:rsidR="00000000" w:rsidDel="00000000" w:rsidP="00000000" w:rsidRDefault="00000000" w:rsidRPr="00000000" w14:paraId="00000023">
      <w:pPr>
        <w:widowControl w:val="0"/>
        <w:numPr>
          <w:ilvl w:val="0"/>
          <w:numId w:val="1"/>
        </w:numPr>
        <w:spacing w:after="120" w:lineRule="auto"/>
        <w:ind w:left="567" w:hanging="567"/>
        <w:jc w:val="both"/>
        <w:rPr>
          <w:b w:val="1"/>
          <w:smallCaps w:val="1"/>
          <w:sz w:val="24"/>
          <w:szCs w:val="24"/>
        </w:rPr>
      </w:pPr>
      <w:r w:rsidDel="00000000" w:rsidR="00000000" w:rsidRPr="00000000">
        <w:rPr>
          <w:b w:val="1"/>
          <w:smallCaps w:val="1"/>
          <w:sz w:val="24"/>
          <w:szCs w:val="24"/>
          <w:rtl w:val="0"/>
        </w:rPr>
        <w:t xml:space="preserve">ОТВЕТСТВЕННОСТЬ СТОРОН</w:t>
      </w:r>
    </w:p>
    <w:p w:rsidR="00000000" w:rsidDel="00000000" w:rsidP="00000000" w:rsidRDefault="00000000" w:rsidRPr="00000000" w14:paraId="00000024">
      <w:pPr>
        <w:widowControl w:val="0"/>
        <w:numPr>
          <w:ilvl w:val="1"/>
          <w:numId w:val="1"/>
        </w:numPr>
        <w:ind w:left="567" w:hanging="567"/>
        <w:jc w:val="both"/>
        <w:rPr>
          <w:sz w:val="24"/>
          <w:szCs w:val="24"/>
        </w:rPr>
      </w:pPr>
      <w:r w:rsidDel="00000000" w:rsidR="00000000" w:rsidRPr="00000000">
        <w:rPr>
          <w:sz w:val="24"/>
          <w:szCs w:val="24"/>
          <w:rtl w:val="0"/>
        </w:rPr>
        <w:t xml:space="preserve">За нарушение и/или несоблюдение Сторонами, сотрудниками, в том числе лицами, которые состоят или состояли с ними в трудовых отношениях (в течение двенадцати месяцев после прекращения трудовых отношений), условий настоящего Соглашения Стороны несут ответственность в размере реального ущерба в соответствии с действующим законодательством РФ.</w:t>
      </w:r>
    </w:p>
    <w:p w:rsidR="00000000" w:rsidDel="00000000" w:rsidP="00000000" w:rsidRDefault="00000000" w:rsidRPr="00000000" w14:paraId="00000025">
      <w:pPr>
        <w:widowControl w:val="0"/>
        <w:numPr>
          <w:ilvl w:val="1"/>
          <w:numId w:val="1"/>
        </w:numPr>
        <w:ind w:left="567" w:hanging="567"/>
        <w:jc w:val="both"/>
        <w:rPr>
          <w:sz w:val="24"/>
          <w:szCs w:val="24"/>
        </w:rPr>
      </w:pPr>
      <w:r w:rsidDel="00000000" w:rsidR="00000000" w:rsidRPr="00000000">
        <w:rPr>
          <w:sz w:val="24"/>
          <w:szCs w:val="24"/>
          <w:rtl w:val="0"/>
        </w:rPr>
        <w:t xml:space="preserve">Каждая Сторона является оператором персональных данных, содержащихся в Конфиденциальной информации, применительно к определению понятия «оператор», установленному законодательством Российской Федерации, обеспечивает соблюдение требований к обработке персональных данных, установленных Федеральным законом № 152-ФЗ от 27.07.2006 «О персональных данных» и принятыми в его исполнение нормативными правовыми актами. </w:t>
      </w:r>
    </w:p>
    <w:p w:rsidR="00000000" w:rsidDel="00000000" w:rsidP="00000000" w:rsidRDefault="00000000" w:rsidRPr="00000000" w14:paraId="00000026">
      <w:pPr>
        <w:widowControl w:val="0"/>
        <w:jc w:val="both"/>
        <w:rPr>
          <w:sz w:val="24"/>
          <w:szCs w:val="24"/>
        </w:rPr>
      </w:pPr>
      <w:r w:rsidDel="00000000" w:rsidR="00000000" w:rsidRPr="00000000">
        <w:rPr>
          <w:rtl w:val="0"/>
        </w:rPr>
      </w:r>
    </w:p>
    <w:p w:rsidR="00000000" w:rsidDel="00000000" w:rsidP="00000000" w:rsidRDefault="00000000" w:rsidRPr="00000000" w14:paraId="00000027">
      <w:pPr>
        <w:keepNext w:val="1"/>
        <w:widowControl w:val="0"/>
        <w:numPr>
          <w:ilvl w:val="0"/>
          <w:numId w:val="1"/>
        </w:numPr>
        <w:spacing w:after="120" w:lineRule="auto"/>
        <w:ind w:left="567" w:hanging="567"/>
        <w:jc w:val="both"/>
        <w:rPr>
          <w:b w:val="1"/>
          <w:smallCaps w:val="1"/>
          <w:sz w:val="24"/>
          <w:szCs w:val="24"/>
        </w:rPr>
      </w:pPr>
      <w:r w:rsidDel="00000000" w:rsidR="00000000" w:rsidRPr="00000000">
        <w:rPr>
          <w:b w:val="1"/>
          <w:smallCaps w:val="1"/>
          <w:sz w:val="24"/>
          <w:szCs w:val="24"/>
          <w:rtl w:val="0"/>
        </w:rPr>
        <w:t xml:space="preserve">ПРОЧИЕ УСЛОВИЯ</w:t>
      </w:r>
    </w:p>
    <w:p w:rsidR="00000000" w:rsidDel="00000000" w:rsidP="00000000" w:rsidRDefault="00000000" w:rsidRPr="00000000" w14:paraId="00000028">
      <w:pPr>
        <w:widowControl w:val="0"/>
        <w:numPr>
          <w:ilvl w:val="1"/>
          <w:numId w:val="1"/>
        </w:numPr>
        <w:ind w:left="567" w:hanging="567"/>
        <w:jc w:val="both"/>
        <w:rPr>
          <w:sz w:val="24"/>
          <w:szCs w:val="24"/>
        </w:rPr>
      </w:pPr>
      <w:r w:rsidDel="00000000" w:rsidR="00000000" w:rsidRPr="00000000">
        <w:rPr>
          <w:sz w:val="24"/>
          <w:szCs w:val="24"/>
          <w:rtl w:val="0"/>
        </w:rPr>
        <w:t xml:space="preserve">Настоящее Соглашение вступает в силу с  «___» ___________ 202__ г. и действует в течение трех (3) лет.</w:t>
      </w:r>
    </w:p>
    <w:p w:rsidR="00000000" w:rsidDel="00000000" w:rsidP="00000000" w:rsidRDefault="00000000" w:rsidRPr="00000000" w14:paraId="00000029">
      <w:pPr>
        <w:widowControl w:val="0"/>
        <w:numPr>
          <w:ilvl w:val="1"/>
          <w:numId w:val="1"/>
        </w:numPr>
        <w:ind w:left="567" w:hanging="567"/>
        <w:jc w:val="both"/>
        <w:rPr>
          <w:sz w:val="24"/>
          <w:szCs w:val="24"/>
        </w:rPr>
      </w:pPr>
      <w:r w:rsidDel="00000000" w:rsidR="00000000" w:rsidRPr="00000000">
        <w:rPr>
          <w:sz w:val="24"/>
          <w:szCs w:val="24"/>
          <w:rtl w:val="0"/>
        </w:rPr>
        <w:t xml:space="preserve">Все изменения и дополнения к настоящему Соглашению действительны только в письменном виде, и только в том случае, если они подписаны уполномоченными представителями Сторон.</w:t>
      </w:r>
    </w:p>
    <w:p w:rsidR="00000000" w:rsidDel="00000000" w:rsidP="00000000" w:rsidRDefault="00000000" w:rsidRPr="00000000" w14:paraId="0000002A">
      <w:pPr>
        <w:widowControl w:val="0"/>
        <w:numPr>
          <w:ilvl w:val="1"/>
          <w:numId w:val="1"/>
        </w:numPr>
        <w:ind w:left="567" w:hanging="567"/>
        <w:jc w:val="both"/>
        <w:rPr>
          <w:sz w:val="24"/>
          <w:szCs w:val="24"/>
        </w:rPr>
      </w:pPr>
      <w:r w:rsidDel="00000000" w:rsidR="00000000" w:rsidRPr="00000000">
        <w:rPr>
          <w:sz w:val="24"/>
          <w:szCs w:val="24"/>
          <w:rtl w:val="0"/>
        </w:rPr>
        <w:t xml:space="preserve">Стороны не вправе передавать и/или переуступать свои права и обязанности по настоящему Соглашению третьим лицам без предварительного письменного согласия другой Стороны.</w:t>
      </w:r>
    </w:p>
    <w:p w:rsidR="00000000" w:rsidDel="00000000" w:rsidP="00000000" w:rsidRDefault="00000000" w:rsidRPr="00000000" w14:paraId="0000002B">
      <w:pPr>
        <w:widowControl w:val="0"/>
        <w:numPr>
          <w:ilvl w:val="1"/>
          <w:numId w:val="1"/>
        </w:numPr>
        <w:ind w:left="567" w:hanging="567"/>
        <w:jc w:val="both"/>
        <w:rPr>
          <w:sz w:val="24"/>
          <w:szCs w:val="24"/>
        </w:rPr>
      </w:pPr>
      <w:r w:rsidDel="00000000" w:rsidR="00000000" w:rsidRPr="00000000">
        <w:rPr>
          <w:sz w:val="24"/>
          <w:szCs w:val="24"/>
          <w:rtl w:val="0"/>
        </w:rPr>
        <w:t xml:space="preserve">Настоящее Соглашение регламентируется законодательством Российской Федерации. </w:t>
      </w:r>
    </w:p>
    <w:p w:rsidR="00000000" w:rsidDel="00000000" w:rsidP="00000000" w:rsidRDefault="00000000" w:rsidRPr="00000000" w14:paraId="0000002C">
      <w:pPr>
        <w:widowControl w:val="0"/>
        <w:numPr>
          <w:ilvl w:val="1"/>
          <w:numId w:val="1"/>
        </w:numPr>
        <w:ind w:left="567" w:hanging="567"/>
        <w:jc w:val="both"/>
        <w:rPr>
          <w:sz w:val="24"/>
          <w:szCs w:val="24"/>
        </w:rPr>
      </w:pPr>
      <w:r w:rsidDel="00000000" w:rsidR="00000000" w:rsidRPr="00000000">
        <w:rPr>
          <w:sz w:val="24"/>
          <w:szCs w:val="24"/>
          <w:rtl w:val="0"/>
        </w:rPr>
        <w:t xml:space="preserve">Все разногласия, которые могут возникнуть между Сторонами в связи с настоящим Соглашением, разрешаются путем переговоров. В случае недостижения Сторонами согласия в процессе переговоров, спор передается на рассмотрение в Арбитражный суд по месту государственной регистрации ответчика.</w:t>
      </w:r>
    </w:p>
    <w:p w:rsidR="00000000" w:rsidDel="00000000" w:rsidP="00000000" w:rsidRDefault="00000000" w:rsidRPr="00000000" w14:paraId="0000002D">
      <w:pPr>
        <w:widowControl w:val="0"/>
        <w:numPr>
          <w:ilvl w:val="1"/>
          <w:numId w:val="1"/>
        </w:numPr>
        <w:ind w:left="567" w:hanging="567"/>
        <w:jc w:val="both"/>
        <w:rPr>
          <w:sz w:val="24"/>
          <w:szCs w:val="24"/>
        </w:rPr>
      </w:pPr>
      <w:r w:rsidDel="00000000" w:rsidR="00000000" w:rsidRPr="00000000">
        <w:rPr>
          <w:sz w:val="24"/>
          <w:szCs w:val="24"/>
          <w:rtl w:val="0"/>
        </w:rPr>
        <w:t xml:space="preserve">Настоящее Соглашение составлено в двух (2) экземплярах, имеющих равную юридическую силу. У каждой из Сторон находится один экземпляр настоящего Соглашения.</w:t>
      </w:r>
    </w:p>
    <w:p w:rsidR="00000000" w:rsidDel="00000000" w:rsidP="00000000" w:rsidRDefault="00000000" w:rsidRPr="00000000" w14:paraId="0000002E">
      <w:pPr>
        <w:widowControl w:val="0"/>
        <w:jc w:val="both"/>
        <w:rPr>
          <w:sz w:val="24"/>
          <w:szCs w:val="24"/>
        </w:rPr>
      </w:pPr>
      <w:r w:rsidDel="00000000" w:rsidR="00000000" w:rsidRPr="00000000">
        <w:rPr>
          <w:rtl w:val="0"/>
        </w:rPr>
      </w:r>
    </w:p>
    <w:p w:rsidR="00000000" w:rsidDel="00000000" w:rsidP="00000000" w:rsidRDefault="00000000" w:rsidRPr="00000000" w14:paraId="0000002F">
      <w:pPr>
        <w:keepNext w:val="1"/>
        <w:widowControl w:val="0"/>
        <w:numPr>
          <w:ilvl w:val="0"/>
          <w:numId w:val="1"/>
        </w:numPr>
        <w:ind w:left="357" w:hanging="357"/>
        <w:jc w:val="both"/>
        <w:rPr>
          <w:b w:val="1"/>
          <w:smallCaps w:val="1"/>
          <w:sz w:val="24"/>
          <w:szCs w:val="24"/>
        </w:rPr>
      </w:pPr>
      <w:r w:rsidDel="00000000" w:rsidR="00000000" w:rsidRPr="00000000">
        <w:rPr>
          <w:b w:val="1"/>
          <w:smallCaps w:val="1"/>
          <w:sz w:val="24"/>
          <w:szCs w:val="24"/>
          <w:rtl w:val="0"/>
        </w:rPr>
        <w:t xml:space="preserve"> ПОДПИСИ СТОРОН</w:t>
      </w:r>
    </w:p>
    <w:p w:rsidR="00000000" w:rsidDel="00000000" w:rsidP="00000000" w:rsidRDefault="00000000" w:rsidRPr="00000000" w14:paraId="00000030">
      <w:pPr>
        <w:widowControl w:val="0"/>
        <w:ind w:left="357" w:firstLine="0"/>
        <w:jc w:val="both"/>
        <w:rPr>
          <w:b w:val="1"/>
          <w:sz w:val="24"/>
          <w:szCs w:val="24"/>
        </w:rPr>
      </w:pPr>
      <w:r w:rsidDel="00000000" w:rsidR="00000000" w:rsidRPr="00000000">
        <w:rPr>
          <w:rtl w:val="0"/>
        </w:rPr>
      </w:r>
    </w:p>
    <w:tbl>
      <w:tblPr>
        <w:tblStyle w:val="Table2"/>
        <w:tblW w:w="9571.0" w:type="dxa"/>
        <w:jc w:val="left"/>
        <w:tblInd w:w="-115.0" w:type="dxa"/>
        <w:tblLayout w:type="fixed"/>
        <w:tblLook w:val="0400"/>
      </w:tblPr>
      <w:tblGrid>
        <w:gridCol w:w="4785"/>
        <w:gridCol w:w="4786"/>
        <w:tblGridChange w:id="0">
          <w:tblGrid>
            <w:gridCol w:w="4785"/>
            <w:gridCol w:w="4786"/>
          </w:tblGrid>
        </w:tblGridChange>
      </w:tblGrid>
      <w:tr>
        <w:trPr>
          <w:cantSplit w:val="0"/>
          <w:tblHeader w:val="0"/>
        </w:trPr>
        <w:tc>
          <w:tcPr/>
          <w:p w:rsidR="00000000" w:rsidDel="00000000" w:rsidP="00000000" w:rsidRDefault="00000000" w:rsidRPr="00000000" w14:paraId="00000031">
            <w:pPr>
              <w:widowControl w:val="0"/>
              <w:rPr>
                <w:sz w:val="22"/>
                <w:szCs w:val="22"/>
              </w:rPr>
            </w:pPr>
            <w:r w:rsidDel="00000000" w:rsidR="00000000" w:rsidRPr="00000000">
              <w:rPr>
                <w:b w:val="1"/>
                <w:color w:val="000000"/>
                <w:sz w:val="24"/>
                <w:szCs w:val="24"/>
                <w:rtl w:val="0"/>
              </w:rPr>
              <w:t xml:space="preserve">ООО «КИТ»</w:t>
            </w:r>
            <w:r w:rsidDel="00000000" w:rsidR="00000000" w:rsidRPr="00000000">
              <w:rPr>
                <w:rtl w:val="0"/>
              </w:rPr>
            </w:r>
          </w:p>
        </w:tc>
        <w:tc>
          <w:tcPr/>
          <w:p w:rsidR="00000000" w:rsidDel="00000000" w:rsidP="00000000" w:rsidRDefault="00000000" w:rsidRPr="00000000" w14:paraId="00000032">
            <w:pPr>
              <w:widowControl w:val="0"/>
              <w:rPr>
                <w:b w:val="1"/>
                <w:sz w:val="22"/>
                <w:szCs w:val="22"/>
              </w:rPr>
            </w:pPr>
            <w:r w:rsidDel="00000000" w:rsidR="00000000" w:rsidRPr="00000000">
              <w:rPr>
                <w:b w:val="1"/>
                <w:color w:val="000000"/>
                <w:sz w:val="24"/>
                <w:szCs w:val="24"/>
                <w:rtl w:val="0"/>
              </w:rPr>
              <w:t xml:space="preserve">ООО «___»</w:t>
            </w:r>
            <w:r w:rsidDel="00000000" w:rsidR="00000000" w:rsidRPr="00000000">
              <w:rPr>
                <w:rtl w:val="0"/>
              </w:rPr>
            </w:r>
          </w:p>
        </w:tc>
      </w:tr>
      <w:tr>
        <w:trPr>
          <w:cantSplit w:val="0"/>
          <w:tblHeader w:val="0"/>
        </w:trPr>
        <w:tc>
          <w:tcPr/>
          <w:p w:rsidR="00000000" w:rsidDel="00000000" w:rsidP="00000000" w:rsidRDefault="00000000" w:rsidRPr="00000000" w14:paraId="00000033">
            <w:pPr>
              <w:widowControl w:val="0"/>
              <w:rPr>
                <w:b w:val="1"/>
                <w:color w:val="000000"/>
                <w:sz w:val="24"/>
                <w:szCs w:val="24"/>
              </w:rPr>
            </w:pPr>
            <w:r w:rsidDel="00000000" w:rsidR="00000000" w:rsidRPr="00000000">
              <w:rPr>
                <w:rtl w:val="0"/>
              </w:rPr>
            </w:r>
          </w:p>
          <w:p w:rsidR="00000000" w:rsidDel="00000000" w:rsidP="00000000" w:rsidRDefault="00000000" w:rsidRPr="00000000" w14:paraId="00000034">
            <w:pPr>
              <w:rPr>
                <w:sz w:val="22"/>
                <w:szCs w:val="22"/>
              </w:rPr>
            </w:pPr>
            <w:r w:rsidDel="00000000" w:rsidR="00000000" w:rsidRPr="00000000">
              <w:rPr>
                <w:sz w:val="22"/>
                <w:szCs w:val="22"/>
                <w:rtl w:val="0"/>
              </w:rPr>
              <w:t xml:space="preserve">Юридический адрес:</w:t>
            </w:r>
          </w:p>
          <w:p w:rsidR="00000000" w:rsidDel="00000000" w:rsidP="00000000" w:rsidRDefault="00000000" w:rsidRPr="00000000" w14:paraId="00000035">
            <w:pPr>
              <w:rPr>
                <w:sz w:val="22"/>
                <w:szCs w:val="22"/>
              </w:rPr>
            </w:pPr>
            <w:r w:rsidDel="00000000" w:rsidR="00000000" w:rsidRPr="00000000">
              <w:rPr>
                <w:sz w:val="22"/>
                <w:szCs w:val="22"/>
                <w:rtl w:val="0"/>
              </w:rPr>
              <w:t xml:space="preserve">108801, г. Москва, вн.тер.г. поселение Сосенское, Б-р Скандинавский, д. 2, к. 1, кв. 5</w:t>
            </w:r>
          </w:p>
          <w:p w:rsidR="00000000" w:rsidDel="00000000" w:rsidP="00000000" w:rsidRDefault="00000000" w:rsidRPr="00000000" w14:paraId="00000036">
            <w:pPr>
              <w:rPr>
                <w:sz w:val="24"/>
                <w:szCs w:val="24"/>
              </w:rPr>
            </w:pPr>
            <w:r w:rsidDel="00000000" w:rsidR="00000000" w:rsidRPr="00000000">
              <w:rPr>
                <w:sz w:val="24"/>
                <w:szCs w:val="24"/>
                <w:rtl w:val="0"/>
              </w:rPr>
              <w:t xml:space="preserve">ИНН 7751330044, КПП 775101001,</w:t>
            </w:r>
          </w:p>
          <w:p w:rsidR="00000000" w:rsidDel="00000000" w:rsidP="00000000" w:rsidRDefault="00000000" w:rsidRPr="00000000" w14:paraId="00000037">
            <w:pPr>
              <w:rPr>
                <w:sz w:val="22"/>
                <w:szCs w:val="22"/>
              </w:rPr>
            </w:pPr>
            <w:r w:rsidDel="00000000" w:rsidR="00000000" w:rsidRPr="00000000">
              <w:rPr>
                <w:sz w:val="24"/>
                <w:szCs w:val="24"/>
                <w:rtl w:val="0"/>
              </w:rPr>
              <w:t xml:space="preserve">ОГРН 1247700621740</w:t>
            </w:r>
            <w:r w:rsidDel="00000000" w:rsidR="00000000" w:rsidRPr="00000000">
              <w:rPr>
                <w:sz w:val="22"/>
                <w:szCs w:val="22"/>
                <w:rtl w:val="0"/>
              </w:rPr>
              <w:t xml:space="preserve">, </w:t>
            </w:r>
          </w:p>
          <w:p w:rsidR="00000000" w:rsidDel="00000000" w:rsidP="00000000" w:rsidRDefault="00000000" w:rsidRPr="00000000" w14:paraId="00000038">
            <w:pPr>
              <w:rPr>
                <w:sz w:val="22"/>
                <w:szCs w:val="22"/>
              </w:rPr>
            </w:pPr>
            <w:r w:rsidDel="00000000" w:rsidR="00000000" w:rsidRPr="00000000">
              <w:rPr>
                <w:sz w:val="22"/>
                <w:szCs w:val="22"/>
                <w:rtl w:val="0"/>
              </w:rPr>
              <w:t xml:space="preserve">Банковские реквизиты:</w:t>
            </w:r>
          </w:p>
          <w:p w:rsidR="00000000" w:rsidDel="00000000" w:rsidP="00000000" w:rsidRDefault="00000000" w:rsidRPr="00000000" w14:paraId="00000039">
            <w:pPr>
              <w:rPr>
                <w:sz w:val="22"/>
                <w:szCs w:val="22"/>
              </w:rPr>
            </w:pPr>
            <w:r w:rsidDel="00000000" w:rsidR="00000000" w:rsidRPr="00000000">
              <w:rPr>
                <w:sz w:val="22"/>
                <w:szCs w:val="22"/>
                <w:rtl w:val="0"/>
              </w:rPr>
              <w:t xml:space="preserve">Р/сч. 40702810110001679685 </w:t>
            </w:r>
          </w:p>
          <w:p w:rsidR="00000000" w:rsidDel="00000000" w:rsidP="00000000" w:rsidRDefault="00000000" w:rsidRPr="00000000" w14:paraId="0000003A">
            <w:pPr>
              <w:rPr>
                <w:sz w:val="22"/>
                <w:szCs w:val="22"/>
              </w:rPr>
            </w:pPr>
            <w:r w:rsidDel="00000000" w:rsidR="00000000" w:rsidRPr="00000000">
              <w:rPr>
                <w:sz w:val="22"/>
                <w:szCs w:val="22"/>
                <w:rtl w:val="0"/>
              </w:rPr>
              <w:t xml:space="preserve">В АО «ТБанк»</w:t>
            </w:r>
          </w:p>
          <w:p w:rsidR="00000000" w:rsidDel="00000000" w:rsidP="00000000" w:rsidRDefault="00000000" w:rsidRPr="00000000" w14:paraId="0000003B">
            <w:pPr>
              <w:rPr>
                <w:sz w:val="22"/>
                <w:szCs w:val="22"/>
              </w:rPr>
            </w:pPr>
            <w:r w:rsidDel="00000000" w:rsidR="00000000" w:rsidRPr="00000000">
              <w:rPr>
                <w:sz w:val="22"/>
                <w:szCs w:val="22"/>
                <w:rtl w:val="0"/>
              </w:rPr>
              <w:t xml:space="preserve">К/сч 30101810145250000974</w:t>
            </w:r>
          </w:p>
          <w:p w:rsidR="00000000" w:rsidDel="00000000" w:rsidP="00000000" w:rsidRDefault="00000000" w:rsidRPr="00000000" w14:paraId="0000003C">
            <w:pPr>
              <w:rPr>
                <w:sz w:val="24"/>
                <w:szCs w:val="24"/>
              </w:rPr>
            </w:pPr>
            <w:r w:rsidDel="00000000" w:rsidR="00000000" w:rsidRPr="00000000">
              <w:rPr>
                <w:sz w:val="24"/>
                <w:szCs w:val="24"/>
                <w:rtl w:val="0"/>
              </w:rPr>
              <w:t xml:space="preserve">БИК 044525974</w:t>
            </w:r>
          </w:p>
          <w:p w:rsidR="00000000" w:rsidDel="00000000" w:rsidP="00000000" w:rsidRDefault="00000000" w:rsidRPr="00000000" w14:paraId="0000003D">
            <w:pPr>
              <w:rPr>
                <w:sz w:val="25"/>
                <w:szCs w:val="25"/>
              </w:rPr>
            </w:pPr>
            <w:r w:rsidDel="00000000" w:rsidR="00000000" w:rsidRPr="00000000">
              <w:rPr>
                <w:rtl w:val="0"/>
              </w:rPr>
            </w:r>
          </w:p>
          <w:p w:rsidR="00000000" w:rsidDel="00000000" w:rsidP="00000000" w:rsidRDefault="00000000" w:rsidRPr="00000000" w14:paraId="0000003E">
            <w:pPr>
              <w:rPr>
                <w:sz w:val="22"/>
                <w:szCs w:val="22"/>
              </w:rPr>
            </w:pPr>
            <w:r w:rsidDel="00000000" w:rsidR="00000000" w:rsidRPr="00000000">
              <w:rPr>
                <w:rtl w:val="0"/>
              </w:rPr>
            </w:r>
          </w:p>
        </w:tc>
        <w:tc>
          <w:tcPr/>
          <w:p w:rsidR="00000000" w:rsidDel="00000000" w:rsidP="00000000" w:rsidRDefault="00000000" w:rsidRPr="00000000" w14:paraId="0000003F">
            <w:pPr>
              <w:rPr>
                <w:sz w:val="22"/>
                <w:szCs w:val="22"/>
              </w:rPr>
            </w:pPr>
            <w:r w:rsidDel="00000000" w:rsidR="00000000" w:rsidRPr="00000000">
              <w:rPr>
                <w:rtl w:val="0"/>
              </w:rPr>
            </w:r>
          </w:p>
          <w:p w:rsidR="00000000" w:rsidDel="00000000" w:rsidP="00000000" w:rsidRDefault="00000000" w:rsidRPr="00000000" w14:paraId="00000040">
            <w:pPr>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41">
            <w:pPr>
              <w:rPr>
                <w:sz w:val="22"/>
                <w:szCs w:val="22"/>
                <w:u w:val="single"/>
              </w:rPr>
            </w:pPr>
            <w:r w:rsidDel="00000000" w:rsidR="00000000" w:rsidRPr="00000000">
              <w:rPr>
                <w:sz w:val="22"/>
                <w:szCs w:val="22"/>
                <w:rtl w:val="0"/>
              </w:rPr>
              <w:t xml:space="preserve">Генеральный директор</w:t>
              <w:br w:type="textWrapping"/>
            </w:r>
            <w:r w:rsidDel="00000000" w:rsidR="00000000" w:rsidRPr="00000000">
              <w:rPr>
                <w:rtl w:val="0"/>
              </w:rPr>
            </w:r>
          </w:p>
          <w:p w:rsidR="00000000" w:rsidDel="00000000" w:rsidP="00000000" w:rsidRDefault="00000000" w:rsidRPr="00000000" w14:paraId="00000042">
            <w:pPr>
              <w:rPr>
                <w:sz w:val="22"/>
                <w:szCs w:val="22"/>
              </w:rPr>
            </w:pPr>
            <w:r w:rsidDel="00000000" w:rsidR="00000000" w:rsidRPr="00000000">
              <w:rPr>
                <w:sz w:val="22"/>
                <w:szCs w:val="22"/>
                <w:u w:val="single"/>
                <w:rtl w:val="0"/>
              </w:rPr>
              <w:t xml:space="preserve">                                        </w:t>
            </w:r>
            <w:r w:rsidDel="00000000" w:rsidR="00000000" w:rsidRPr="00000000">
              <w:rPr>
                <w:sz w:val="22"/>
                <w:szCs w:val="22"/>
                <w:rtl w:val="0"/>
              </w:rPr>
              <w:t xml:space="preserve">С.А. Юргин</w:t>
              <w:br w:type="textWrapping"/>
            </w:r>
          </w:p>
        </w:tc>
        <w:tc>
          <w:tcPr/>
          <w:p w:rsidR="00000000" w:rsidDel="00000000" w:rsidP="00000000" w:rsidRDefault="00000000" w:rsidRPr="00000000" w14:paraId="00000043">
            <w:pPr>
              <w:widowControl w:val="0"/>
              <w:rPr>
                <w:sz w:val="22"/>
                <w:szCs w:val="22"/>
                <w:u w:val="single"/>
              </w:rPr>
            </w:pPr>
            <w:r w:rsidDel="00000000" w:rsidR="00000000" w:rsidRPr="00000000">
              <w:rPr>
                <w:sz w:val="22"/>
                <w:szCs w:val="22"/>
                <w:rtl w:val="0"/>
              </w:rPr>
              <w:t xml:space="preserve">Генеральный директор</w:t>
              <w:br w:type="textWrapping"/>
            </w:r>
            <w:r w:rsidDel="00000000" w:rsidR="00000000" w:rsidRPr="00000000">
              <w:rPr>
                <w:rtl w:val="0"/>
              </w:rPr>
            </w:r>
          </w:p>
          <w:p w:rsidR="00000000" w:rsidDel="00000000" w:rsidP="00000000" w:rsidRDefault="00000000" w:rsidRPr="00000000" w14:paraId="00000044">
            <w:pPr>
              <w:widowControl w:val="0"/>
              <w:rPr>
                <w:sz w:val="22"/>
                <w:szCs w:val="22"/>
              </w:rPr>
            </w:pPr>
            <w:r w:rsidDel="00000000" w:rsidR="00000000" w:rsidRPr="00000000">
              <w:rPr>
                <w:sz w:val="22"/>
                <w:szCs w:val="22"/>
                <w:u w:val="single"/>
                <w:rtl w:val="0"/>
              </w:rPr>
              <w:t xml:space="preserve">                                      </w:t>
            </w:r>
            <w:r w:rsidDel="00000000" w:rsidR="00000000" w:rsidRPr="00000000">
              <w:rPr>
                <w:rtl w:val="0"/>
              </w:rPr>
            </w:r>
          </w:p>
        </w:tc>
      </w:tr>
    </w:tbl>
    <w:p w:rsidR="00000000" w:rsidDel="00000000" w:rsidP="00000000" w:rsidRDefault="00000000" w:rsidRPr="00000000" w14:paraId="00000045">
      <w:pPr>
        <w:widowControl w:val="0"/>
        <w:rPr/>
      </w:pPr>
      <w:r w:rsidDel="00000000" w:rsidR="00000000" w:rsidRPr="00000000">
        <w:rPr>
          <w:rtl w:val="0"/>
        </w:rPr>
      </w:r>
    </w:p>
    <w:p w:rsidR="00000000" w:rsidDel="00000000" w:rsidP="00000000" w:rsidRDefault="00000000" w:rsidRPr="00000000" w14:paraId="00000046">
      <w:pPr>
        <w:widowControl w:val="0"/>
        <w:rPr/>
      </w:pPr>
      <w:r w:rsidDel="00000000" w:rsidR="00000000" w:rsidRPr="00000000">
        <w:rPr>
          <w:rtl w:val="0"/>
        </w:rPr>
      </w:r>
    </w:p>
    <w:p w:rsidR="00000000" w:rsidDel="00000000" w:rsidP="00000000" w:rsidRDefault="00000000" w:rsidRPr="00000000" w14:paraId="00000047">
      <w:pPr>
        <w:widowControl w:val="0"/>
        <w:rPr/>
      </w:pPr>
      <w:r w:rsidDel="00000000" w:rsidR="00000000" w:rsidRPr="00000000">
        <w:rPr>
          <w:rtl w:val="0"/>
        </w:rPr>
      </w:r>
    </w:p>
    <w:p w:rsidR="00000000" w:rsidDel="00000000" w:rsidP="00000000" w:rsidRDefault="00000000" w:rsidRPr="00000000" w14:paraId="00000048">
      <w:pPr>
        <w:widowControl w:val="0"/>
        <w:rPr/>
      </w:pPr>
      <w:r w:rsidDel="00000000" w:rsidR="00000000" w:rsidRPr="00000000">
        <w:rPr>
          <w:rtl w:val="0"/>
        </w:rPr>
      </w:r>
    </w:p>
    <w:p w:rsidR="00000000" w:rsidDel="00000000" w:rsidP="00000000" w:rsidRDefault="00000000" w:rsidRPr="00000000" w14:paraId="00000049">
      <w:pPr>
        <w:widowControl w:val="0"/>
        <w:rPr/>
      </w:pPr>
      <w:r w:rsidDel="00000000" w:rsidR="00000000" w:rsidRPr="00000000">
        <w:rPr>
          <w:rtl w:val="0"/>
        </w:rPr>
      </w:r>
    </w:p>
    <w:p w:rsidR="00000000" w:rsidDel="00000000" w:rsidP="00000000" w:rsidRDefault="00000000" w:rsidRPr="00000000" w14:paraId="0000004A">
      <w:pPr>
        <w:widowControl w:val="0"/>
        <w:rPr/>
      </w:pPr>
      <w:r w:rsidDel="00000000" w:rsidR="00000000" w:rsidRPr="00000000">
        <w:rPr>
          <w:rtl w:val="0"/>
        </w:rPr>
      </w:r>
    </w:p>
    <w:p w:rsidR="00000000" w:rsidDel="00000000" w:rsidP="00000000" w:rsidRDefault="00000000" w:rsidRPr="00000000" w14:paraId="0000004B">
      <w:pPr>
        <w:widowControl w:val="0"/>
        <w:rPr/>
      </w:pPr>
      <w:r w:rsidDel="00000000" w:rsidR="00000000" w:rsidRPr="00000000">
        <w:rPr>
          <w:rtl w:val="0"/>
        </w:rPr>
      </w:r>
    </w:p>
    <w:p w:rsidR="00000000" w:rsidDel="00000000" w:rsidP="00000000" w:rsidRDefault="00000000" w:rsidRPr="00000000" w14:paraId="0000004C">
      <w:pPr>
        <w:widowControl w:val="0"/>
        <w:rPr/>
      </w:pPr>
      <w:r w:rsidDel="00000000" w:rsidR="00000000" w:rsidRPr="00000000">
        <w:rPr>
          <w:rtl w:val="0"/>
        </w:rPr>
      </w:r>
    </w:p>
    <w:p w:rsidR="00000000" w:rsidDel="00000000" w:rsidP="00000000" w:rsidRDefault="00000000" w:rsidRPr="00000000" w14:paraId="0000004D">
      <w:pPr>
        <w:widowControl w:val="0"/>
        <w:rPr/>
      </w:pPr>
      <w:r w:rsidDel="00000000" w:rsidR="00000000" w:rsidRPr="00000000">
        <w:rPr>
          <w:rtl w:val="0"/>
        </w:rPr>
      </w:r>
    </w:p>
    <w:p w:rsidR="00000000" w:rsidDel="00000000" w:rsidP="00000000" w:rsidRDefault="00000000" w:rsidRPr="00000000" w14:paraId="0000004E">
      <w:pPr>
        <w:widowControl w:val="0"/>
        <w:rPr/>
      </w:pPr>
      <w:r w:rsidDel="00000000" w:rsidR="00000000" w:rsidRPr="00000000">
        <w:rPr>
          <w:rtl w:val="0"/>
        </w:rPr>
      </w:r>
    </w:p>
    <w:p w:rsidR="00000000" w:rsidDel="00000000" w:rsidP="00000000" w:rsidRDefault="00000000" w:rsidRPr="00000000" w14:paraId="0000004F">
      <w:pPr>
        <w:widowControl w:val="0"/>
        <w:rPr/>
      </w:pPr>
      <w:r w:rsidDel="00000000" w:rsidR="00000000" w:rsidRPr="00000000">
        <w:rPr>
          <w:rtl w:val="0"/>
        </w:rPr>
      </w:r>
    </w:p>
    <w:p w:rsidR="00000000" w:rsidDel="00000000" w:rsidP="00000000" w:rsidRDefault="00000000" w:rsidRPr="00000000" w14:paraId="00000050">
      <w:pPr>
        <w:widowControl w:val="0"/>
        <w:rPr/>
      </w:pPr>
      <w:r w:rsidDel="00000000" w:rsidR="00000000" w:rsidRPr="00000000">
        <w:rPr>
          <w:rtl w:val="0"/>
        </w:rPr>
      </w:r>
    </w:p>
    <w:p w:rsidR="00000000" w:rsidDel="00000000" w:rsidP="00000000" w:rsidRDefault="00000000" w:rsidRPr="00000000" w14:paraId="00000051">
      <w:pPr>
        <w:widowControl w:val="0"/>
        <w:rPr/>
      </w:pPr>
      <w:r w:rsidDel="00000000" w:rsidR="00000000" w:rsidRPr="00000000">
        <w:rPr>
          <w:rtl w:val="0"/>
        </w:rPr>
      </w:r>
    </w:p>
    <w:p w:rsidR="00000000" w:rsidDel="00000000" w:rsidP="00000000" w:rsidRDefault="00000000" w:rsidRPr="00000000" w14:paraId="00000052">
      <w:pPr>
        <w:widowControl w:val="0"/>
        <w:rPr/>
      </w:pPr>
      <w:r w:rsidDel="00000000" w:rsidR="00000000" w:rsidRPr="00000000">
        <w:rPr>
          <w:rtl w:val="0"/>
        </w:rPr>
      </w:r>
    </w:p>
    <w:p w:rsidR="00000000" w:rsidDel="00000000" w:rsidP="00000000" w:rsidRDefault="00000000" w:rsidRPr="00000000" w14:paraId="00000053">
      <w:pPr>
        <w:widowControl w:val="0"/>
        <w:rPr/>
      </w:pPr>
      <w:r w:rsidDel="00000000" w:rsidR="00000000" w:rsidRPr="00000000">
        <w:rPr>
          <w:rtl w:val="0"/>
        </w:rPr>
      </w:r>
    </w:p>
    <w:p w:rsidR="00000000" w:rsidDel="00000000" w:rsidP="00000000" w:rsidRDefault="00000000" w:rsidRPr="00000000" w14:paraId="00000054">
      <w:pPr>
        <w:widowControl w:val="0"/>
        <w:rPr/>
      </w:pPr>
      <w:r w:rsidDel="00000000" w:rsidR="00000000" w:rsidRPr="00000000">
        <w:rPr>
          <w:rtl w:val="0"/>
        </w:rPr>
      </w:r>
    </w:p>
    <w:p w:rsidR="00000000" w:rsidDel="00000000" w:rsidP="00000000" w:rsidRDefault="00000000" w:rsidRPr="00000000" w14:paraId="00000055">
      <w:pPr>
        <w:widowControl w:val="0"/>
        <w:rPr/>
      </w:pPr>
      <w:r w:rsidDel="00000000" w:rsidR="00000000" w:rsidRPr="00000000">
        <w:rPr>
          <w:rtl w:val="0"/>
        </w:rPr>
      </w:r>
    </w:p>
    <w:p w:rsidR="00000000" w:rsidDel="00000000" w:rsidP="00000000" w:rsidRDefault="00000000" w:rsidRPr="00000000" w14:paraId="00000056">
      <w:pPr>
        <w:widowControl w:val="0"/>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sectPr>
      <w:headerReference r:id="rId6" w:type="default"/>
      <w:headerReference r:id="rId7" w:type="even"/>
      <w:footerReference r:id="rId8" w:type="default"/>
      <w:footerReference r:id="rId9" w:type="first"/>
      <w:footerReference r:id="rId10" w:type="even"/>
      <w:pgSz w:h="16840" w:w="11907" w:orient="portrait"/>
      <w:pgMar w:bottom="1134" w:top="1134" w:left="1418" w:right="1134" w:header="567" w:footer="56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36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36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Соглашение о соблюдении конфиденциальности</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от «___» ____________ 202__ г.</w:t>
    </w: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Соглашение о соблюдении конфиденциальности</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от  «___» ____________ 202__ г.</w:t>
    </w:r>
  </w:p>
  <w:p w:rsidR="00000000" w:rsidDel="00000000" w:rsidP="00000000" w:rsidRDefault="00000000" w:rsidRPr="00000000" w14:paraId="0000005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
    <w:lvl w:ilvl="0">
      <w:start w:val="1"/>
      <w:numFmt w:val="bullet"/>
      <w:lvlText w:val="−"/>
      <w:lvlJc w:val="left"/>
      <w:pPr>
        <w:ind w:left="1287" w:hanging="360.0000000000001"/>
      </w:pPr>
      <w:rPr>
        <w:rFonts w:ascii="Noto Sans Symbols" w:cs="Noto Sans Symbols" w:eastAsia="Noto Sans Symbols" w:hAnsi="Noto Sans Symbols"/>
      </w:rPr>
    </w:lvl>
    <w:lvl w:ilvl="1">
      <w:start w:val="1"/>
      <w:numFmt w:val="bullet"/>
      <w:lvlText w:val="o"/>
      <w:lvlJc w:val="left"/>
      <w:pPr>
        <w:ind w:left="2007" w:hanging="360"/>
      </w:pPr>
      <w:rPr>
        <w:rFonts w:ascii="Courier New" w:cs="Courier New" w:eastAsia="Courier New" w:hAnsi="Courier New"/>
      </w:rPr>
    </w:lvl>
    <w:lvl w:ilvl="2">
      <w:start w:val="1"/>
      <w:numFmt w:val="bullet"/>
      <w:lvlText w:val="▪"/>
      <w:lvlJc w:val="left"/>
      <w:pPr>
        <w:ind w:left="2727" w:hanging="360"/>
      </w:pPr>
      <w:rPr>
        <w:rFonts w:ascii="Noto Sans Symbols" w:cs="Noto Sans Symbols" w:eastAsia="Noto Sans Symbols" w:hAnsi="Noto Sans Symbols"/>
      </w:rPr>
    </w:lvl>
    <w:lvl w:ilvl="3">
      <w:start w:val="1"/>
      <w:numFmt w:val="bullet"/>
      <w:lvlText w:val="●"/>
      <w:lvlJc w:val="left"/>
      <w:pPr>
        <w:ind w:left="3447" w:hanging="360"/>
      </w:pPr>
      <w:rPr>
        <w:rFonts w:ascii="Noto Sans Symbols" w:cs="Noto Sans Symbols" w:eastAsia="Noto Sans Symbols" w:hAnsi="Noto Sans Symbols"/>
      </w:rPr>
    </w:lvl>
    <w:lvl w:ilvl="4">
      <w:start w:val="1"/>
      <w:numFmt w:val="bullet"/>
      <w:lvlText w:val="o"/>
      <w:lvlJc w:val="left"/>
      <w:pPr>
        <w:ind w:left="4167" w:hanging="360"/>
      </w:pPr>
      <w:rPr>
        <w:rFonts w:ascii="Courier New" w:cs="Courier New" w:eastAsia="Courier New" w:hAnsi="Courier New"/>
      </w:rPr>
    </w:lvl>
    <w:lvl w:ilvl="5">
      <w:start w:val="1"/>
      <w:numFmt w:val="bullet"/>
      <w:lvlText w:val="▪"/>
      <w:lvlJc w:val="left"/>
      <w:pPr>
        <w:ind w:left="4887" w:hanging="360"/>
      </w:pPr>
      <w:rPr>
        <w:rFonts w:ascii="Noto Sans Symbols" w:cs="Noto Sans Symbols" w:eastAsia="Noto Sans Symbols" w:hAnsi="Noto Sans Symbols"/>
      </w:rPr>
    </w:lvl>
    <w:lvl w:ilvl="6">
      <w:start w:val="1"/>
      <w:numFmt w:val="bullet"/>
      <w:lvlText w:val="●"/>
      <w:lvlJc w:val="left"/>
      <w:pPr>
        <w:ind w:left="5607" w:hanging="360"/>
      </w:pPr>
      <w:rPr>
        <w:rFonts w:ascii="Noto Sans Symbols" w:cs="Noto Sans Symbols" w:eastAsia="Noto Sans Symbols" w:hAnsi="Noto Sans Symbols"/>
      </w:rPr>
    </w:lvl>
    <w:lvl w:ilvl="7">
      <w:start w:val="1"/>
      <w:numFmt w:val="bullet"/>
      <w:lvlText w:val="o"/>
      <w:lvlJc w:val="left"/>
      <w:pPr>
        <w:ind w:left="6327" w:hanging="360"/>
      </w:pPr>
      <w:rPr>
        <w:rFonts w:ascii="Courier New" w:cs="Courier New" w:eastAsia="Courier New" w:hAnsi="Courier New"/>
      </w:rPr>
    </w:lvl>
    <w:lvl w:ilvl="8">
      <w:start w:val="1"/>
      <w:numFmt w:val="bullet"/>
      <w:lvlText w:val="▪"/>
      <w:lvlJc w:val="left"/>
      <w:pPr>
        <w:ind w:left="7047"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ru-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