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0025" w14:textId="77777777" w:rsidR="00DB7A74" w:rsidRPr="00DB7A74" w:rsidRDefault="00DB7A74" w:rsidP="00DB7A74">
      <w:pPr>
        <w:rPr>
          <w:b/>
          <w:bCs/>
        </w:rPr>
      </w:pPr>
      <w:r w:rsidRPr="00DB7A74">
        <w:rPr>
          <w:b/>
          <w:bCs/>
        </w:rPr>
        <w:t xml:space="preserve">[Facility </w:t>
      </w:r>
      <w:proofErr w:type="gramStart"/>
      <w:r w:rsidRPr="00DB7A74">
        <w:rPr>
          <w:b/>
          <w:bCs/>
        </w:rPr>
        <w:t>Name] —</w:t>
      </w:r>
      <w:proofErr w:type="gramEnd"/>
      <w:r w:rsidRPr="00DB7A74">
        <w:rPr>
          <w:b/>
          <w:bCs/>
        </w:rPr>
        <w:t xml:space="preserve"> Clinical Governance Framework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659"/>
        <w:gridCol w:w="1418"/>
        <w:gridCol w:w="1612"/>
      </w:tblGrid>
      <w:tr w:rsidR="00DB7A74" w:rsidRPr="00DB7A74" w14:paraId="45CEE2C8" w14:textId="77777777">
        <w:trPr>
          <w:tblCellSpacing w:w="15" w:type="dxa"/>
        </w:trPr>
        <w:tc>
          <w:tcPr>
            <w:tcW w:w="0" w:type="auto"/>
            <w:vAlign w:val="center"/>
            <w:hideMark/>
          </w:tcPr>
          <w:p w14:paraId="71B3711E" w14:textId="77777777" w:rsidR="00DB7A74" w:rsidRPr="00DB7A74" w:rsidRDefault="00DB7A74" w:rsidP="00DB7A74">
            <w:pPr>
              <w:rPr>
                <w:b/>
                <w:bCs/>
              </w:rPr>
            </w:pPr>
            <w:r w:rsidRPr="00DB7A74">
              <w:rPr>
                <w:b/>
                <w:bCs/>
              </w:rPr>
              <w:t>Policy Number</w:t>
            </w:r>
          </w:p>
        </w:tc>
        <w:tc>
          <w:tcPr>
            <w:tcW w:w="0" w:type="auto"/>
            <w:vAlign w:val="center"/>
            <w:hideMark/>
          </w:tcPr>
          <w:p w14:paraId="0C077866" w14:textId="77777777" w:rsidR="00DB7A74" w:rsidRPr="00DB7A74" w:rsidRDefault="00DB7A74" w:rsidP="00DB7A74">
            <w:r w:rsidRPr="00DB7A74">
              <w:t>[e.g. GO-004]</w:t>
            </w:r>
          </w:p>
        </w:tc>
        <w:tc>
          <w:tcPr>
            <w:tcW w:w="0" w:type="auto"/>
            <w:vAlign w:val="center"/>
            <w:hideMark/>
          </w:tcPr>
          <w:p w14:paraId="15A29522" w14:textId="77777777" w:rsidR="00DB7A74" w:rsidRPr="00DB7A74" w:rsidRDefault="00DB7A74" w:rsidP="00DB7A74">
            <w:pPr>
              <w:rPr>
                <w:b/>
                <w:bCs/>
              </w:rPr>
            </w:pPr>
            <w:r w:rsidRPr="00DB7A74">
              <w:rPr>
                <w:b/>
                <w:bCs/>
              </w:rPr>
              <w:t>Version</w:t>
            </w:r>
          </w:p>
        </w:tc>
        <w:tc>
          <w:tcPr>
            <w:tcW w:w="0" w:type="auto"/>
            <w:vAlign w:val="center"/>
            <w:hideMark/>
          </w:tcPr>
          <w:p w14:paraId="193FF60C" w14:textId="77777777" w:rsidR="00DB7A74" w:rsidRPr="00DB7A74" w:rsidRDefault="00DB7A74" w:rsidP="00DB7A74">
            <w:r w:rsidRPr="00DB7A74">
              <w:t>1.0</w:t>
            </w:r>
          </w:p>
        </w:tc>
      </w:tr>
      <w:tr w:rsidR="00DB7A74" w:rsidRPr="00DB7A74" w14:paraId="309F7BB1" w14:textId="77777777">
        <w:trPr>
          <w:tblCellSpacing w:w="15" w:type="dxa"/>
        </w:trPr>
        <w:tc>
          <w:tcPr>
            <w:tcW w:w="0" w:type="auto"/>
            <w:vAlign w:val="center"/>
            <w:hideMark/>
          </w:tcPr>
          <w:p w14:paraId="2CDEE3E1" w14:textId="77777777" w:rsidR="00DB7A74" w:rsidRPr="00DB7A74" w:rsidRDefault="00DB7A74" w:rsidP="00DB7A74">
            <w:pPr>
              <w:rPr>
                <w:b/>
                <w:bCs/>
              </w:rPr>
            </w:pPr>
            <w:r w:rsidRPr="00DB7A74">
              <w:rPr>
                <w:b/>
                <w:bCs/>
              </w:rPr>
              <w:t>Effective Date</w:t>
            </w:r>
          </w:p>
        </w:tc>
        <w:tc>
          <w:tcPr>
            <w:tcW w:w="0" w:type="auto"/>
            <w:vAlign w:val="center"/>
            <w:hideMark/>
          </w:tcPr>
          <w:p w14:paraId="7DD904AD" w14:textId="77777777" w:rsidR="00DB7A74" w:rsidRPr="00DB7A74" w:rsidRDefault="00DB7A74" w:rsidP="00DB7A74">
            <w:r w:rsidRPr="00DB7A74">
              <w:t>[DD/MM/YYYY]</w:t>
            </w:r>
          </w:p>
        </w:tc>
        <w:tc>
          <w:tcPr>
            <w:tcW w:w="0" w:type="auto"/>
            <w:vAlign w:val="center"/>
            <w:hideMark/>
          </w:tcPr>
          <w:p w14:paraId="09956E2B" w14:textId="77777777" w:rsidR="00DB7A74" w:rsidRPr="00DB7A74" w:rsidRDefault="00DB7A74" w:rsidP="00DB7A74">
            <w:pPr>
              <w:rPr>
                <w:b/>
                <w:bCs/>
              </w:rPr>
            </w:pPr>
            <w:r w:rsidRPr="00DB7A74">
              <w:rPr>
                <w:b/>
                <w:bCs/>
              </w:rPr>
              <w:t>Review Date</w:t>
            </w:r>
          </w:p>
        </w:tc>
        <w:tc>
          <w:tcPr>
            <w:tcW w:w="0" w:type="auto"/>
            <w:vAlign w:val="center"/>
            <w:hideMark/>
          </w:tcPr>
          <w:p w14:paraId="44B00AEA" w14:textId="77777777" w:rsidR="00DB7A74" w:rsidRPr="00DB7A74" w:rsidRDefault="00DB7A74" w:rsidP="00DB7A74">
            <w:r w:rsidRPr="00DB7A74">
              <w:t>[DD/MM/YYYY]</w:t>
            </w:r>
          </w:p>
        </w:tc>
      </w:tr>
      <w:tr w:rsidR="00DB7A74" w:rsidRPr="00DB7A74" w14:paraId="1D87BC33" w14:textId="77777777">
        <w:trPr>
          <w:tblCellSpacing w:w="15" w:type="dxa"/>
        </w:trPr>
        <w:tc>
          <w:tcPr>
            <w:tcW w:w="0" w:type="auto"/>
            <w:vAlign w:val="center"/>
            <w:hideMark/>
          </w:tcPr>
          <w:p w14:paraId="7158F01E" w14:textId="77777777" w:rsidR="00DB7A74" w:rsidRPr="00DB7A74" w:rsidRDefault="00DB7A74" w:rsidP="00DB7A74">
            <w:pPr>
              <w:rPr>
                <w:b/>
                <w:bCs/>
              </w:rPr>
            </w:pPr>
            <w:r w:rsidRPr="00DB7A74">
              <w:rPr>
                <w:b/>
                <w:bCs/>
              </w:rPr>
              <w:t>Policy Owner</w:t>
            </w:r>
          </w:p>
        </w:tc>
        <w:tc>
          <w:tcPr>
            <w:tcW w:w="0" w:type="auto"/>
            <w:vAlign w:val="center"/>
            <w:hideMark/>
          </w:tcPr>
          <w:p w14:paraId="7C009F4A" w14:textId="77777777" w:rsidR="00DB7A74" w:rsidRPr="00DB7A74" w:rsidRDefault="00DB7A74" w:rsidP="00DB7A74">
            <w:r w:rsidRPr="00DB7A74">
              <w:t>CEO / Director of Nursing</w:t>
            </w:r>
          </w:p>
        </w:tc>
        <w:tc>
          <w:tcPr>
            <w:tcW w:w="0" w:type="auto"/>
            <w:vAlign w:val="center"/>
            <w:hideMark/>
          </w:tcPr>
          <w:p w14:paraId="3EEBC568" w14:textId="77777777" w:rsidR="00DB7A74" w:rsidRPr="00DB7A74" w:rsidRDefault="00DB7A74" w:rsidP="00DB7A74">
            <w:pPr>
              <w:rPr>
                <w:b/>
                <w:bCs/>
              </w:rPr>
            </w:pPr>
            <w:r w:rsidRPr="00DB7A74">
              <w:rPr>
                <w:b/>
                <w:bCs/>
              </w:rPr>
              <w:t>Approved By</w:t>
            </w:r>
          </w:p>
        </w:tc>
        <w:tc>
          <w:tcPr>
            <w:tcW w:w="0" w:type="auto"/>
            <w:vAlign w:val="center"/>
            <w:hideMark/>
          </w:tcPr>
          <w:p w14:paraId="7600F36E" w14:textId="77777777" w:rsidR="00DB7A74" w:rsidRPr="00DB7A74" w:rsidRDefault="00DB7A74" w:rsidP="00DB7A74">
            <w:r w:rsidRPr="00DB7A74">
              <w:t>[Board]</w:t>
            </w:r>
          </w:p>
        </w:tc>
      </w:tr>
    </w:tbl>
    <w:p w14:paraId="7B4BA01B" w14:textId="77777777" w:rsidR="00DB7A74" w:rsidRPr="00DB7A74" w:rsidRDefault="00DB7A74" w:rsidP="00DB7A74">
      <w:pPr>
        <w:rPr>
          <w:b/>
          <w:bCs/>
        </w:rPr>
      </w:pPr>
      <w:r w:rsidRPr="00DB7A74">
        <w:rPr>
          <w:b/>
          <w:bCs/>
        </w:rPr>
        <w:t>1. Purpose</w:t>
      </w:r>
    </w:p>
    <w:p w14:paraId="1F4A12C3" w14:textId="77777777" w:rsidR="00DB7A74" w:rsidRPr="00DB7A74" w:rsidRDefault="00DB7A74" w:rsidP="00DB7A74">
      <w:r w:rsidRPr="00DB7A74">
        <w:t>This policy establishes [Facility Name]'s clinical governance framework — the system of structures, processes, and accountabilities that ensures care is safe, effective, and continuously improving. It defines how the Board, executive, and clinical leadership fulfil their obligations for clinical quality and safety under the Strengthened Aged Care Quality Standards.</w:t>
      </w:r>
    </w:p>
    <w:p w14:paraId="77BE8C7E" w14:textId="77777777" w:rsidR="00DB7A74" w:rsidRPr="00DB7A74" w:rsidRDefault="00DB7A74" w:rsidP="00DB7A74">
      <w:pPr>
        <w:rPr>
          <w:b/>
          <w:bCs/>
        </w:rPr>
      </w:pPr>
      <w:r w:rsidRPr="00DB7A74">
        <w:rPr>
          <w:b/>
          <w:bCs/>
        </w:rPr>
        <w:t>2. Scope</w:t>
      </w:r>
    </w:p>
    <w:p w14:paraId="6420ACD1" w14:textId="77777777" w:rsidR="00DB7A74" w:rsidRPr="00DB7A74" w:rsidRDefault="00DB7A74" w:rsidP="00DB7A74">
      <w:r w:rsidRPr="00DB7A74">
        <w:t>This policy applies to all clinical and care services delivered by [Facility Name] and to all persons with governance or leadership responsibilities, including Board members, the CEO, the Director of Nursing, and clinical managers.</w:t>
      </w:r>
    </w:p>
    <w:p w14:paraId="5492AF42" w14:textId="77777777" w:rsidR="00DB7A74" w:rsidRPr="00DB7A74" w:rsidRDefault="00DB7A74" w:rsidP="00DB7A74">
      <w:pPr>
        <w:rPr>
          <w:b/>
          <w:bCs/>
        </w:rPr>
      </w:pPr>
      <w:r w:rsidRPr="00DB7A74">
        <w:rPr>
          <w:b/>
          <w:bCs/>
        </w:rPr>
        <w:t>3. Policy Statement</w:t>
      </w:r>
    </w:p>
    <w:p w14:paraId="1A5A4EF2" w14:textId="77777777" w:rsidR="00DB7A74" w:rsidRPr="00DB7A74" w:rsidRDefault="00DB7A74" w:rsidP="00DB7A74">
      <w:r w:rsidRPr="00DB7A74">
        <w:t>[Facility Name]'s Board of Directors and executive leadership are ultimately accountable for the quality and safety of care provided to residents. We are committed to a clinical governance system that:</w:t>
      </w:r>
    </w:p>
    <w:p w14:paraId="159356D5" w14:textId="77777777" w:rsidR="00DB7A74" w:rsidRPr="00DB7A74" w:rsidRDefault="00DB7A74" w:rsidP="00DB7A74">
      <w:pPr>
        <w:numPr>
          <w:ilvl w:val="0"/>
          <w:numId w:val="13"/>
        </w:numPr>
      </w:pPr>
      <w:r w:rsidRPr="00DB7A74">
        <w:t xml:space="preserve">Places resident safety and wellbeing at the </w:t>
      </w:r>
      <w:proofErr w:type="spellStart"/>
      <w:r w:rsidRPr="00DB7A74">
        <w:t>centre</w:t>
      </w:r>
      <w:proofErr w:type="spellEnd"/>
      <w:r w:rsidRPr="00DB7A74">
        <w:t xml:space="preserve"> of all governance decisions</w:t>
      </w:r>
    </w:p>
    <w:p w14:paraId="5076F6B4" w14:textId="77777777" w:rsidR="00DB7A74" w:rsidRPr="00DB7A74" w:rsidRDefault="00DB7A74" w:rsidP="00DB7A74">
      <w:pPr>
        <w:numPr>
          <w:ilvl w:val="0"/>
          <w:numId w:val="13"/>
        </w:numPr>
      </w:pPr>
      <w:r w:rsidRPr="00DB7A74">
        <w:t>Provides clear lines of accountability from ward level to Board level</w:t>
      </w:r>
    </w:p>
    <w:p w14:paraId="7EE3429C" w14:textId="77777777" w:rsidR="00DB7A74" w:rsidRPr="00DB7A74" w:rsidRDefault="00DB7A74" w:rsidP="00DB7A74">
      <w:pPr>
        <w:numPr>
          <w:ilvl w:val="0"/>
          <w:numId w:val="13"/>
        </w:numPr>
      </w:pPr>
      <w:r w:rsidRPr="00DB7A74">
        <w:t>Uses data, incidents, audits, and consumer feedback to drive continuous improvement</w:t>
      </w:r>
    </w:p>
    <w:p w14:paraId="6F7F5819" w14:textId="77777777" w:rsidR="00DB7A74" w:rsidRPr="00DB7A74" w:rsidRDefault="00DB7A74" w:rsidP="00DB7A74">
      <w:pPr>
        <w:numPr>
          <w:ilvl w:val="0"/>
          <w:numId w:val="13"/>
        </w:numPr>
      </w:pPr>
      <w:proofErr w:type="gramStart"/>
      <w:r w:rsidRPr="00DB7A74">
        <w:t>Ensures</w:t>
      </w:r>
      <w:proofErr w:type="gramEnd"/>
      <w:r w:rsidRPr="00DB7A74">
        <w:t xml:space="preserve"> clinical staff are appropriately credentialed, supervised, and supported</w:t>
      </w:r>
    </w:p>
    <w:p w14:paraId="0363B9FC" w14:textId="77777777" w:rsidR="00DB7A74" w:rsidRPr="00DB7A74" w:rsidRDefault="00DB7A74" w:rsidP="00DB7A74">
      <w:pPr>
        <w:numPr>
          <w:ilvl w:val="0"/>
          <w:numId w:val="13"/>
        </w:numPr>
      </w:pPr>
      <w:r w:rsidRPr="00DB7A74">
        <w:t xml:space="preserve">Embeds evidence-based practice throughout the </w:t>
      </w:r>
      <w:proofErr w:type="spellStart"/>
      <w:r w:rsidRPr="00DB7A74">
        <w:t>organisation</w:t>
      </w:r>
      <w:proofErr w:type="spellEnd"/>
    </w:p>
    <w:p w14:paraId="23E2B89D" w14:textId="77777777" w:rsidR="00DB7A74" w:rsidRPr="00DB7A74" w:rsidRDefault="00DB7A74" w:rsidP="00DB7A74">
      <w:pPr>
        <w:rPr>
          <w:b/>
          <w:bCs/>
        </w:rPr>
      </w:pPr>
      <w:r w:rsidRPr="00DB7A74">
        <w:rPr>
          <w:b/>
          <w:bCs/>
        </w:rPr>
        <w:t>4. Clinical Governance Structure</w:t>
      </w:r>
    </w:p>
    <w:p w14:paraId="4BD11E20" w14:textId="77777777" w:rsidR="00DB7A74" w:rsidRPr="00DB7A74" w:rsidRDefault="00DB7A74" w:rsidP="00DB7A74">
      <w:pPr>
        <w:rPr>
          <w:b/>
          <w:bCs/>
        </w:rPr>
      </w:pPr>
      <w:r w:rsidRPr="00DB7A74">
        <w:rPr>
          <w:b/>
          <w:bCs/>
        </w:rPr>
        <w:t>4.1 Board of Directors</w:t>
      </w:r>
    </w:p>
    <w:p w14:paraId="307D8938" w14:textId="77777777" w:rsidR="00DB7A74" w:rsidRPr="00DB7A74" w:rsidRDefault="00DB7A74" w:rsidP="00DB7A74">
      <w:pPr>
        <w:numPr>
          <w:ilvl w:val="0"/>
          <w:numId w:val="14"/>
        </w:numPr>
      </w:pPr>
      <w:proofErr w:type="gramStart"/>
      <w:r w:rsidRPr="00DB7A74">
        <w:t>Receives</w:t>
      </w:r>
      <w:proofErr w:type="gramEnd"/>
      <w:r w:rsidRPr="00DB7A74">
        <w:t xml:space="preserve"> quarterly clinical governance reports from the CEO</w:t>
      </w:r>
    </w:p>
    <w:p w14:paraId="5B05E9C8" w14:textId="77777777" w:rsidR="00DB7A74" w:rsidRPr="00DB7A74" w:rsidRDefault="00DB7A74" w:rsidP="00DB7A74">
      <w:pPr>
        <w:numPr>
          <w:ilvl w:val="0"/>
          <w:numId w:val="14"/>
        </w:numPr>
      </w:pPr>
      <w:r w:rsidRPr="00DB7A74">
        <w:t xml:space="preserve">Reviews key clinical performance indicators and holds executive </w:t>
      </w:r>
      <w:proofErr w:type="gramStart"/>
      <w:r w:rsidRPr="00DB7A74">
        <w:t>to account</w:t>
      </w:r>
      <w:proofErr w:type="gramEnd"/>
    </w:p>
    <w:p w14:paraId="0CE67F97" w14:textId="77777777" w:rsidR="00DB7A74" w:rsidRPr="00DB7A74" w:rsidRDefault="00DB7A74" w:rsidP="00DB7A74">
      <w:pPr>
        <w:numPr>
          <w:ilvl w:val="0"/>
          <w:numId w:val="14"/>
        </w:numPr>
      </w:pPr>
      <w:r w:rsidRPr="00DB7A74">
        <w:lastRenderedPageBreak/>
        <w:t>Approves the Clinical Governance Framework Policy and major clinical policies</w:t>
      </w:r>
    </w:p>
    <w:p w14:paraId="01B986D8" w14:textId="77777777" w:rsidR="00DB7A74" w:rsidRPr="00DB7A74" w:rsidRDefault="00DB7A74" w:rsidP="00DB7A74">
      <w:pPr>
        <w:numPr>
          <w:ilvl w:val="0"/>
          <w:numId w:val="14"/>
        </w:numPr>
      </w:pPr>
      <w:r w:rsidRPr="00DB7A74">
        <w:t>Ensures adequate resources are allocated to clinical quality and safety</w:t>
      </w:r>
    </w:p>
    <w:p w14:paraId="4576CEC8" w14:textId="77777777" w:rsidR="00DB7A74" w:rsidRPr="00DB7A74" w:rsidRDefault="00DB7A74" w:rsidP="00DB7A74">
      <w:pPr>
        <w:rPr>
          <w:b/>
          <w:bCs/>
        </w:rPr>
      </w:pPr>
      <w:r w:rsidRPr="00DB7A74">
        <w:rPr>
          <w:b/>
          <w:bCs/>
        </w:rPr>
        <w:t>4.2 CEO</w:t>
      </w:r>
    </w:p>
    <w:p w14:paraId="79E79EFA" w14:textId="77777777" w:rsidR="00DB7A74" w:rsidRPr="00DB7A74" w:rsidRDefault="00DB7A74" w:rsidP="00DB7A74">
      <w:pPr>
        <w:numPr>
          <w:ilvl w:val="0"/>
          <w:numId w:val="15"/>
        </w:numPr>
      </w:pPr>
      <w:r w:rsidRPr="00DB7A74">
        <w:t>Accountable to the Board for clinical governance performance</w:t>
      </w:r>
    </w:p>
    <w:p w14:paraId="45CAE93C" w14:textId="77777777" w:rsidR="00DB7A74" w:rsidRPr="00DB7A74" w:rsidRDefault="00DB7A74" w:rsidP="00DB7A74">
      <w:pPr>
        <w:numPr>
          <w:ilvl w:val="0"/>
          <w:numId w:val="15"/>
        </w:numPr>
      </w:pPr>
      <w:r w:rsidRPr="00DB7A74">
        <w:t xml:space="preserve">Ensures the clinical governance framework is implemented and </w:t>
      </w:r>
      <w:proofErr w:type="gramStart"/>
      <w:r w:rsidRPr="00DB7A74">
        <w:t>resourced</w:t>
      </w:r>
      <w:proofErr w:type="gramEnd"/>
    </w:p>
    <w:p w14:paraId="14628BED" w14:textId="77777777" w:rsidR="00DB7A74" w:rsidRPr="00DB7A74" w:rsidRDefault="00DB7A74" w:rsidP="00DB7A74">
      <w:pPr>
        <w:numPr>
          <w:ilvl w:val="0"/>
          <w:numId w:val="15"/>
        </w:numPr>
      </w:pPr>
      <w:r w:rsidRPr="00DB7A74">
        <w:t xml:space="preserve">Chairs or </w:t>
      </w:r>
      <w:proofErr w:type="gramStart"/>
      <w:r w:rsidRPr="00DB7A74">
        <w:t>delegates</w:t>
      </w:r>
      <w:proofErr w:type="gramEnd"/>
      <w:r w:rsidRPr="00DB7A74">
        <w:t xml:space="preserve"> the Clinical Governance Committee</w:t>
      </w:r>
    </w:p>
    <w:p w14:paraId="239EB082" w14:textId="77777777" w:rsidR="00DB7A74" w:rsidRPr="00DB7A74" w:rsidRDefault="00DB7A74" w:rsidP="00DB7A74">
      <w:pPr>
        <w:rPr>
          <w:b/>
          <w:bCs/>
        </w:rPr>
      </w:pPr>
      <w:r w:rsidRPr="00DB7A74">
        <w:rPr>
          <w:b/>
          <w:bCs/>
        </w:rPr>
        <w:t>4.3 Clinical Governance Committee</w:t>
      </w:r>
    </w:p>
    <w:p w14:paraId="19E6218D" w14:textId="77777777" w:rsidR="00DB7A74" w:rsidRPr="00DB7A74" w:rsidRDefault="00DB7A74" w:rsidP="00DB7A74">
      <w:pPr>
        <w:numPr>
          <w:ilvl w:val="0"/>
          <w:numId w:val="16"/>
        </w:numPr>
      </w:pPr>
      <w:r w:rsidRPr="00DB7A74">
        <w:t>Meets at minimum [monthly / quarterly]</w:t>
      </w:r>
    </w:p>
    <w:p w14:paraId="2CA1EC26" w14:textId="77777777" w:rsidR="00DB7A74" w:rsidRPr="00DB7A74" w:rsidRDefault="00DB7A74" w:rsidP="00DB7A74">
      <w:pPr>
        <w:numPr>
          <w:ilvl w:val="0"/>
          <w:numId w:val="16"/>
        </w:numPr>
      </w:pPr>
      <w:r w:rsidRPr="00DB7A74">
        <w:t xml:space="preserve">Membership </w:t>
      </w:r>
      <w:proofErr w:type="gramStart"/>
      <w:r w:rsidRPr="00DB7A74">
        <w:t>includes:</w:t>
      </w:r>
      <w:proofErr w:type="gramEnd"/>
      <w:r w:rsidRPr="00DB7A74">
        <w:t xml:space="preserve"> CEO, Director of Nursing, Quality Manager, [and others as relevant]</w:t>
      </w:r>
    </w:p>
    <w:p w14:paraId="5AED440C" w14:textId="77777777" w:rsidR="00DB7A74" w:rsidRPr="00DB7A74" w:rsidRDefault="00DB7A74" w:rsidP="00DB7A74">
      <w:pPr>
        <w:numPr>
          <w:ilvl w:val="0"/>
          <w:numId w:val="16"/>
        </w:numPr>
      </w:pPr>
      <w:proofErr w:type="gramStart"/>
      <w:r w:rsidRPr="00DB7A74">
        <w:t>Reviews</w:t>
      </w:r>
      <w:proofErr w:type="gramEnd"/>
      <w:r w:rsidRPr="00DB7A74">
        <w:t xml:space="preserve"> clinical incident data, audit results, consumer feedback, and quality indicators</w:t>
      </w:r>
    </w:p>
    <w:p w14:paraId="5B585CD2" w14:textId="77777777" w:rsidR="00DB7A74" w:rsidRPr="00DB7A74" w:rsidRDefault="00DB7A74" w:rsidP="00DB7A74">
      <w:pPr>
        <w:numPr>
          <w:ilvl w:val="0"/>
          <w:numId w:val="16"/>
        </w:numPr>
      </w:pPr>
      <w:r w:rsidRPr="00DB7A74">
        <w:t>Drives continuous improvement initiatives</w:t>
      </w:r>
    </w:p>
    <w:p w14:paraId="67EDC3AC" w14:textId="77777777" w:rsidR="00DB7A74" w:rsidRPr="00DB7A74" w:rsidRDefault="00DB7A74" w:rsidP="00DB7A74">
      <w:pPr>
        <w:numPr>
          <w:ilvl w:val="0"/>
          <w:numId w:val="16"/>
        </w:numPr>
      </w:pPr>
      <w:r w:rsidRPr="00DB7A74">
        <w:t>Reports to the Board quarterly</w:t>
      </w:r>
    </w:p>
    <w:p w14:paraId="27788018" w14:textId="77777777" w:rsidR="00DB7A74" w:rsidRPr="00DB7A74" w:rsidRDefault="00DB7A74" w:rsidP="00DB7A74">
      <w:pPr>
        <w:rPr>
          <w:b/>
          <w:bCs/>
        </w:rPr>
      </w:pPr>
      <w:r w:rsidRPr="00DB7A74">
        <w:rPr>
          <w:b/>
          <w:bCs/>
        </w:rPr>
        <w:t>4.4 Director of Nursing</w:t>
      </w:r>
    </w:p>
    <w:p w14:paraId="54D6CDB1" w14:textId="77777777" w:rsidR="00DB7A74" w:rsidRPr="00DB7A74" w:rsidRDefault="00DB7A74" w:rsidP="00DB7A74">
      <w:pPr>
        <w:numPr>
          <w:ilvl w:val="0"/>
          <w:numId w:val="17"/>
        </w:numPr>
      </w:pPr>
      <w:r w:rsidRPr="00DB7A74">
        <w:t>Day-to-day accountability for clinical care quality and safety</w:t>
      </w:r>
    </w:p>
    <w:p w14:paraId="4F9DE940" w14:textId="77777777" w:rsidR="00DB7A74" w:rsidRPr="00DB7A74" w:rsidRDefault="00DB7A74" w:rsidP="00DB7A74">
      <w:pPr>
        <w:numPr>
          <w:ilvl w:val="0"/>
          <w:numId w:val="17"/>
        </w:numPr>
      </w:pPr>
      <w:proofErr w:type="gramStart"/>
      <w:r w:rsidRPr="00DB7A74">
        <w:t>Oversees</w:t>
      </w:r>
      <w:proofErr w:type="gramEnd"/>
      <w:r w:rsidRPr="00DB7A74">
        <w:t xml:space="preserve"> clinical audit program, incident review, and staff credentialing</w:t>
      </w:r>
    </w:p>
    <w:p w14:paraId="780A0FF1" w14:textId="77777777" w:rsidR="00DB7A74" w:rsidRPr="00DB7A74" w:rsidRDefault="00DB7A74" w:rsidP="00DB7A74">
      <w:pPr>
        <w:numPr>
          <w:ilvl w:val="0"/>
          <w:numId w:val="17"/>
        </w:numPr>
      </w:pPr>
      <w:proofErr w:type="gramStart"/>
      <w:r w:rsidRPr="00DB7A74">
        <w:t>Reports</w:t>
      </w:r>
      <w:proofErr w:type="gramEnd"/>
      <w:r w:rsidRPr="00DB7A74">
        <w:t xml:space="preserve"> clinical performance data to the Clinical Governance Committee</w:t>
      </w:r>
    </w:p>
    <w:p w14:paraId="35128CA2" w14:textId="77777777" w:rsidR="00DB7A74" w:rsidRPr="00DB7A74" w:rsidRDefault="00DB7A74" w:rsidP="00DB7A74">
      <w:pPr>
        <w:rPr>
          <w:b/>
          <w:bCs/>
        </w:rPr>
      </w:pPr>
      <w:r w:rsidRPr="00DB7A74">
        <w:rPr>
          <w:b/>
          <w:bCs/>
        </w:rPr>
        <w:t>5. Procedures</w:t>
      </w:r>
    </w:p>
    <w:p w14:paraId="23A9F4E6" w14:textId="77777777" w:rsidR="00DB7A74" w:rsidRPr="00DB7A74" w:rsidRDefault="00DB7A74" w:rsidP="00DB7A74">
      <w:pPr>
        <w:rPr>
          <w:b/>
          <w:bCs/>
        </w:rPr>
      </w:pPr>
      <w:r w:rsidRPr="00DB7A74">
        <w:rPr>
          <w:b/>
          <w:bCs/>
        </w:rPr>
        <w:t>5.1 Clinical Performance Indicators</w:t>
      </w:r>
    </w:p>
    <w:p w14:paraId="4A24F16C" w14:textId="77777777" w:rsidR="00DB7A74" w:rsidRPr="00DB7A74" w:rsidRDefault="00DB7A74" w:rsidP="00DB7A74">
      <w:r w:rsidRPr="00DB7A74">
        <w:t>The following indicators will be monitored and reported to the Clinical Governance Committee monthly:</w:t>
      </w:r>
    </w:p>
    <w:p w14:paraId="064E9C39" w14:textId="77777777" w:rsidR="00DB7A74" w:rsidRPr="00DB7A74" w:rsidRDefault="00DB7A74" w:rsidP="00DB7A74">
      <w:pPr>
        <w:numPr>
          <w:ilvl w:val="0"/>
          <w:numId w:val="18"/>
        </w:numPr>
      </w:pPr>
      <w:r w:rsidRPr="00DB7A74">
        <w:t>Pressure injury incidence and prevalence</w:t>
      </w:r>
    </w:p>
    <w:p w14:paraId="10CBDDF9" w14:textId="77777777" w:rsidR="00DB7A74" w:rsidRPr="00DB7A74" w:rsidRDefault="00DB7A74" w:rsidP="00DB7A74">
      <w:pPr>
        <w:numPr>
          <w:ilvl w:val="0"/>
          <w:numId w:val="18"/>
        </w:numPr>
      </w:pPr>
      <w:r w:rsidRPr="00DB7A74">
        <w:t>Falls and fall-related injuries</w:t>
      </w:r>
    </w:p>
    <w:p w14:paraId="780F53D3" w14:textId="77777777" w:rsidR="00DB7A74" w:rsidRPr="00DB7A74" w:rsidRDefault="00DB7A74" w:rsidP="00DB7A74">
      <w:pPr>
        <w:numPr>
          <w:ilvl w:val="0"/>
          <w:numId w:val="18"/>
        </w:numPr>
      </w:pPr>
      <w:r w:rsidRPr="00DB7A74">
        <w:t>Medication incidents</w:t>
      </w:r>
    </w:p>
    <w:p w14:paraId="7F0FB298" w14:textId="77777777" w:rsidR="00DB7A74" w:rsidRPr="00DB7A74" w:rsidRDefault="00DB7A74" w:rsidP="00DB7A74">
      <w:pPr>
        <w:numPr>
          <w:ilvl w:val="0"/>
          <w:numId w:val="18"/>
        </w:numPr>
      </w:pPr>
      <w:r w:rsidRPr="00DB7A74">
        <w:t>Unplanned weight loss</w:t>
      </w:r>
    </w:p>
    <w:p w14:paraId="1843759F" w14:textId="77777777" w:rsidR="00DB7A74" w:rsidRPr="00DB7A74" w:rsidRDefault="00DB7A74" w:rsidP="00DB7A74">
      <w:pPr>
        <w:numPr>
          <w:ilvl w:val="0"/>
          <w:numId w:val="18"/>
        </w:numPr>
      </w:pPr>
      <w:r w:rsidRPr="00DB7A74">
        <w:t>Serious incidents (SIRS notifications)</w:t>
      </w:r>
    </w:p>
    <w:p w14:paraId="6F0406BD" w14:textId="77777777" w:rsidR="00DB7A74" w:rsidRPr="00DB7A74" w:rsidRDefault="00DB7A74" w:rsidP="00DB7A74">
      <w:pPr>
        <w:numPr>
          <w:ilvl w:val="0"/>
          <w:numId w:val="18"/>
        </w:numPr>
      </w:pPr>
      <w:r w:rsidRPr="00DB7A74">
        <w:lastRenderedPageBreak/>
        <w:t>Infection rates (including COVID-19, influenza)</w:t>
      </w:r>
    </w:p>
    <w:p w14:paraId="0883606C" w14:textId="77777777" w:rsidR="00DB7A74" w:rsidRPr="00DB7A74" w:rsidRDefault="00DB7A74" w:rsidP="00DB7A74">
      <w:pPr>
        <w:numPr>
          <w:ilvl w:val="0"/>
          <w:numId w:val="18"/>
        </w:numPr>
      </w:pPr>
      <w:r w:rsidRPr="00DB7A74">
        <w:t>Consumer feedback and complaint resolution rates</w:t>
      </w:r>
    </w:p>
    <w:p w14:paraId="3316C81B" w14:textId="77777777" w:rsidR="00DB7A74" w:rsidRPr="00DB7A74" w:rsidRDefault="00DB7A74" w:rsidP="00DB7A74">
      <w:pPr>
        <w:numPr>
          <w:ilvl w:val="0"/>
          <w:numId w:val="18"/>
        </w:numPr>
      </w:pPr>
      <w:r w:rsidRPr="00DB7A74">
        <w:t xml:space="preserve">Unplanned </w:t>
      </w:r>
      <w:proofErr w:type="spellStart"/>
      <w:r w:rsidRPr="00DB7A74">
        <w:t>hospitalisations</w:t>
      </w:r>
      <w:proofErr w:type="spellEnd"/>
    </w:p>
    <w:p w14:paraId="0C07887B" w14:textId="77777777" w:rsidR="00DB7A74" w:rsidRPr="00DB7A74" w:rsidRDefault="00DB7A74" w:rsidP="00DB7A74">
      <w:pPr>
        <w:rPr>
          <w:b/>
          <w:bCs/>
        </w:rPr>
      </w:pPr>
      <w:r w:rsidRPr="00DB7A74">
        <w:rPr>
          <w:b/>
          <w:bCs/>
        </w:rPr>
        <w:t>5.2 Credentialing and Scope of Practice</w:t>
      </w:r>
    </w:p>
    <w:p w14:paraId="180B93E7" w14:textId="77777777" w:rsidR="00DB7A74" w:rsidRPr="00DB7A74" w:rsidRDefault="00DB7A74" w:rsidP="00DB7A74">
      <w:pPr>
        <w:numPr>
          <w:ilvl w:val="0"/>
          <w:numId w:val="19"/>
        </w:numPr>
      </w:pPr>
      <w:r w:rsidRPr="00DB7A74">
        <w:t>All clinical staff will have their qualifications and registration verified before commencing employment and maintained via the Australian Health Practitioner Regulation Agency (AHPRA) register.</w:t>
      </w:r>
    </w:p>
    <w:p w14:paraId="0F35C7C2" w14:textId="77777777" w:rsidR="00DB7A74" w:rsidRPr="00DB7A74" w:rsidRDefault="00DB7A74" w:rsidP="00DB7A74">
      <w:pPr>
        <w:numPr>
          <w:ilvl w:val="0"/>
          <w:numId w:val="19"/>
        </w:numPr>
      </w:pPr>
      <w:r w:rsidRPr="00DB7A74">
        <w:t>Scope of practice will be clearly defined for Registered Nurses, Enrolled Nurses, and Personal Care Workers.</w:t>
      </w:r>
    </w:p>
    <w:p w14:paraId="1D3D11DB" w14:textId="77777777" w:rsidR="00DB7A74" w:rsidRPr="00DB7A74" w:rsidRDefault="00DB7A74" w:rsidP="00DB7A74">
      <w:pPr>
        <w:numPr>
          <w:ilvl w:val="0"/>
          <w:numId w:val="19"/>
        </w:numPr>
      </w:pPr>
      <w:r w:rsidRPr="00DB7A74">
        <w:t>Any task performed outside documented scope of practice must be approved by the Director of Nursing.</w:t>
      </w:r>
    </w:p>
    <w:p w14:paraId="4AE2B0C3" w14:textId="77777777" w:rsidR="00DB7A74" w:rsidRPr="00DB7A74" w:rsidRDefault="00DB7A74" w:rsidP="00DB7A74">
      <w:pPr>
        <w:rPr>
          <w:b/>
          <w:bCs/>
        </w:rPr>
      </w:pPr>
      <w:r w:rsidRPr="00DB7A74">
        <w:rPr>
          <w:b/>
          <w:bCs/>
        </w:rPr>
        <w:t>5.3 Clinical Audit Program</w:t>
      </w:r>
    </w:p>
    <w:p w14:paraId="75A3F723" w14:textId="77777777" w:rsidR="00DB7A74" w:rsidRPr="00DB7A74" w:rsidRDefault="00DB7A74" w:rsidP="00DB7A74">
      <w:pPr>
        <w:numPr>
          <w:ilvl w:val="0"/>
          <w:numId w:val="20"/>
        </w:numPr>
      </w:pPr>
      <w:r w:rsidRPr="00DB7A74">
        <w:t>A rolling clinical audit program will be maintained, covering all high-risk clinical areas on a [quarterly] cycle.</w:t>
      </w:r>
    </w:p>
    <w:p w14:paraId="2E4CF2CD" w14:textId="77777777" w:rsidR="00DB7A74" w:rsidRPr="00DB7A74" w:rsidRDefault="00DB7A74" w:rsidP="00DB7A74">
      <w:pPr>
        <w:numPr>
          <w:ilvl w:val="0"/>
          <w:numId w:val="20"/>
        </w:numPr>
      </w:pPr>
      <w:r w:rsidRPr="00DB7A74">
        <w:t>Audit findings will be reviewed by the Director of Nursing and tabled at the Clinical Governance Committee.</w:t>
      </w:r>
    </w:p>
    <w:p w14:paraId="590B6A54" w14:textId="77777777" w:rsidR="00DB7A74" w:rsidRPr="00DB7A74" w:rsidRDefault="00DB7A74" w:rsidP="00DB7A74">
      <w:pPr>
        <w:numPr>
          <w:ilvl w:val="0"/>
          <w:numId w:val="20"/>
        </w:numPr>
      </w:pPr>
      <w:r w:rsidRPr="00DB7A74">
        <w:t>Corrective actions from audits will be tracked to completion.</w:t>
      </w:r>
    </w:p>
    <w:p w14:paraId="25FAF9C6" w14:textId="77777777" w:rsidR="00DB7A74" w:rsidRPr="00DB7A74" w:rsidRDefault="00DB7A74" w:rsidP="00DB7A74">
      <w:pPr>
        <w:rPr>
          <w:b/>
          <w:bCs/>
        </w:rPr>
      </w:pPr>
      <w:r w:rsidRPr="00DB7A74">
        <w:rPr>
          <w:b/>
          <w:bCs/>
        </w:rPr>
        <w:t>5.4 Incident Learning System</w:t>
      </w:r>
    </w:p>
    <w:p w14:paraId="284CF1EE" w14:textId="77777777" w:rsidR="00DB7A74" w:rsidRPr="00DB7A74" w:rsidRDefault="00DB7A74" w:rsidP="00DB7A74">
      <w:pPr>
        <w:numPr>
          <w:ilvl w:val="0"/>
          <w:numId w:val="21"/>
        </w:numPr>
      </w:pPr>
      <w:r w:rsidRPr="00DB7A74">
        <w:t xml:space="preserve">All clinical incidents will be reported, investigated, and </w:t>
      </w:r>
      <w:proofErr w:type="spellStart"/>
      <w:r w:rsidRPr="00DB7A74">
        <w:t>analysed</w:t>
      </w:r>
      <w:proofErr w:type="spellEnd"/>
      <w:r w:rsidRPr="00DB7A74">
        <w:t xml:space="preserve"> for systemic themes.</w:t>
      </w:r>
    </w:p>
    <w:p w14:paraId="2AE9F880" w14:textId="77777777" w:rsidR="00DB7A74" w:rsidRPr="00DB7A74" w:rsidRDefault="00DB7A74" w:rsidP="00DB7A74">
      <w:pPr>
        <w:numPr>
          <w:ilvl w:val="0"/>
          <w:numId w:val="21"/>
        </w:numPr>
      </w:pPr>
      <w:r w:rsidRPr="00DB7A74">
        <w:t>Root cause analysis will be conducted for serious adverse events.</w:t>
      </w:r>
    </w:p>
    <w:p w14:paraId="6CEF1373" w14:textId="77777777" w:rsidR="00DB7A74" w:rsidRPr="00DB7A74" w:rsidRDefault="00DB7A74" w:rsidP="00DB7A74">
      <w:pPr>
        <w:numPr>
          <w:ilvl w:val="0"/>
          <w:numId w:val="21"/>
        </w:numPr>
      </w:pPr>
      <w:r w:rsidRPr="00DB7A74">
        <w:t>Learning from incidents will be communicated to staff and used to update policies, procedures, and training.</w:t>
      </w:r>
    </w:p>
    <w:p w14:paraId="2ACA1186" w14:textId="77777777" w:rsidR="00DB7A74" w:rsidRPr="00DB7A74" w:rsidRDefault="00DB7A74" w:rsidP="00DB7A74">
      <w:pPr>
        <w:rPr>
          <w:b/>
          <w:bCs/>
        </w:rPr>
      </w:pPr>
      <w:r w:rsidRPr="00DB7A74">
        <w:rPr>
          <w:b/>
          <w:bCs/>
        </w:rPr>
        <w:t>5.5 Consumer Engagement in Quality</w:t>
      </w:r>
    </w:p>
    <w:p w14:paraId="250F0724" w14:textId="77777777" w:rsidR="00DB7A74" w:rsidRPr="00DB7A74" w:rsidRDefault="00DB7A74" w:rsidP="00DB7A74">
      <w:pPr>
        <w:numPr>
          <w:ilvl w:val="0"/>
          <w:numId w:val="22"/>
        </w:numPr>
      </w:pPr>
      <w:r w:rsidRPr="00DB7A74">
        <w:t>Residents and families will be engaged in quality improvement activities through surveys, resident meetings, and feedback mechanisms.</w:t>
      </w:r>
    </w:p>
    <w:p w14:paraId="4C91B22A" w14:textId="77777777" w:rsidR="00DB7A74" w:rsidRPr="00DB7A74" w:rsidRDefault="00DB7A74" w:rsidP="00DB7A74">
      <w:pPr>
        <w:numPr>
          <w:ilvl w:val="0"/>
          <w:numId w:val="22"/>
        </w:numPr>
      </w:pPr>
      <w:r w:rsidRPr="00DB7A74">
        <w:t>Consumer feedback will be tabled at the Clinical Governance Committee and used to inform improvement priorities.</w:t>
      </w:r>
    </w:p>
    <w:p w14:paraId="0C6CD70B" w14:textId="77777777" w:rsidR="00DB7A74" w:rsidRPr="00DB7A74" w:rsidRDefault="00DB7A74" w:rsidP="00DB7A74">
      <w:pPr>
        <w:rPr>
          <w:b/>
          <w:bCs/>
        </w:rPr>
      </w:pPr>
      <w:r w:rsidRPr="00DB7A74">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3"/>
        <w:gridCol w:w="7447"/>
      </w:tblGrid>
      <w:tr w:rsidR="00DB7A74" w:rsidRPr="00DB7A74" w14:paraId="514D0495" w14:textId="77777777" w:rsidTr="00DB7A74">
        <w:trPr>
          <w:tblCellSpacing w:w="15" w:type="dxa"/>
        </w:trPr>
        <w:tc>
          <w:tcPr>
            <w:tcW w:w="0" w:type="auto"/>
            <w:vAlign w:val="center"/>
            <w:hideMark/>
          </w:tcPr>
          <w:p w14:paraId="4682760C" w14:textId="77777777" w:rsidR="00DB7A74" w:rsidRPr="00DB7A74" w:rsidRDefault="00DB7A74" w:rsidP="00DB7A74">
            <w:pPr>
              <w:rPr>
                <w:b/>
                <w:bCs/>
              </w:rPr>
            </w:pPr>
            <w:r w:rsidRPr="00DB7A74">
              <w:rPr>
                <w:b/>
                <w:bCs/>
              </w:rPr>
              <w:lastRenderedPageBreak/>
              <w:t>Role</w:t>
            </w:r>
          </w:p>
        </w:tc>
        <w:tc>
          <w:tcPr>
            <w:tcW w:w="0" w:type="auto"/>
            <w:vAlign w:val="center"/>
            <w:hideMark/>
          </w:tcPr>
          <w:p w14:paraId="15F774EA" w14:textId="77777777" w:rsidR="00DB7A74" w:rsidRPr="00DB7A74" w:rsidRDefault="00DB7A74" w:rsidP="00DB7A74">
            <w:pPr>
              <w:rPr>
                <w:b/>
                <w:bCs/>
              </w:rPr>
            </w:pPr>
            <w:r w:rsidRPr="00DB7A74">
              <w:rPr>
                <w:b/>
                <w:bCs/>
              </w:rPr>
              <w:t>Responsibility</w:t>
            </w:r>
          </w:p>
        </w:tc>
      </w:tr>
      <w:tr w:rsidR="00DB7A74" w:rsidRPr="00DB7A74" w14:paraId="454C220F" w14:textId="77777777" w:rsidTr="00DB7A74">
        <w:trPr>
          <w:tblCellSpacing w:w="15" w:type="dxa"/>
        </w:trPr>
        <w:tc>
          <w:tcPr>
            <w:tcW w:w="0" w:type="auto"/>
            <w:vAlign w:val="center"/>
            <w:hideMark/>
          </w:tcPr>
          <w:p w14:paraId="12B59E39" w14:textId="77777777" w:rsidR="00DB7A74" w:rsidRPr="00DB7A74" w:rsidRDefault="00DB7A74" w:rsidP="00DB7A74">
            <w:r w:rsidRPr="00DB7A74">
              <w:t>Board</w:t>
            </w:r>
          </w:p>
        </w:tc>
        <w:tc>
          <w:tcPr>
            <w:tcW w:w="0" w:type="auto"/>
            <w:vAlign w:val="center"/>
            <w:hideMark/>
          </w:tcPr>
          <w:p w14:paraId="5C83BF3B" w14:textId="77777777" w:rsidR="00DB7A74" w:rsidRPr="00DB7A74" w:rsidRDefault="00DB7A74" w:rsidP="00DB7A74">
            <w:r w:rsidRPr="00DB7A74">
              <w:t>Ultimate accountability; receive quarterly clinical reports; resource allocation</w:t>
            </w:r>
          </w:p>
        </w:tc>
      </w:tr>
      <w:tr w:rsidR="00DB7A74" w:rsidRPr="00DB7A74" w14:paraId="7D0BF646" w14:textId="77777777" w:rsidTr="00DB7A74">
        <w:trPr>
          <w:tblCellSpacing w:w="15" w:type="dxa"/>
        </w:trPr>
        <w:tc>
          <w:tcPr>
            <w:tcW w:w="0" w:type="auto"/>
            <w:vAlign w:val="center"/>
            <w:hideMark/>
          </w:tcPr>
          <w:p w14:paraId="14C37B4F" w14:textId="77777777" w:rsidR="00DB7A74" w:rsidRPr="00DB7A74" w:rsidRDefault="00DB7A74" w:rsidP="00DB7A74">
            <w:r w:rsidRPr="00DB7A74">
              <w:t>CEO</w:t>
            </w:r>
          </w:p>
        </w:tc>
        <w:tc>
          <w:tcPr>
            <w:tcW w:w="0" w:type="auto"/>
            <w:vAlign w:val="center"/>
            <w:hideMark/>
          </w:tcPr>
          <w:p w14:paraId="2A5E41B8" w14:textId="77777777" w:rsidR="00DB7A74" w:rsidRPr="00DB7A74" w:rsidRDefault="00DB7A74" w:rsidP="00DB7A74">
            <w:r w:rsidRPr="00DB7A74">
              <w:t>Executive accountability; chair Clinical Governance Committee; Board reporting</w:t>
            </w:r>
          </w:p>
        </w:tc>
      </w:tr>
      <w:tr w:rsidR="00DB7A74" w:rsidRPr="00DB7A74" w14:paraId="0804DF60" w14:textId="77777777" w:rsidTr="00DB7A74">
        <w:trPr>
          <w:tblCellSpacing w:w="15" w:type="dxa"/>
        </w:trPr>
        <w:tc>
          <w:tcPr>
            <w:tcW w:w="0" w:type="auto"/>
            <w:vAlign w:val="center"/>
            <w:hideMark/>
          </w:tcPr>
          <w:p w14:paraId="4EF3D1BE" w14:textId="77777777" w:rsidR="00DB7A74" w:rsidRPr="00DB7A74" w:rsidRDefault="00DB7A74" w:rsidP="00DB7A74">
            <w:r w:rsidRPr="00DB7A74">
              <w:t>Director of Nursing</w:t>
            </w:r>
          </w:p>
        </w:tc>
        <w:tc>
          <w:tcPr>
            <w:tcW w:w="0" w:type="auto"/>
            <w:vAlign w:val="center"/>
            <w:hideMark/>
          </w:tcPr>
          <w:p w14:paraId="7AC238AB" w14:textId="77777777" w:rsidR="00DB7A74" w:rsidRPr="00DB7A74" w:rsidRDefault="00DB7A74" w:rsidP="00DB7A74">
            <w:r w:rsidRPr="00DB7A74">
              <w:t>Clinical oversight; credentialing; audit program; incident review</w:t>
            </w:r>
          </w:p>
        </w:tc>
      </w:tr>
      <w:tr w:rsidR="00DB7A74" w:rsidRPr="00DB7A74" w14:paraId="02F86D7C" w14:textId="77777777" w:rsidTr="00DB7A74">
        <w:trPr>
          <w:tblCellSpacing w:w="15" w:type="dxa"/>
        </w:trPr>
        <w:tc>
          <w:tcPr>
            <w:tcW w:w="0" w:type="auto"/>
            <w:vAlign w:val="center"/>
            <w:hideMark/>
          </w:tcPr>
          <w:p w14:paraId="3DFA250A" w14:textId="77777777" w:rsidR="00DB7A74" w:rsidRPr="00DB7A74" w:rsidRDefault="00DB7A74" w:rsidP="00DB7A74">
            <w:r w:rsidRPr="00DB7A74">
              <w:t>Quality Manager</w:t>
            </w:r>
          </w:p>
        </w:tc>
        <w:tc>
          <w:tcPr>
            <w:tcW w:w="0" w:type="auto"/>
            <w:vAlign w:val="center"/>
            <w:hideMark/>
          </w:tcPr>
          <w:p w14:paraId="406BCF31" w14:textId="77777777" w:rsidR="00DB7A74" w:rsidRPr="00DB7A74" w:rsidRDefault="00DB7A74" w:rsidP="00DB7A74">
            <w:r w:rsidRPr="00DB7A74">
              <w:t>Data collection and analysis; audit coordination; policy review</w:t>
            </w:r>
          </w:p>
        </w:tc>
      </w:tr>
      <w:tr w:rsidR="00DB7A74" w:rsidRPr="00DB7A74" w14:paraId="1C0061BC" w14:textId="77777777" w:rsidTr="00DB7A74">
        <w:trPr>
          <w:tblCellSpacing w:w="15" w:type="dxa"/>
        </w:trPr>
        <w:tc>
          <w:tcPr>
            <w:tcW w:w="0" w:type="auto"/>
            <w:vAlign w:val="center"/>
            <w:hideMark/>
          </w:tcPr>
          <w:p w14:paraId="0F8CE9FE" w14:textId="77777777" w:rsidR="00DB7A74" w:rsidRPr="00DB7A74" w:rsidRDefault="00DB7A74" w:rsidP="00DB7A74">
            <w:r w:rsidRPr="00DB7A74">
              <w:t>All Clinical Staff</w:t>
            </w:r>
          </w:p>
        </w:tc>
        <w:tc>
          <w:tcPr>
            <w:tcW w:w="0" w:type="auto"/>
            <w:vAlign w:val="center"/>
            <w:hideMark/>
          </w:tcPr>
          <w:p w14:paraId="2BF974BE" w14:textId="77777777" w:rsidR="00DB7A74" w:rsidRPr="00DB7A74" w:rsidRDefault="00DB7A74" w:rsidP="00DB7A74">
            <w:r w:rsidRPr="00DB7A74">
              <w:t>Report incidents; participate in audits; implement evidence-based practice</w:t>
            </w:r>
          </w:p>
        </w:tc>
      </w:tr>
    </w:tbl>
    <w:p w14:paraId="55B2326D" w14:textId="77777777" w:rsidR="00DB7A74" w:rsidRPr="00DB7A74" w:rsidRDefault="00DB7A74" w:rsidP="00DB7A74">
      <w:pPr>
        <w:rPr>
          <w:b/>
          <w:bCs/>
        </w:rPr>
      </w:pPr>
      <w:r w:rsidRPr="00DB7A74">
        <w:rPr>
          <w:b/>
          <w:bCs/>
        </w:rPr>
        <w:t>7. Related Policies</w:t>
      </w:r>
    </w:p>
    <w:p w14:paraId="3045643A" w14:textId="77777777" w:rsidR="00DB7A74" w:rsidRPr="00DB7A74" w:rsidRDefault="00DB7A74" w:rsidP="00DB7A74">
      <w:pPr>
        <w:numPr>
          <w:ilvl w:val="0"/>
          <w:numId w:val="23"/>
        </w:numPr>
      </w:pPr>
      <w:r w:rsidRPr="00DB7A74">
        <w:t>Incident Management and Reporting Policy</w:t>
      </w:r>
    </w:p>
    <w:p w14:paraId="7122DCBC" w14:textId="77777777" w:rsidR="00DB7A74" w:rsidRPr="00DB7A74" w:rsidRDefault="00DB7A74" w:rsidP="00DB7A74">
      <w:pPr>
        <w:numPr>
          <w:ilvl w:val="0"/>
          <w:numId w:val="23"/>
        </w:numPr>
      </w:pPr>
      <w:r w:rsidRPr="00DB7A74">
        <w:t>Serious Incident Response Scheme (SIRS) Policy</w:t>
      </w:r>
    </w:p>
    <w:p w14:paraId="617B0611" w14:textId="77777777" w:rsidR="00DB7A74" w:rsidRPr="00DB7A74" w:rsidRDefault="00DB7A74" w:rsidP="00DB7A74">
      <w:pPr>
        <w:numPr>
          <w:ilvl w:val="0"/>
          <w:numId w:val="23"/>
        </w:numPr>
      </w:pPr>
      <w:r w:rsidRPr="00DB7A74">
        <w:t>Risk Management Policy</w:t>
      </w:r>
    </w:p>
    <w:p w14:paraId="47A49810" w14:textId="77777777" w:rsidR="00DB7A74" w:rsidRPr="00DB7A74" w:rsidRDefault="00DB7A74" w:rsidP="00DB7A74">
      <w:pPr>
        <w:numPr>
          <w:ilvl w:val="0"/>
          <w:numId w:val="23"/>
        </w:numPr>
      </w:pPr>
      <w:r w:rsidRPr="00DB7A74">
        <w:t>Quality Improvement Policy</w:t>
      </w:r>
    </w:p>
    <w:p w14:paraId="106A6825" w14:textId="77777777" w:rsidR="00DB7A74" w:rsidRPr="00DB7A74" w:rsidRDefault="00DB7A74" w:rsidP="00DB7A74">
      <w:pPr>
        <w:numPr>
          <w:ilvl w:val="0"/>
          <w:numId w:val="23"/>
        </w:numPr>
      </w:pPr>
      <w:r w:rsidRPr="00DB7A74">
        <w:t>Workforce Training and Competency Policy</w:t>
      </w:r>
    </w:p>
    <w:p w14:paraId="5D2A0E1C" w14:textId="77777777" w:rsidR="00DB7A74" w:rsidRPr="00DB7A74" w:rsidRDefault="00DB7A74" w:rsidP="00DB7A74">
      <w:pPr>
        <w:rPr>
          <w:b/>
          <w:bCs/>
        </w:rPr>
      </w:pPr>
      <w:r w:rsidRPr="00DB7A74">
        <w:rPr>
          <w:b/>
          <w:bCs/>
        </w:rPr>
        <w:t>8. Relevant Legislation and Standards</w:t>
      </w:r>
    </w:p>
    <w:p w14:paraId="316C2AA1" w14:textId="77777777" w:rsidR="00DB7A74" w:rsidRPr="00DB7A74" w:rsidRDefault="00DB7A74" w:rsidP="00DB7A74">
      <w:pPr>
        <w:numPr>
          <w:ilvl w:val="0"/>
          <w:numId w:val="24"/>
        </w:numPr>
      </w:pPr>
      <w:r w:rsidRPr="00DB7A74">
        <w:t>Aged Care Act 1997 (</w:t>
      </w:r>
      <w:proofErr w:type="spellStart"/>
      <w:r w:rsidRPr="00DB7A74">
        <w:t>Cth</w:t>
      </w:r>
      <w:proofErr w:type="spellEnd"/>
      <w:r w:rsidRPr="00DB7A74">
        <w:t>)</w:t>
      </w:r>
    </w:p>
    <w:p w14:paraId="1DAC2FE4" w14:textId="77777777" w:rsidR="00DB7A74" w:rsidRPr="00DB7A74" w:rsidRDefault="00DB7A74" w:rsidP="00DB7A74">
      <w:pPr>
        <w:numPr>
          <w:ilvl w:val="0"/>
          <w:numId w:val="24"/>
        </w:numPr>
      </w:pPr>
      <w:r w:rsidRPr="00DB7A74">
        <w:t>Strengthened Aged Care Quality Standards — Standard 8 (</w:t>
      </w:r>
      <w:proofErr w:type="spellStart"/>
      <w:r w:rsidRPr="00DB7A74">
        <w:t>Organisational</w:t>
      </w:r>
      <w:proofErr w:type="spellEnd"/>
      <w:r w:rsidRPr="00DB7A74">
        <w:t xml:space="preserve"> Governance)</w:t>
      </w:r>
    </w:p>
    <w:p w14:paraId="71B609A7" w14:textId="77777777" w:rsidR="00DB7A74" w:rsidRPr="00DB7A74" w:rsidRDefault="00DB7A74" w:rsidP="00DB7A74">
      <w:pPr>
        <w:numPr>
          <w:ilvl w:val="0"/>
          <w:numId w:val="24"/>
        </w:numPr>
      </w:pPr>
      <w:r w:rsidRPr="00DB7A74">
        <w:t>Aged Care Quality and Safety Commission Act 2018 (</w:t>
      </w:r>
      <w:proofErr w:type="spellStart"/>
      <w:r w:rsidRPr="00DB7A74">
        <w:t>Cth</w:t>
      </w:r>
      <w:proofErr w:type="spellEnd"/>
      <w:r w:rsidRPr="00DB7A74">
        <w:t>)</w:t>
      </w:r>
    </w:p>
    <w:p w14:paraId="6F9D44F9" w14:textId="77777777" w:rsidR="00DB7A74" w:rsidRPr="00DB7A74" w:rsidRDefault="00DB7A74" w:rsidP="00DB7A74">
      <w:pPr>
        <w:numPr>
          <w:ilvl w:val="0"/>
          <w:numId w:val="24"/>
        </w:numPr>
      </w:pPr>
      <w:r w:rsidRPr="00DB7A74">
        <w:t>Australian Commission on Safety and Quality in Health Care — Clinical Governance Framework</w:t>
      </w:r>
    </w:p>
    <w:p w14:paraId="7F6C07A7" w14:textId="77777777" w:rsidR="00DB7A74" w:rsidRPr="00DB7A74" w:rsidRDefault="00DB7A74" w:rsidP="00DB7A74">
      <w:pPr>
        <w:rPr>
          <w:b/>
          <w:bCs/>
        </w:rPr>
      </w:pPr>
      <w:r w:rsidRPr="00DB7A74">
        <w:rPr>
          <w:b/>
          <w:bCs/>
        </w:rPr>
        <w:t>9. Review and Monitoring</w:t>
      </w:r>
    </w:p>
    <w:p w14:paraId="6E6E93F7" w14:textId="77777777" w:rsidR="00DB7A74" w:rsidRPr="00DB7A74" w:rsidRDefault="00DB7A74" w:rsidP="00DB7A74">
      <w:r w:rsidRPr="00DB7A74">
        <w:t xml:space="preserve">This policy will be reviewed annually by the Clinical Governance Committee and approved by the Board. The policy will be updated when there is a material change in legislation, standards, or the </w:t>
      </w:r>
      <w:proofErr w:type="spellStart"/>
      <w:r w:rsidRPr="00DB7A74">
        <w:t>organisation's</w:t>
      </w:r>
      <w:proofErr w:type="spellEnd"/>
      <w:r w:rsidRPr="00DB7A74">
        <w:t xml:space="preserve"> governance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DB7A74" w:rsidRPr="00DB7A74" w14:paraId="068CFD27" w14:textId="77777777">
        <w:trPr>
          <w:tblCellSpacing w:w="15" w:type="dxa"/>
        </w:trPr>
        <w:tc>
          <w:tcPr>
            <w:tcW w:w="0" w:type="auto"/>
            <w:vAlign w:val="center"/>
            <w:hideMark/>
          </w:tcPr>
          <w:p w14:paraId="232F6624" w14:textId="77777777" w:rsidR="00DB7A74" w:rsidRPr="00DB7A74" w:rsidRDefault="00DB7A74" w:rsidP="00DB7A74">
            <w:pPr>
              <w:rPr>
                <w:b/>
                <w:bCs/>
              </w:rPr>
            </w:pPr>
            <w:r w:rsidRPr="00DB7A74">
              <w:rPr>
                <w:b/>
                <w:bCs/>
              </w:rPr>
              <w:lastRenderedPageBreak/>
              <w:t>Reviewed By</w:t>
            </w:r>
          </w:p>
        </w:tc>
        <w:tc>
          <w:tcPr>
            <w:tcW w:w="0" w:type="auto"/>
            <w:vAlign w:val="center"/>
            <w:hideMark/>
          </w:tcPr>
          <w:p w14:paraId="6C6E2CD8" w14:textId="77777777" w:rsidR="00DB7A74" w:rsidRPr="00DB7A74" w:rsidRDefault="00DB7A74" w:rsidP="00DB7A74">
            <w:pPr>
              <w:rPr>
                <w:b/>
                <w:bCs/>
              </w:rPr>
            </w:pPr>
            <w:r w:rsidRPr="00DB7A74">
              <w:rPr>
                <w:b/>
                <w:bCs/>
              </w:rPr>
              <w:t>Role</w:t>
            </w:r>
          </w:p>
        </w:tc>
        <w:tc>
          <w:tcPr>
            <w:tcW w:w="0" w:type="auto"/>
            <w:vAlign w:val="center"/>
            <w:hideMark/>
          </w:tcPr>
          <w:p w14:paraId="59BB5C65" w14:textId="77777777" w:rsidR="00DB7A74" w:rsidRPr="00DB7A74" w:rsidRDefault="00DB7A74" w:rsidP="00DB7A74">
            <w:pPr>
              <w:rPr>
                <w:b/>
                <w:bCs/>
              </w:rPr>
            </w:pPr>
            <w:r w:rsidRPr="00DB7A74">
              <w:rPr>
                <w:b/>
                <w:bCs/>
              </w:rPr>
              <w:t>Date</w:t>
            </w:r>
          </w:p>
        </w:tc>
        <w:tc>
          <w:tcPr>
            <w:tcW w:w="0" w:type="auto"/>
            <w:vAlign w:val="center"/>
            <w:hideMark/>
          </w:tcPr>
          <w:p w14:paraId="03D46756" w14:textId="77777777" w:rsidR="00DB7A74" w:rsidRPr="00DB7A74" w:rsidRDefault="00DB7A74" w:rsidP="00DB7A74">
            <w:pPr>
              <w:rPr>
                <w:b/>
                <w:bCs/>
              </w:rPr>
            </w:pPr>
            <w:r w:rsidRPr="00DB7A74">
              <w:rPr>
                <w:b/>
                <w:bCs/>
              </w:rPr>
              <w:t>Signature</w:t>
            </w:r>
          </w:p>
        </w:tc>
      </w:tr>
      <w:tr w:rsidR="00DB7A74" w:rsidRPr="00DB7A74" w14:paraId="1DDBBB0F" w14:textId="77777777">
        <w:trPr>
          <w:tblCellSpacing w:w="15" w:type="dxa"/>
        </w:trPr>
        <w:tc>
          <w:tcPr>
            <w:tcW w:w="0" w:type="auto"/>
            <w:vAlign w:val="center"/>
            <w:hideMark/>
          </w:tcPr>
          <w:p w14:paraId="69D86967" w14:textId="77777777" w:rsidR="00DB7A74" w:rsidRPr="00DB7A74" w:rsidRDefault="00DB7A74" w:rsidP="00DB7A74">
            <w:r w:rsidRPr="00DB7A74">
              <w:t> </w:t>
            </w:r>
          </w:p>
        </w:tc>
        <w:tc>
          <w:tcPr>
            <w:tcW w:w="0" w:type="auto"/>
            <w:vAlign w:val="center"/>
            <w:hideMark/>
          </w:tcPr>
          <w:p w14:paraId="2E508303" w14:textId="77777777" w:rsidR="00DB7A74" w:rsidRPr="00DB7A74" w:rsidRDefault="00DB7A74" w:rsidP="00DB7A74">
            <w:r w:rsidRPr="00DB7A74">
              <w:t> </w:t>
            </w:r>
          </w:p>
        </w:tc>
        <w:tc>
          <w:tcPr>
            <w:tcW w:w="0" w:type="auto"/>
            <w:vAlign w:val="center"/>
            <w:hideMark/>
          </w:tcPr>
          <w:p w14:paraId="61BEE7D3" w14:textId="77777777" w:rsidR="00DB7A74" w:rsidRPr="00DB7A74" w:rsidRDefault="00DB7A74" w:rsidP="00DB7A74">
            <w:r w:rsidRPr="00DB7A74">
              <w:t> </w:t>
            </w:r>
          </w:p>
        </w:tc>
        <w:tc>
          <w:tcPr>
            <w:tcW w:w="0" w:type="auto"/>
            <w:vAlign w:val="center"/>
            <w:hideMark/>
          </w:tcPr>
          <w:p w14:paraId="73D06C68" w14:textId="77777777" w:rsidR="00DB7A74" w:rsidRPr="00DB7A74" w:rsidRDefault="00DB7A74" w:rsidP="00DB7A74">
            <w:r w:rsidRPr="00DB7A74">
              <w:t> </w:t>
            </w:r>
          </w:p>
        </w:tc>
      </w:tr>
      <w:tr w:rsidR="00DB7A74" w:rsidRPr="00DB7A74" w14:paraId="21BF494D" w14:textId="77777777">
        <w:trPr>
          <w:tblCellSpacing w:w="15" w:type="dxa"/>
        </w:trPr>
        <w:tc>
          <w:tcPr>
            <w:tcW w:w="0" w:type="auto"/>
            <w:vAlign w:val="center"/>
            <w:hideMark/>
          </w:tcPr>
          <w:p w14:paraId="11A3E9DF" w14:textId="77777777" w:rsidR="00DB7A74" w:rsidRPr="00DB7A74" w:rsidRDefault="00DB7A74" w:rsidP="00DB7A74">
            <w:pPr>
              <w:rPr>
                <w:b/>
                <w:bCs/>
              </w:rPr>
            </w:pPr>
            <w:r w:rsidRPr="00DB7A74">
              <w:rPr>
                <w:b/>
                <w:bCs/>
              </w:rPr>
              <w:t>Approved By</w:t>
            </w:r>
          </w:p>
        </w:tc>
        <w:tc>
          <w:tcPr>
            <w:tcW w:w="0" w:type="auto"/>
            <w:vAlign w:val="center"/>
            <w:hideMark/>
          </w:tcPr>
          <w:p w14:paraId="584FC50F" w14:textId="77777777" w:rsidR="00DB7A74" w:rsidRPr="00DB7A74" w:rsidRDefault="00DB7A74" w:rsidP="00DB7A74">
            <w:pPr>
              <w:rPr>
                <w:b/>
                <w:bCs/>
              </w:rPr>
            </w:pPr>
            <w:r w:rsidRPr="00DB7A74">
              <w:rPr>
                <w:b/>
                <w:bCs/>
              </w:rPr>
              <w:t>Role</w:t>
            </w:r>
          </w:p>
        </w:tc>
        <w:tc>
          <w:tcPr>
            <w:tcW w:w="0" w:type="auto"/>
            <w:vAlign w:val="center"/>
            <w:hideMark/>
          </w:tcPr>
          <w:p w14:paraId="0747C15F" w14:textId="77777777" w:rsidR="00DB7A74" w:rsidRPr="00DB7A74" w:rsidRDefault="00DB7A74" w:rsidP="00DB7A74">
            <w:pPr>
              <w:rPr>
                <w:b/>
                <w:bCs/>
              </w:rPr>
            </w:pPr>
            <w:r w:rsidRPr="00DB7A74">
              <w:rPr>
                <w:b/>
                <w:bCs/>
              </w:rPr>
              <w:t>Date</w:t>
            </w:r>
          </w:p>
        </w:tc>
        <w:tc>
          <w:tcPr>
            <w:tcW w:w="0" w:type="auto"/>
            <w:vAlign w:val="center"/>
            <w:hideMark/>
          </w:tcPr>
          <w:p w14:paraId="66D202B8" w14:textId="77777777" w:rsidR="00DB7A74" w:rsidRPr="00DB7A74" w:rsidRDefault="00DB7A74" w:rsidP="00DB7A74">
            <w:pPr>
              <w:rPr>
                <w:b/>
                <w:bCs/>
              </w:rPr>
            </w:pPr>
            <w:r w:rsidRPr="00DB7A74">
              <w:rPr>
                <w:b/>
                <w:bCs/>
              </w:rPr>
              <w:t>Signature</w:t>
            </w:r>
          </w:p>
        </w:tc>
      </w:tr>
      <w:tr w:rsidR="00DB7A74" w:rsidRPr="00DB7A74" w14:paraId="5E3A07CA" w14:textId="77777777">
        <w:trPr>
          <w:tblCellSpacing w:w="15" w:type="dxa"/>
        </w:trPr>
        <w:tc>
          <w:tcPr>
            <w:tcW w:w="0" w:type="auto"/>
            <w:vAlign w:val="center"/>
            <w:hideMark/>
          </w:tcPr>
          <w:p w14:paraId="426BDD7F" w14:textId="77777777" w:rsidR="00DB7A74" w:rsidRPr="00DB7A74" w:rsidRDefault="00DB7A74" w:rsidP="00DB7A74">
            <w:r w:rsidRPr="00DB7A74">
              <w:t> </w:t>
            </w:r>
          </w:p>
        </w:tc>
        <w:tc>
          <w:tcPr>
            <w:tcW w:w="0" w:type="auto"/>
            <w:vAlign w:val="center"/>
            <w:hideMark/>
          </w:tcPr>
          <w:p w14:paraId="3F1D38C3" w14:textId="77777777" w:rsidR="00DB7A74" w:rsidRPr="00DB7A74" w:rsidRDefault="00DB7A74" w:rsidP="00DB7A74">
            <w:r w:rsidRPr="00DB7A74">
              <w:t> </w:t>
            </w:r>
          </w:p>
        </w:tc>
        <w:tc>
          <w:tcPr>
            <w:tcW w:w="0" w:type="auto"/>
            <w:vAlign w:val="center"/>
            <w:hideMark/>
          </w:tcPr>
          <w:p w14:paraId="5F1772B2" w14:textId="77777777" w:rsidR="00DB7A74" w:rsidRPr="00DB7A74" w:rsidRDefault="00DB7A74" w:rsidP="00DB7A74">
            <w:r w:rsidRPr="00DB7A74">
              <w:t> </w:t>
            </w:r>
          </w:p>
        </w:tc>
        <w:tc>
          <w:tcPr>
            <w:tcW w:w="0" w:type="auto"/>
            <w:vAlign w:val="center"/>
            <w:hideMark/>
          </w:tcPr>
          <w:p w14:paraId="2197F90C" w14:textId="77777777" w:rsidR="00DB7A74" w:rsidRPr="00DB7A74" w:rsidRDefault="00DB7A74" w:rsidP="00DB7A74">
            <w:r w:rsidRPr="00DB7A74">
              <w:t> </w:t>
            </w:r>
          </w:p>
        </w:tc>
      </w:tr>
    </w:tbl>
    <w:p w14:paraId="69BD0297" w14:textId="77777777" w:rsidR="00DB7A74" w:rsidRDefault="00DB7A74"/>
    <w:sectPr w:rsidR="00DB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102"/>
    <w:multiLevelType w:val="multilevel"/>
    <w:tmpl w:val="515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C78E4"/>
    <w:multiLevelType w:val="multilevel"/>
    <w:tmpl w:val="4F8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83F5A"/>
    <w:multiLevelType w:val="multilevel"/>
    <w:tmpl w:val="561C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7685"/>
    <w:multiLevelType w:val="multilevel"/>
    <w:tmpl w:val="19D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824D4"/>
    <w:multiLevelType w:val="multilevel"/>
    <w:tmpl w:val="1DC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70723"/>
    <w:multiLevelType w:val="multilevel"/>
    <w:tmpl w:val="EE6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83D2C"/>
    <w:multiLevelType w:val="multilevel"/>
    <w:tmpl w:val="133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C27D9"/>
    <w:multiLevelType w:val="multilevel"/>
    <w:tmpl w:val="BCAE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A2E11"/>
    <w:multiLevelType w:val="multilevel"/>
    <w:tmpl w:val="120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26237"/>
    <w:multiLevelType w:val="multilevel"/>
    <w:tmpl w:val="3B5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227ED"/>
    <w:multiLevelType w:val="multilevel"/>
    <w:tmpl w:val="F6C0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37DFF"/>
    <w:multiLevelType w:val="multilevel"/>
    <w:tmpl w:val="DEF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A46CB"/>
    <w:multiLevelType w:val="multilevel"/>
    <w:tmpl w:val="16F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87259"/>
    <w:multiLevelType w:val="multilevel"/>
    <w:tmpl w:val="39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A7FB5"/>
    <w:multiLevelType w:val="multilevel"/>
    <w:tmpl w:val="409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8201E"/>
    <w:multiLevelType w:val="multilevel"/>
    <w:tmpl w:val="AF5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1682F"/>
    <w:multiLevelType w:val="multilevel"/>
    <w:tmpl w:val="25E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42A5A"/>
    <w:multiLevelType w:val="multilevel"/>
    <w:tmpl w:val="D09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2746A"/>
    <w:multiLevelType w:val="multilevel"/>
    <w:tmpl w:val="98D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50079"/>
    <w:multiLevelType w:val="multilevel"/>
    <w:tmpl w:val="B01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D0D6E"/>
    <w:multiLevelType w:val="multilevel"/>
    <w:tmpl w:val="E27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B57EC"/>
    <w:multiLevelType w:val="multilevel"/>
    <w:tmpl w:val="85B8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75607"/>
    <w:multiLevelType w:val="multilevel"/>
    <w:tmpl w:val="0C74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A38D3"/>
    <w:multiLevelType w:val="multilevel"/>
    <w:tmpl w:val="86A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7279">
    <w:abstractNumId w:val="6"/>
  </w:num>
  <w:num w:numId="2" w16cid:durableId="542139828">
    <w:abstractNumId w:val="17"/>
  </w:num>
  <w:num w:numId="3" w16cid:durableId="1628773337">
    <w:abstractNumId w:val="22"/>
  </w:num>
  <w:num w:numId="4" w16cid:durableId="653291673">
    <w:abstractNumId w:val="1"/>
  </w:num>
  <w:num w:numId="5" w16cid:durableId="1621064295">
    <w:abstractNumId w:val="23"/>
  </w:num>
  <w:num w:numId="6" w16cid:durableId="1314792570">
    <w:abstractNumId w:val="2"/>
  </w:num>
  <w:num w:numId="7" w16cid:durableId="687830868">
    <w:abstractNumId w:val="0"/>
  </w:num>
  <w:num w:numId="8" w16cid:durableId="89129253">
    <w:abstractNumId w:val="4"/>
  </w:num>
  <w:num w:numId="9" w16cid:durableId="1850753899">
    <w:abstractNumId w:val="3"/>
  </w:num>
  <w:num w:numId="10" w16cid:durableId="786120500">
    <w:abstractNumId w:val="5"/>
  </w:num>
  <w:num w:numId="11" w16cid:durableId="589312165">
    <w:abstractNumId w:val="15"/>
  </w:num>
  <w:num w:numId="12" w16cid:durableId="718550707">
    <w:abstractNumId w:val="20"/>
  </w:num>
  <w:num w:numId="13" w16cid:durableId="1312978980">
    <w:abstractNumId w:val="19"/>
  </w:num>
  <w:num w:numId="14" w16cid:durableId="1403024650">
    <w:abstractNumId w:val="12"/>
  </w:num>
  <w:num w:numId="15" w16cid:durableId="124662811">
    <w:abstractNumId w:val="14"/>
  </w:num>
  <w:num w:numId="16" w16cid:durableId="1791508632">
    <w:abstractNumId w:val="10"/>
  </w:num>
  <w:num w:numId="17" w16cid:durableId="357853749">
    <w:abstractNumId w:val="9"/>
  </w:num>
  <w:num w:numId="18" w16cid:durableId="216552862">
    <w:abstractNumId w:val="11"/>
  </w:num>
  <w:num w:numId="19" w16cid:durableId="1512910033">
    <w:abstractNumId w:val="18"/>
  </w:num>
  <w:num w:numId="20" w16cid:durableId="1007361967">
    <w:abstractNumId w:val="21"/>
  </w:num>
  <w:num w:numId="21" w16cid:durableId="1983273177">
    <w:abstractNumId w:val="7"/>
  </w:num>
  <w:num w:numId="22" w16cid:durableId="294720600">
    <w:abstractNumId w:val="16"/>
  </w:num>
  <w:num w:numId="23" w16cid:durableId="308286462">
    <w:abstractNumId w:val="13"/>
  </w:num>
  <w:num w:numId="24" w16cid:durableId="849220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74"/>
    <w:rsid w:val="00217765"/>
    <w:rsid w:val="00DB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5DB6"/>
  <w15:chartTrackingRefBased/>
  <w15:docId w15:val="{5AEB7631-99F9-4F78-A37B-FE3DC28C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74"/>
    <w:rPr>
      <w:rFonts w:eastAsiaTheme="majorEastAsia" w:cstheme="majorBidi"/>
      <w:color w:val="272727" w:themeColor="text1" w:themeTint="D8"/>
    </w:rPr>
  </w:style>
  <w:style w:type="paragraph" w:styleId="Title">
    <w:name w:val="Title"/>
    <w:basedOn w:val="Normal"/>
    <w:next w:val="Normal"/>
    <w:link w:val="TitleChar"/>
    <w:uiPriority w:val="10"/>
    <w:qFormat/>
    <w:rsid w:val="00DB7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74"/>
    <w:pPr>
      <w:spacing w:before="160"/>
      <w:jc w:val="center"/>
    </w:pPr>
    <w:rPr>
      <w:i/>
      <w:iCs/>
      <w:color w:val="404040" w:themeColor="text1" w:themeTint="BF"/>
    </w:rPr>
  </w:style>
  <w:style w:type="character" w:customStyle="1" w:styleId="QuoteChar">
    <w:name w:val="Quote Char"/>
    <w:basedOn w:val="DefaultParagraphFont"/>
    <w:link w:val="Quote"/>
    <w:uiPriority w:val="29"/>
    <w:rsid w:val="00DB7A74"/>
    <w:rPr>
      <w:i/>
      <w:iCs/>
      <w:color w:val="404040" w:themeColor="text1" w:themeTint="BF"/>
    </w:rPr>
  </w:style>
  <w:style w:type="paragraph" w:styleId="ListParagraph">
    <w:name w:val="List Paragraph"/>
    <w:basedOn w:val="Normal"/>
    <w:uiPriority w:val="34"/>
    <w:qFormat/>
    <w:rsid w:val="00DB7A74"/>
    <w:pPr>
      <w:ind w:left="720"/>
      <w:contextualSpacing/>
    </w:pPr>
  </w:style>
  <w:style w:type="character" w:styleId="IntenseEmphasis">
    <w:name w:val="Intense Emphasis"/>
    <w:basedOn w:val="DefaultParagraphFont"/>
    <w:uiPriority w:val="21"/>
    <w:qFormat/>
    <w:rsid w:val="00DB7A74"/>
    <w:rPr>
      <w:i/>
      <w:iCs/>
      <w:color w:val="0F4761" w:themeColor="accent1" w:themeShade="BF"/>
    </w:rPr>
  </w:style>
  <w:style w:type="paragraph" w:styleId="IntenseQuote">
    <w:name w:val="Intense Quote"/>
    <w:basedOn w:val="Normal"/>
    <w:next w:val="Normal"/>
    <w:link w:val="IntenseQuoteChar"/>
    <w:uiPriority w:val="30"/>
    <w:qFormat/>
    <w:rsid w:val="00DB7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A74"/>
    <w:rPr>
      <w:i/>
      <w:iCs/>
      <w:color w:val="0F4761" w:themeColor="accent1" w:themeShade="BF"/>
    </w:rPr>
  </w:style>
  <w:style w:type="character" w:styleId="IntenseReference">
    <w:name w:val="Intense Reference"/>
    <w:basedOn w:val="DefaultParagraphFont"/>
    <w:uiPriority w:val="32"/>
    <w:qFormat/>
    <w:rsid w:val="00DB7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2026-05-26T05:11:00Z</dcterms:created>
  <dcterms:modified xsi:type="dcterms:W3CDTF">2026-05-26T05:12:00Z</dcterms:modified>
</cp:coreProperties>
</file>