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A770C" w14:textId="77777777" w:rsidR="009067C4" w:rsidRPr="009067C4" w:rsidRDefault="009067C4" w:rsidP="009067C4">
      <w:pPr>
        <w:rPr>
          <w:b/>
          <w:bCs/>
        </w:rPr>
      </w:pPr>
      <w:r w:rsidRPr="009067C4">
        <w:rPr>
          <w:b/>
          <w:bCs/>
        </w:rPr>
        <w:t xml:space="preserve">[Facility </w:t>
      </w:r>
      <w:proofErr w:type="gramStart"/>
      <w:r w:rsidRPr="009067C4">
        <w:rPr>
          <w:b/>
          <w:bCs/>
        </w:rPr>
        <w:t>Name] —</w:t>
      </w:r>
      <w:proofErr w:type="gramEnd"/>
      <w:r w:rsidRPr="009067C4">
        <w:rPr>
          <w:b/>
          <w:bCs/>
        </w:rPr>
        <w:t xml:space="preserve"> Cultural Diversity and Inclusion Policy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2"/>
        <w:gridCol w:w="3375"/>
        <w:gridCol w:w="1418"/>
        <w:gridCol w:w="1612"/>
      </w:tblGrid>
      <w:tr w:rsidR="009067C4" w:rsidRPr="009067C4" w14:paraId="11FDF01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55EAB6" w14:textId="77777777" w:rsidR="009067C4" w:rsidRPr="009067C4" w:rsidRDefault="009067C4" w:rsidP="009067C4">
            <w:pPr>
              <w:rPr>
                <w:b/>
                <w:bCs/>
              </w:rPr>
            </w:pPr>
            <w:r w:rsidRPr="009067C4">
              <w:rPr>
                <w:b/>
                <w:bCs/>
              </w:rPr>
              <w:t>Policy Number</w:t>
            </w:r>
          </w:p>
        </w:tc>
        <w:tc>
          <w:tcPr>
            <w:tcW w:w="0" w:type="auto"/>
            <w:vAlign w:val="center"/>
            <w:hideMark/>
          </w:tcPr>
          <w:p w14:paraId="411A42C6" w14:textId="77777777" w:rsidR="009067C4" w:rsidRPr="009067C4" w:rsidRDefault="009067C4" w:rsidP="009067C4">
            <w:r w:rsidRPr="009067C4">
              <w:t>[e.g. CR-002]</w:t>
            </w:r>
          </w:p>
        </w:tc>
        <w:tc>
          <w:tcPr>
            <w:tcW w:w="0" w:type="auto"/>
            <w:vAlign w:val="center"/>
            <w:hideMark/>
          </w:tcPr>
          <w:p w14:paraId="27808D1C" w14:textId="77777777" w:rsidR="009067C4" w:rsidRPr="009067C4" w:rsidRDefault="009067C4" w:rsidP="009067C4">
            <w:pPr>
              <w:rPr>
                <w:b/>
                <w:bCs/>
              </w:rPr>
            </w:pPr>
            <w:r w:rsidRPr="009067C4">
              <w:rPr>
                <w:b/>
                <w:bCs/>
              </w:rPr>
              <w:t>Version</w:t>
            </w:r>
          </w:p>
        </w:tc>
        <w:tc>
          <w:tcPr>
            <w:tcW w:w="0" w:type="auto"/>
            <w:vAlign w:val="center"/>
            <w:hideMark/>
          </w:tcPr>
          <w:p w14:paraId="09B22339" w14:textId="77777777" w:rsidR="009067C4" w:rsidRPr="009067C4" w:rsidRDefault="009067C4" w:rsidP="009067C4">
            <w:r w:rsidRPr="009067C4">
              <w:t>1.0</w:t>
            </w:r>
          </w:p>
        </w:tc>
      </w:tr>
      <w:tr w:rsidR="009067C4" w:rsidRPr="009067C4" w14:paraId="5F4EC6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F0668A" w14:textId="77777777" w:rsidR="009067C4" w:rsidRPr="009067C4" w:rsidRDefault="009067C4" w:rsidP="009067C4">
            <w:pPr>
              <w:rPr>
                <w:b/>
                <w:bCs/>
              </w:rPr>
            </w:pPr>
            <w:r w:rsidRPr="009067C4">
              <w:rPr>
                <w:b/>
                <w:bCs/>
              </w:rPr>
              <w:t>Effective Date</w:t>
            </w:r>
          </w:p>
        </w:tc>
        <w:tc>
          <w:tcPr>
            <w:tcW w:w="0" w:type="auto"/>
            <w:vAlign w:val="center"/>
            <w:hideMark/>
          </w:tcPr>
          <w:p w14:paraId="029AA137" w14:textId="77777777" w:rsidR="009067C4" w:rsidRPr="009067C4" w:rsidRDefault="009067C4" w:rsidP="009067C4">
            <w:r w:rsidRPr="009067C4">
              <w:t>[DD/MM/YYYY]</w:t>
            </w:r>
          </w:p>
        </w:tc>
        <w:tc>
          <w:tcPr>
            <w:tcW w:w="0" w:type="auto"/>
            <w:vAlign w:val="center"/>
            <w:hideMark/>
          </w:tcPr>
          <w:p w14:paraId="01276FBC" w14:textId="77777777" w:rsidR="009067C4" w:rsidRPr="009067C4" w:rsidRDefault="009067C4" w:rsidP="009067C4">
            <w:pPr>
              <w:rPr>
                <w:b/>
                <w:bCs/>
              </w:rPr>
            </w:pPr>
            <w:r w:rsidRPr="009067C4">
              <w:rPr>
                <w:b/>
                <w:bCs/>
              </w:rPr>
              <w:t>Review Date</w:t>
            </w:r>
          </w:p>
        </w:tc>
        <w:tc>
          <w:tcPr>
            <w:tcW w:w="0" w:type="auto"/>
            <w:vAlign w:val="center"/>
            <w:hideMark/>
          </w:tcPr>
          <w:p w14:paraId="60F62DFA" w14:textId="77777777" w:rsidR="009067C4" w:rsidRPr="009067C4" w:rsidRDefault="009067C4" w:rsidP="009067C4">
            <w:r w:rsidRPr="009067C4">
              <w:t>[DD/MM/YYYY]</w:t>
            </w:r>
          </w:p>
        </w:tc>
      </w:tr>
      <w:tr w:rsidR="009067C4" w:rsidRPr="009067C4" w14:paraId="0789CB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305E28" w14:textId="77777777" w:rsidR="009067C4" w:rsidRPr="009067C4" w:rsidRDefault="009067C4" w:rsidP="009067C4">
            <w:pPr>
              <w:rPr>
                <w:b/>
                <w:bCs/>
              </w:rPr>
            </w:pPr>
            <w:r w:rsidRPr="009067C4">
              <w:rPr>
                <w:b/>
                <w:bCs/>
              </w:rPr>
              <w:t>Policy Owner</w:t>
            </w:r>
          </w:p>
        </w:tc>
        <w:tc>
          <w:tcPr>
            <w:tcW w:w="0" w:type="auto"/>
            <w:vAlign w:val="center"/>
            <w:hideMark/>
          </w:tcPr>
          <w:p w14:paraId="16991C1F" w14:textId="77777777" w:rsidR="009067C4" w:rsidRPr="009067C4" w:rsidRDefault="009067C4" w:rsidP="009067C4">
            <w:r w:rsidRPr="009067C4">
              <w:t>Facility Manager / Diversity Lead</w:t>
            </w:r>
          </w:p>
        </w:tc>
        <w:tc>
          <w:tcPr>
            <w:tcW w:w="0" w:type="auto"/>
            <w:vAlign w:val="center"/>
            <w:hideMark/>
          </w:tcPr>
          <w:p w14:paraId="0AD880D8" w14:textId="77777777" w:rsidR="009067C4" w:rsidRPr="009067C4" w:rsidRDefault="009067C4" w:rsidP="009067C4">
            <w:pPr>
              <w:rPr>
                <w:b/>
                <w:bCs/>
              </w:rPr>
            </w:pPr>
            <w:r w:rsidRPr="009067C4">
              <w:rPr>
                <w:b/>
                <w:bCs/>
              </w:rPr>
              <w:t>Approved By</w:t>
            </w:r>
          </w:p>
        </w:tc>
        <w:tc>
          <w:tcPr>
            <w:tcW w:w="0" w:type="auto"/>
            <w:vAlign w:val="center"/>
            <w:hideMark/>
          </w:tcPr>
          <w:p w14:paraId="2ED39F0F" w14:textId="77777777" w:rsidR="009067C4" w:rsidRPr="009067C4" w:rsidRDefault="009067C4" w:rsidP="009067C4">
            <w:r w:rsidRPr="009067C4">
              <w:t>[CEO / Board]</w:t>
            </w:r>
          </w:p>
        </w:tc>
      </w:tr>
    </w:tbl>
    <w:p w14:paraId="4C6230BF" w14:textId="77777777" w:rsidR="009067C4" w:rsidRPr="009067C4" w:rsidRDefault="009067C4" w:rsidP="009067C4">
      <w:pPr>
        <w:rPr>
          <w:b/>
          <w:bCs/>
        </w:rPr>
      </w:pPr>
      <w:r w:rsidRPr="009067C4">
        <w:rPr>
          <w:b/>
          <w:bCs/>
        </w:rPr>
        <w:t>1. Purpose</w:t>
      </w:r>
    </w:p>
    <w:p w14:paraId="6DF4F8CF" w14:textId="77777777" w:rsidR="009067C4" w:rsidRPr="009067C4" w:rsidRDefault="009067C4" w:rsidP="009067C4">
      <w:r w:rsidRPr="009067C4">
        <w:t xml:space="preserve">This policy establishes [Facility Name]'s commitment to providing inclusive, culturally safe, and responsive care and services to all residents, regardless of their cultural background, language, religion, or heritage. It ensures that cultural identity is </w:t>
      </w:r>
      <w:proofErr w:type="spellStart"/>
      <w:r w:rsidRPr="009067C4">
        <w:t>recognised</w:t>
      </w:r>
      <w:proofErr w:type="spellEnd"/>
      <w:r w:rsidRPr="009067C4">
        <w:t xml:space="preserve"> as a fundamental aspect of each resident's personhood and is integrated into all aspects of care planning and delivery.</w:t>
      </w:r>
    </w:p>
    <w:p w14:paraId="69FA0CD7" w14:textId="77777777" w:rsidR="009067C4" w:rsidRPr="009067C4" w:rsidRDefault="009067C4" w:rsidP="009067C4">
      <w:pPr>
        <w:rPr>
          <w:b/>
          <w:bCs/>
        </w:rPr>
      </w:pPr>
      <w:r w:rsidRPr="009067C4">
        <w:rPr>
          <w:b/>
          <w:bCs/>
        </w:rPr>
        <w:t>2. Scope</w:t>
      </w:r>
    </w:p>
    <w:p w14:paraId="38CB86D2" w14:textId="77777777" w:rsidR="009067C4" w:rsidRPr="009067C4" w:rsidRDefault="009067C4" w:rsidP="009067C4">
      <w:r w:rsidRPr="009067C4">
        <w:t>This policy applies to all staff, contractors, and volunteers at [Facility Name] and covers all residents, including those from CALD backgrounds, Aboriginal and Torres Strait Islander communities, and LGBTQ+ communities.</w:t>
      </w:r>
    </w:p>
    <w:p w14:paraId="730003A6" w14:textId="77777777" w:rsidR="009067C4" w:rsidRPr="009067C4" w:rsidRDefault="009067C4" w:rsidP="009067C4">
      <w:pPr>
        <w:rPr>
          <w:b/>
          <w:bCs/>
        </w:rPr>
      </w:pPr>
      <w:r w:rsidRPr="009067C4">
        <w:rPr>
          <w:b/>
          <w:bCs/>
        </w:rPr>
        <w:t>3. Policy Statement</w:t>
      </w:r>
    </w:p>
    <w:p w14:paraId="6298DD94" w14:textId="77777777" w:rsidR="009067C4" w:rsidRPr="009067C4" w:rsidRDefault="009067C4" w:rsidP="009067C4">
      <w:r w:rsidRPr="009067C4">
        <w:t>[Facility Name] celebrates the cultural diversity of our residents, staff, and community. We are committed to:</w:t>
      </w:r>
    </w:p>
    <w:p w14:paraId="1D7974B9" w14:textId="77777777" w:rsidR="009067C4" w:rsidRPr="009067C4" w:rsidRDefault="009067C4" w:rsidP="009067C4">
      <w:pPr>
        <w:numPr>
          <w:ilvl w:val="0"/>
          <w:numId w:val="10"/>
        </w:numPr>
      </w:pPr>
      <w:r w:rsidRPr="009067C4">
        <w:t>Delivering care that is responsive to each resident's cultural identity, language preferences, and spiritual beliefs</w:t>
      </w:r>
    </w:p>
    <w:p w14:paraId="577F9DA5" w14:textId="77777777" w:rsidR="009067C4" w:rsidRPr="009067C4" w:rsidRDefault="009067C4" w:rsidP="009067C4">
      <w:pPr>
        <w:numPr>
          <w:ilvl w:val="0"/>
          <w:numId w:val="10"/>
        </w:numPr>
      </w:pPr>
      <w:r w:rsidRPr="009067C4">
        <w:t>Ensuring all residents have equal access to care and services regardless of their background</w:t>
      </w:r>
    </w:p>
    <w:p w14:paraId="55CFA4DF" w14:textId="77777777" w:rsidR="009067C4" w:rsidRPr="009067C4" w:rsidRDefault="009067C4" w:rsidP="009067C4">
      <w:pPr>
        <w:numPr>
          <w:ilvl w:val="0"/>
          <w:numId w:val="10"/>
        </w:numPr>
      </w:pPr>
      <w:r w:rsidRPr="009067C4">
        <w:t>Embedding cultural competency into staff recruitment, induction, and ongoing training</w:t>
      </w:r>
    </w:p>
    <w:p w14:paraId="19F4E85D" w14:textId="77777777" w:rsidR="009067C4" w:rsidRPr="009067C4" w:rsidRDefault="009067C4" w:rsidP="009067C4">
      <w:pPr>
        <w:numPr>
          <w:ilvl w:val="0"/>
          <w:numId w:val="10"/>
        </w:numPr>
      </w:pPr>
      <w:r w:rsidRPr="009067C4">
        <w:t>Providing a culturally safe environment where residents feel respected, seen, and valued</w:t>
      </w:r>
    </w:p>
    <w:p w14:paraId="6382FA18" w14:textId="77777777" w:rsidR="009067C4" w:rsidRPr="009067C4" w:rsidRDefault="009067C4" w:rsidP="009067C4">
      <w:pPr>
        <w:numPr>
          <w:ilvl w:val="0"/>
          <w:numId w:val="10"/>
        </w:numPr>
      </w:pPr>
      <w:r w:rsidRPr="009067C4">
        <w:t>Upholding the rights and cultural connections of Aboriginal and Torres Strait Islander residents</w:t>
      </w:r>
    </w:p>
    <w:p w14:paraId="32C16168" w14:textId="77777777" w:rsidR="009067C4" w:rsidRPr="009067C4" w:rsidRDefault="009067C4" w:rsidP="009067C4">
      <w:pPr>
        <w:rPr>
          <w:b/>
          <w:bCs/>
        </w:rPr>
      </w:pPr>
      <w:r w:rsidRPr="009067C4">
        <w:rPr>
          <w:b/>
          <w:bCs/>
        </w:rPr>
        <w:t>4. Definitions</w:t>
      </w:r>
    </w:p>
    <w:p w14:paraId="3FC2A1D5" w14:textId="77777777" w:rsidR="009067C4" w:rsidRPr="009067C4" w:rsidRDefault="009067C4" w:rsidP="009067C4">
      <w:pPr>
        <w:numPr>
          <w:ilvl w:val="0"/>
          <w:numId w:val="11"/>
        </w:numPr>
      </w:pPr>
      <w:r w:rsidRPr="009067C4">
        <w:rPr>
          <w:b/>
          <w:bCs/>
        </w:rPr>
        <w:t>Cultural diversity:</w:t>
      </w:r>
      <w:r w:rsidRPr="009067C4">
        <w:t xml:space="preserve"> The variety of cultural groups, languages, religions, and traditions represented within a community or </w:t>
      </w:r>
      <w:proofErr w:type="spellStart"/>
      <w:r w:rsidRPr="009067C4">
        <w:t>organisation</w:t>
      </w:r>
      <w:proofErr w:type="spellEnd"/>
      <w:r w:rsidRPr="009067C4">
        <w:t>.</w:t>
      </w:r>
    </w:p>
    <w:p w14:paraId="28C7340F" w14:textId="77777777" w:rsidR="009067C4" w:rsidRPr="009067C4" w:rsidRDefault="009067C4" w:rsidP="009067C4">
      <w:pPr>
        <w:numPr>
          <w:ilvl w:val="0"/>
          <w:numId w:val="11"/>
        </w:numPr>
      </w:pPr>
      <w:r w:rsidRPr="009067C4">
        <w:rPr>
          <w:b/>
          <w:bCs/>
        </w:rPr>
        <w:lastRenderedPageBreak/>
        <w:t>CALD (Culturally and Linguistically Diverse):</w:t>
      </w:r>
      <w:r w:rsidRPr="009067C4">
        <w:t> Refers to people from non-English speaking backgrounds or with cultural traditions distinct from the mainstream Australian culture.</w:t>
      </w:r>
    </w:p>
    <w:p w14:paraId="7D24E874" w14:textId="77777777" w:rsidR="009067C4" w:rsidRPr="009067C4" w:rsidRDefault="009067C4" w:rsidP="009067C4">
      <w:pPr>
        <w:numPr>
          <w:ilvl w:val="0"/>
          <w:numId w:val="11"/>
        </w:numPr>
      </w:pPr>
      <w:r w:rsidRPr="009067C4">
        <w:rPr>
          <w:b/>
          <w:bCs/>
        </w:rPr>
        <w:t>Cultural safety:</w:t>
      </w:r>
      <w:r w:rsidRPr="009067C4">
        <w:t> An environment that is spiritually, socially, and emotionally safe — free from discrimination and denial of identity.</w:t>
      </w:r>
    </w:p>
    <w:p w14:paraId="0BF6B583" w14:textId="77777777" w:rsidR="009067C4" w:rsidRPr="009067C4" w:rsidRDefault="009067C4" w:rsidP="009067C4">
      <w:pPr>
        <w:numPr>
          <w:ilvl w:val="0"/>
          <w:numId w:val="11"/>
        </w:numPr>
      </w:pPr>
      <w:r w:rsidRPr="009067C4">
        <w:rPr>
          <w:b/>
          <w:bCs/>
        </w:rPr>
        <w:t>Interpreter services:</w:t>
      </w:r>
      <w:r w:rsidRPr="009067C4">
        <w:t> Professional translation and interpretation services used to support communication with residents whose primary language is not English.</w:t>
      </w:r>
    </w:p>
    <w:p w14:paraId="129E1060" w14:textId="77777777" w:rsidR="009067C4" w:rsidRPr="009067C4" w:rsidRDefault="009067C4" w:rsidP="009067C4">
      <w:pPr>
        <w:rPr>
          <w:b/>
          <w:bCs/>
        </w:rPr>
      </w:pPr>
      <w:r w:rsidRPr="009067C4">
        <w:rPr>
          <w:b/>
          <w:bCs/>
        </w:rPr>
        <w:t>5. Procedures</w:t>
      </w:r>
    </w:p>
    <w:p w14:paraId="54E6E5AD" w14:textId="77777777" w:rsidR="009067C4" w:rsidRPr="009067C4" w:rsidRDefault="009067C4" w:rsidP="009067C4">
      <w:pPr>
        <w:rPr>
          <w:b/>
          <w:bCs/>
        </w:rPr>
      </w:pPr>
      <w:r w:rsidRPr="009067C4">
        <w:rPr>
          <w:b/>
          <w:bCs/>
        </w:rPr>
        <w:t>5.1 Cultural Assessment on Admission</w:t>
      </w:r>
    </w:p>
    <w:p w14:paraId="3905FD88" w14:textId="77777777" w:rsidR="009067C4" w:rsidRPr="009067C4" w:rsidRDefault="009067C4" w:rsidP="009067C4">
      <w:pPr>
        <w:numPr>
          <w:ilvl w:val="0"/>
          <w:numId w:val="12"/>
        </w:numPr>
      </w:pPr>
      <w:r w:rsidRPr="009067C4">
        <w:t>A cultural assessment will be completed for all residents as part of the admission and care planning process.</w:t>
      </w:r>
    </w:p>
    <w:p w14:paraId="35DC2286" w14:textId="77777777" w:rsidR="009067C4" w:rsidRPr="009067C4" w:rsidRDefault="009067C4" w:rsidP="009067C4">
      <w:pPr>
        <w:numPr>
          <w:ilvl w:val="0"/>
          <w:numId w:val="12"/>
        </w:numPr>
      </w:pPr>
      <w:r w:rsidRPr="009067C4">
        <w:t xml:space="preserve">The assessment will </w:t>
      </w:r>
      <w:proofErr w:type="gramStart"/>
      <w:r w:rsidRPr="009067C4">
        <w:t>identify:</w:t>
      </w:r>
      <w:proofErr w:type="gramEnd"/>
      <w:r w:rsidRPr="009067C4">
        <w:t xml:space="preserve"> primary language; cultural background and identity; religious or spiritual beliefs and practices; dietary requirements and food preferences; cultural practices relevant to daily care (e.g. personal hygiene, dress, gender preferences for carers); significant cultural dates, observances, and traditions.</w:t>
      </w:r>
    </w:p>
    <w:p w14:paraId="59253988" w14:textId="77777777" w:rsidR="009067C4" w:rsidRPr="009067C4" w:rsidRDefault="009067C4" w:rsidP="009067C4">
      <w:pPr>
        <w:numPr>
          <w:ilvl w:val="0"/>
          <w:numId w:val="12"/>
        </w:numPr>
      </w:pPr>
      <w:r w:rsidRPr="009067C4">
        <w:t>Assessment information will be documented in the care plan and shared with the care team.</w:t>
      </w:r>
    </w:p>
    <w:p w14:paraId="041D01DB" w14:textId="77777777" w:rsidR="009067C4" w:rsidRPr="009067C4" w:rsidRDefault="009067C4" w:rsidP="009067C4">
      <w:pPr>
        <w:rPr>
          <w:b/>
          <w:bCs/>
        </w:rPr>
      </w:pPr>
      <w:r w:rsidRPr="009067C4">
        <w:rPr>
          <w:b/>
          <w:bCs/>
        </w:rPr>
        <w:t>5.2 Language Access and Communication</w:t>
      </w:r>
    </w:p>
    <w:p w14:paraId="67DCF42A" w14:textId="77777777" w:rsidR="009067C4" w:rsidRPr="009067C4" w:rsidRDefault="009067C4" w:rsidP="009067C4">
      <w:pPr>
        <w:numPr>
          <w:ilvl w:val="0"/>
          <w:numId w:val="13"/>
        </w:numPr>
      </w:pPr>
      <w:r w:rsidRPr="009067C4">
        <w:t>Interpreter services will be arranged for all residents whose primary language is not English, including for care planning meetings, consent discussions, and health appointments.</w:t>
      </w:r>
    </w:p>
    <w:p w14:paraId="228FE5A6" w14:textId="77777777" w:rsidR="009067C4" w:rsidRPr="009067C4" w:rsidRDefault="009067C4" w:rsidP="009067C4">
      <w:pPr>
        <w:numPr>
          <w:ilvl w:val="0"/>
          <w:numId w:val="13"/>
        </w:numPr>
      </w:pPr>
      <w:r w:rsidRPr="009067C4">
        <w:t>Professional interpreter services (not family members) will be used for clinical and sensitive conversations wherever possible.</w:t>
      </w:r>
    </w:p>
    <w:p w14:paraId="0569C47C" w14:textId="77777777" w:rsidR="009067C4" w:rsidRPr="009067C4" w:rsidRDefault="009067C4" w:rsidP="009067C4">
      <w:pPr>
        <w:numPr>
          <w:ilvl w:val="0"/>
          <w:numId w:val="13"/>
        </w:numPr>
      </w:pPr>
      <w:r w:rsidRPr="009067C4">
        <w:t>Key information (admission documents, rights information, complaint processes) will be made available in the resident's preferred language where practicable.</w:t>
      </w:r>
    </w:p>
    <w:p w14:paraId="45A37ED8" w14:textId="77777777" w:rsidR="009067C4" w:rsidRPr="009067C4" w:rsidRDefault="009067C4" w:rsidP="009067C4">
      <w:pPr>
        <w:rPr>
          <w:b/>
          <w:bCs/>
        </w:rPr>
      </w:pPr>
      <w:proofErr w:type="gramStart"/>
      <w:r w:rsidRPr="009067C4">
        <w:rPr>
          <w:b/>
          <w:bCs/>
        </w:rPr>
        <w:t>5.3 Care</w:t>
      </w:r>
      <w:proofErr w:type="gramEnd"/>
      <w:r w:rsidRPr="009067C4">
        <w:rPr>
          <w:b/>
          <w:bCs/>
        </w:rPr>
        <w:t xml:space="preserve"> Planning for Cultural Needs</w:t>
      </w:r>
    </w:p>
    <w:p w14:paraId="2C460E58" w14:textId="77777777" w:rsidR="009067C4" w:rsidRPr="009067C4" w:rsidRDefault="009067C4" w:rsidP="009067C4">
      <w:pPr>
        <w:numPr>
          <w:ilvl w:val="0"/>
          <w:numId w:val="14"/>
        </w:numPr>
      </w:pPr>
      <w:r w:rsidRPr="009067C4">
        <w:t>Cultural preferences will be documented in the resident's care plan and reviewed at each care plan review.</w:t>
      </w:r>
    </w:p>
    <w:p w14:paraId="16A112B3" w14:textId="77777777" w:rsidR="009067C4" w:rsidRPr="009067C4" w:rsidRDefault="009067C4" w:rsidP="009067C4">
      <w:pPr>
        <w:numPr>
          <w:ilvl w:val="0"/>
          <w:numId w:val="14"/>
        </w:numPr>
      </w:pPr>
      <w:r w:rsidRPr="009067C4">
        <w:t>Dietary requirements based on cultural or religious practice (e.g. halal, kosher, vegetarian) will be accommodated.</w:t>
      </w:r>
    </w:p>
    <w:p w14:paraId="3C571081" w14:textId="77777777" w:rsidR="009067C4" w:rsidRPr="009067C4" w:rsidRDefault="009067C4" w:rsidP="009067C4">
      <w:pPr>
        <w:numPr>
          <w:ilvl w:val="0"/>
          <w:numId w:val="14"/>
        </w:numPr>
      </w:pPr>
      <w:r w:rsidRPr="009067C4">
        <w:lastRenderedPageBreak/>
        <w:t>Residents will be supported to observe religious practices, including prayer, worship, and access to spiritual leaders.</w:t>
      </w:r>
    </w:p>
    <w:p w14:paraId="7320F688" w14:textId="77777777" w:rsidR="009067C4" w:rsidRPr="009067C4" w:rsidRDefault="009067C4" w:rsidP="009067C4">
      <w:pPr>
        <w:numPr>
          <w:ilvl w:val="0"/>
          <w:numId w:val="14"/>
        </w:numPr>
      </w:pPr>
      <w:r w:rsidRPr="009067C4">
        <w:t>Gender preferences for personal care will be respected and documented.</w:t>
      </w:r>
    </w:p>
    <w:p w14:paraId="529EBF28" w14:textId="77777777" w:rsidR="009067C4" w:rsidRPr="009067C4" w:rsidRDefault="009067C4" w:rsidP="009067C4">
      <w:pPr>
        <w:rPr>
          <w:b/>
          <w:bCs/>
        </w:rPr>
      </w:pPr>
      <w:r w:rsidRPr="009067C4">
        <w:rPr>
          <w:b/>
          <w:bCs/>
        </w:rPr>
        <w:t>5.4 Aboriginal and Torres Strait Islander Residents</w:t>
      </w:r>
    </w:p>
    <w:p w14:paraId="2F185632" w14:textId="77777777" w:rsidR="009067C4" w:rsidRPr="009067C4" w:rsidRDefault="009067C4" w:rsidP="009067C4">
      <w:pPr>
        <w:numPr>
          <w:ilvl w:val="0"/>
          <w:numId w:val="15"/>
        </w:numPr>
      </w:pPr>
      <w:r w:rsidRPr="009067C4">
        <w:t>[Facility Name] acknowledges the unique cultural heritage of Aboriginal and Torres Strait Islander peoples.</w:t>
      </w:r>
    </w:p>
    <w:p w14:paraId="53AF8EE2" w14:textId="77777777" w:rsidR="009067C4" w:rsidRPr="009067C4" w:rsidRDefault="009067C4" w:rsidP="009067C4">
      <w:pPr>
        <w:numPr>
          <w:ilvl w:val="0"/>
          <w:numId w:val="15"/>
        </w:numPr>
      </w:pPr>
      <w:r w:rsidRPr="009067C4">
        <w:t>The care of Aboriginal and Torres Strait Islander residents will reflect cultural protocols, family and community connections, and connection to country.</w:t>
      </w:r>
    </w:p>
    <w:p w14:paraId="11096253" w14:textId="77777777" w:rsidR="009067C4" w:rsidRPr="009067C4" w:rsidRDefault="009067C4" w:rsidP="009067C4">
      <w:pPr>
        <w:numPr>
          <w:ilvl w:val="0"/>
          <w:numId w:val="15"/>
        </w:numPr>
      </w:pPr>
      <w:r w:rsidRPr="009067C4">
        <w:t>Where possible, Aboriginal and Torres Strait Islander cultural support workers or liaison officers will be engaged.</w:t>
      </w:r>
    </w:p>
    <w:p w14:paraId="300DC50C" w14:textId="77777777" w:rsidR="009067C4" w:rsidRPr="009067C4" w:rsidRDefault="009067C4" w:rsidP="009067C4">
      <w:pPr>
        <w:numPr>
          <w:ilvl w:val="0"/>
          <w:numId w:val="15"/>
        </w:numPr>
      </w:pPr>
      <w:r w:rsidRPr="009067C4">
        <w:t>[Facility Name] will display an Acknowledgement of Country and a Reconciliation commitment.</w:t>
      </w:r>
    </w:p>
    <w:p w14:paraId="1B4D2E5C" w14:textId="77777777" w:rsidR="009067C4" w:rsidRPr="009067C4" w:rsidRDefault="009067C4" w:rsidP="009067C4">
      <w:pPr>
        <w:rPr>
          <w:b/>
          <w:bCs/>
        </w:rPr>
      </w:pPr>
      <w:r w:rsidRPr="009067C4">
        <w:rPr>
          <w:b/>
          <w:bCs/>
        </w:rPr>
        <w:t>5.5 Staff Training</w:t>
      </w:r>
    </w:p>
    <w:p w14:paraId="7AF84075" w14:textId="77777777" w:rsidR="009067C4" w:rsidRPr="009067C4" w:rsidRDefault="009067C4" w:rsidP="009067C4">
      <w:pPr>
        <w:numPr>
          <w:ilvl w:val="0"/>
          <w:numId w:val="16"/>
        </w:numPr>
      </w:pPr>
      <w:r w:rsidRPr="009067C4">
        <w:t xml:space="preserve">All staff will complete cultural competency training </w:t>
      </w:r>
      <w:proofErr w:type="gramStart"/>
      <w:r w:rsidRPr="009067C4">
        <w:t>on</w:t>
      </w:r>
      <w:proofErr w:type="gramEnd"/>
      <w:r w:rsidRPr="009067C4">
        <w:t xml:space="preserve"> induction and at least every [X] </w:t>
      </w:r>
      <w:proofErr w:type="gramStart"/>
      <w:r w:rsidRPr="009067C4">
        <w:t>years</w:t>
      </w:r>
      <w:proofErr w:type="gramEnd"/>
      <w:r w:rsidRPr="009067C4">
        <w:t>.</w:t>
      </w:r>
    </w:p>
    <w:p w14:paraId="20CDBBD2" w14:textId="77777777" w:rsidR="009067C4" w:rsidRPr="009067C4" w:rsidRDefault="009067C4" w:rsidP="009067C4">
      <w:pPr>
        <w:numPr>
          <w:ilvl w:val="0"/>
          <w:numId w:val="16"/>
        </w:numPr>
      </w:pPr>
      <w:r w:rsidRPr="009067C4">
        <w:t>Training will include understanding cultural diversity, unconscious bias, and how to access interpreter services.</w:t>
      </w:r>
    </w:p>
    <w:p w14:paraId="0FAB2FBF" w14:textId="77777777" w:rsidR="009067C4" w:rsidRPr="009067C4" w:rsidRDefault="009067C4" w:rsidP="009067C4">
      <w:pPr>
        <w:numPr>
          <w:ilvl w:val="0"/>
          <w:numId w:val="16"/>
        </w:numPr>
      </w:pPr>
      <w:r w:rsidRPr="009067C4">
        <w:t>Senior clinical staff will be encouraged to complete specialist cultural safety training relevant to the resident population served.</w:t>
      </w:r>
    </w:p>
    <w:p w14:paraId="35537EAA" w14:textId="77777777" w:rsidR="009067C4" w:rsidRPr="009067C4" w:rsidRDefault="009067C4" w:rsidP="009067C4">
      <w:pPr>
        <w:rPr>
          <w:b/>
          <w:bCs/>
        </w:rPr>
      </w:pPr>
      <w:r w:rsidRPr="009067C4">
        <w:rPr>
          <w:b/>
          <w:bCs/>
        </w:rPr>
        <w:t>6. Roles and Responsibilities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8"/>
        <w:gridCol w:w="7592"/>
      </w:tblGrid>
      <w:tr w:rsidR="009067C4" w:rsidRPr="009067C4" w14:paraId="1D359409" w14:textId="77777777" w:rsidTr="009067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2F1626" w14:textId="77777777" w:rsidR="009067C4" w:rsidRPr="009067C4" w:rsidRDefault="009067C4" w:rsidP="009067C4">
            <w:pPr>
              <w:rPr>
                <w:b/>
                <w:bCs/>
              </w:rPr>
            </w:pPr>
            <w:r w:rsidRPr="009067C4">
              <w:rPr>
                <w:b/>
                <w:bCs/>
              </w:rPr>
              <w:t>Role</w:t>
            </w:r>
          </w:p>
        </w:tc>
        <w:tc>
          <w:tcPr>
            <w:tcW w:w="0" w:type="auto"/>
            <w:vAlign w:val="center"/>
            <w:hideMark/>
          </w:tcPr>
          <w:p w14:paraId="2C719A34" w14:textId="77777777" w:rsidR="009067C4" w:rsidRPr="009067C4" w:rsidRDefault="009067C4" w:rsidP="009067C4">
            <w:pPr>
              <w:rPr>
                <w:b/>
                <w:bCs/>
              </w:rPr>
            </w:pPr>
            <w:r w:rsidRPr="009067C4">
              <w:rPr>
                <w:b/>
                <w:bCs/>
              </w:rPr>
              <w:t>Responsibility</w:t>
            </w:r>
          </w:p>
        </w:tc>
      </w:tr>
      <w:tr w:rsidR="009067C4" w:rsidRPr="009067C4" w14:paraId="4F60FDF4" w14:textId="77777777" w:rsidTr="009067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7CDA43" w14:textId="77777777" w:rsidR="009067C4" w:rsidRPr="009067C4" w:rsidRDefault="009067C4" w:rsidP="009067C4">
            <w:r w:rsidRPr="009067C4">
              <w:t>Facility Manager</w:t>
            </w:r>
          </w:p>
        </w:tc>
        <w:tc>
          <w:tcPr>
            <w:tcW w:w="0" w:type="auto"/>
            <w:vAlign w:val="center"/>
            <w:hideMark/>
          </w:tcPr>
          <w:p w14:paraId="6FCE10A2" w14:textId="77777777" w:rsidR="009067C4" w:rsidRPr="009067C4" w:rsidRDefault="009067C4" w:rsidP="009067C4">
            <w:r w:rsidRPr="009067C4">
              <w:t>Cultural diversity leadership; resource allocation; community engagement</w:t>
            </w:r>
          </w:p>
        </w:tc>
      </w:tr>
      <w:tr w:rsidR="009067C4" w:rsidRPr="009067C4" w14:paraId="14C2AAF3" w14:textId="77777777" w:rsidTr="009067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FB5115" w14:textId="77777777" w:rsidR="009067C4" w:rsidRPr="009067C4" w:rsidRDefault="009067C4" w:rsidP="009067C4">
            <w:r w:rsidRPr="009067C4">
              <w:t>Care Coordinator</w:t>
            </w:r>
          </w:p>
        </w:tc>
        <w:tc>
          <w:tcPr>
            <w:tcW w:w="0" w:type="auto"/>
            <w:vAlign w:val="center"/>
            <w:hideMark/>
          </w:tcPr>
          <w:p w14:paraId="02626B7F" w14:textId="77777777" w:rsidR="009067C4" w:rsidRPr="009067C4" w:rsidRDefault="009067C4" w:rsidP="009067C4">
            <w:r w:rsidRPr="009067C4">
              <w:t>Cultural assessment at admission; care plan integration</w:t>
            </w:r>
          </w:p>
        </w:tc>
      </w:tr>
      <w:tr w:rsidR="009067C4" w:rsidRPr="009067C4" w14:paraId="649AAD2A" w14:textId="77777777" w:rsidTr="009067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24EE85" w14:textId="77777777" w:rsidR="009067C4" w:rsidRPr="009067C4" w:rsidRDefault="009067C4" w:rsidP="009067C4">
            <w:r w:rsidRPr="009067C4">
              <w:t>All Care Staff</w:t>
            </w:r>
          </w:p>
        </w:tc>
        <w:tc>
          <w:tcPr>
            <w:tcW w:w="0" w:type="auto"/>
            <w:vAlign w:val="center"/>
            <w:hideMark/>
          </w:tcPr>
          <w:p w14:paraId="22DF1E50" w14:textId="77777777" w:rsidR="009067C4" w:rsidRPr="009067C4" w:rsidRDefault="009067C4" w:rsidP="009067C4">
            <w:r w:rsidRPr="009067C4">
              <w:t>Deliver culturally responsive care; access interpreter services; respect cultural preferences</w:t>
            </w:r>
          </w:p>
        </w:tc>
      </w:tr>
      <w:tr w:rsidR="009067C4" w:rsidRPr="009067C4" w14:paraId="02929989" w14:textId="77777777" w:rsidTr="009067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F216C0" w14:textId="77777777" w:rsidR="009067C4" w:rsidRPr="009067C4" w:rsidRDefault="009067C4" w:rsidP="009067C4">
            <w:r w:rsidRPr="009067C4">
              <w:lastRenderedPageBreak/>
              <w:t>Quality Manager</w:t>
            </w:r>
          </w:p>
        </w:tc>
        <w:tc>
          <w:tcPr>
            <w:tcW w:w="0" w:type="auto"/>
            <w:vAlign w:val="center"/>
            <w:hideMark/>
          </w:tcPr>
          <w:p w14:paraId="0E5F8C36" w14:textId="77777777" w:rsidR="009067C4" w:rsidRPr="009067C4" w:rsidRDefault="009067C4" w:rsidP="009067C4">
            <w:r w:rsidRPr="009067C4">
              <w:t>Monitor cultural care outcomes; staff training compliance; policy review</w:t>
            </w:r>
          </w:p>
        </w:tc>
      </w:tr>
    </w:tbl>
    <w:p w14:paraId="4D18CCCC" w14:textId="77777777" w:rsidR="009067C4" w:rsidRPr="009067C4" w:rsidRDefault="009067C4" w:rsidP="009067C4">
      <w:pPr>
        <w:rPr>
          <w:b/>
          <w:bCs/>
        </w:rPr>
      </w:pPr>
      <w:r w:rsidRPr="009067C4">
        <w:rPr>
          <w:b/>
          <w:bCs/>
        </w:rPr>
        <w:t>7. Related Policies</w:t>
      </w:r>
    </w:p>
    <w:p w14:paraId="4B759882" w14:textId="77777777" w:rsidR="009067C4" w:rsidRPr="009067C4" w:rsidRDefault="009067C4" w:rsidP="009067C4">
      <w:pPr>
        <w:numPr>
          <w:ilvl w:val="0"/>
          <w:numId w:val="17"/>
        </w:numPr>
      </w:pPr>
      <w:r w:rsidRPr="009067C4">
        <w:t>Consumer Rights, Dignity and Choice Policy</w:t>
      </w:r>
    </w:p>
    <w:p w14:paraId="7968A15E" w14:textId="77777777" w:rsidR="009067C4" w:rsidRPr="009067C4" w:rsidRDefault="009067C4" w:rsidP="009067C4">
      <w:pPr>
        <w:numPr>
          <w:ilvl w:val="0"/>
          <w:numId w:val="17"/>
        </w:numPr>
      </w:pPr>
      <w:r w:rsidRPr="009067C4">
        <w:t>Feedback and Complaints Management Policy</w:t>
      </w:r>
    </w:p>
    <w:p w14:paraId="3E0393CD" w14:textId="77777777" w:rsidR="009067C4" w:rsidRPr="009067C4" w:rsidRDefault="009067C4" w:rsidP="009067C4">
      <w:pPr>
        <w:numPr>
          <w:ilvl w:val="0"/>
          <w:numId w:val="17"/>
        </w:numPr>
      </w:pPr>
      <w:r w:rsidRPr="009067C4">
        <w:t>Workforce Training and Competency Policy</w:t>
      </w:r>
    </w:p>
    <w:p w14:paraId="2A49F4AB" w14:textId="77777777" w:rsidR="009067C4" w:rsidRPr="009067C4" w:rsidRDefault="009067C4" w:rsidP="009067C4">
      <w:pPr>
        <w:numPr>
          <w:ilvl w:val="0"/>
          <w:numId w:val="17"/>
        </w:numPr>
      </w:pPr>
      <w:r w:rsidRPr="009067C4">
        <w:t>Staff Recruitment and Selection Policy</w:t>
      </w:r>
    </w:p>
    <w:p w14:paraId="723C0BC0" w14:textId="77777777" w:rsidR="009067C4" w:rsidRPr="009067C4" w:rsidRDefault="009067C4" w:rsidP="009067C4">
      <w:pPr>
        <w:rPr>
          <w:b/>
          <w:bCs/>
        </w:rPr>
      </w:pPr>
      <w:r w:rsidRPr="009067C4">
        <w:rPr>
          <w:b/>
          <w:bCs/>
        </w:rPr>
        <w:t>8. Relevant Legislation and Standards</w:t>
      </w:r>
    </w:p>
    <w:p w14:paraId="049BB778" w14:textId="77777777" w:rsidR="009067C4" w:rsidRPr="009067C4" w:rsidRDefault="009067C4" w:rsidP="009067C4">
      <w:pPr>
        <w:numPr>
          <w:ilvl w:val="0"/>
          <w:numId w:val="18"/>
        </w:numPr>
      </w:pPr>
      <w:r w:rsidRPr="009067C4">
        <w:t>Aged Care Act 1997 (</w:t>
      </w:r>
      <w:proofErr w:type="spellStart"/>
      <w:r w:rsidRPr="009067C4">
        <w:t>Cth</w:t>
      </w:r>
      <w:proofErr w:type="spellEnd"/>
      <w:r w:rsidRPr="009067C4">
        <w:t>)</w:t>
      </w:r>
    </w:p>
    <w:p w14:paraId="64DA2DAA" w14:textId="77777777" w:rsidR="009067C4" w:rsidRPr="009067C4" w:rsidRDefault="009067C4" w:rsidP="009067C4">
      <w:pPr>
        <w:numPr>
          <w:ilvl w:val="0"/>
          <w:numId w:val="18"/>
        </w:numPr>
      </w:pPr>
      <w:r w:rsidRPr="009067C4">
        <w:t>Strengthened Aged Care Quality Standards — Standard 1 (The Person), Standard 3 (Care and Services)</w:t>
      </w:r>
    </w:p>
    <w:p w14:paraId="2116C001" w14:textId="77777777" w:rsidR="009067C4" w:rsidRPr="009067C4" w:rsidRDefault="009067C4" w:rsidP="009067C4">
      <w:pPr>
        <w:numPr>
          <w:ilvl w:val="0"/>
          <w:numId w:val="18"/>
        </w:numPr>
      </w:pPr>
      <w:r w:rsidRPr="009067C4">
        <w:t>Racial Discrimination Act 1975 (</w:t>
      </w:r>
      <w:proofErr w:type="spellStart"/>
      <w:r w:rsidRPr="009067C4">
        <w:t>Cth</w:t>
      </w:r>
      <w:proofErr w:type="spellEnd"/>
      <w:r w:rsidRPr="009067C4">
        <w:t>)</w:t>
      </w:r>
    </w:p>
    <w:p w14:paraId="00D0B9C3" w14:textId="77777777" w:rsidR="009067C4" w:rsidRPr="009067C4" w:rsidRDefault="009067C4" w:rsidP="009067C4">
      <w:pPr>
        <w:numPr>
          <w:ilvl w:val="0"/>
          <w:numId w:val="18"/>
        </w:numPr>
      </w:pPr>
      <w:r w:rsidRPr="009067C4">
        <w:t>Age Discrimination Act 2004 (</w:t>
      </w:r>
      <w:proofErr w:type="spellStart"/>
      <w:r w:rsidRPr="009067C4">
        <w:t>Cth</w:t>
      </w:r>
      <w:proofErr w:type="spellEnd"/>
      <w:r w:rsidRPr="009067C4">
        <w:t>)</w:t>
      </w:r>
    </w:p>
    <w:p w14:paraId="627327AF" w14:textId="77777777" w:rsidR="009067C4" w:rsidRPr="009067C4" w:rsidRDefault="009067C4" w:rsidP="009067C4">
      <w:pPr>
        <w:numPr>
          <w:ilvl w:val="0"/>
          <w:numId w:val="18"/>
        </w:numPr>
      </w:pPr>
      <w:r w:rsidRPr="009067C4">
        <w:t>National Aged Care Diversity Framework</w:t>
      </w:r>
    </w:p>
    <w:p w14:paraId="76C6471A" w14:textId="77777777" w:rsidR="009067C4" w:rsidRPr="009067C4" w:rsidRDefault="009067C4" w:rsidP="009067C4">
      <w:pPr>
        <w:numPr>
          <w:ilvl w:val="0"/>
          <w:numId w:val="18"/>
        </w:numPr>
      </w:pPr>
      <w:r w:rsidRPr="009067C4">
        <w:t>Diversity Action Plan — Aged Care Sector</w:t>
      </w:r>
    </w:p>
    <w:p w14:paraId="2FA2B6A5" w14:textId="77777777" w:rsidR="009067C4" w:rsidRPr="009067C4" w:rsidRDefault="009067C4" w:rsidP="009067C4">
      <w:pPr>
        <w:rPr>
          <w:b/>
          <w:bCs/>
        </w:rPr>
      </w:pPr>
      <w:r w:rsidRPr="009067C4">
        <w:rPr>
          <w:b/>
          <w:bCs/>
        </w:rPr>
        <w:t>9. Review and Monitoring</w:t>
      </w:r>
    </w:p>
    <w:p w14:paraId="104597B5" w14:textId="77777777" w:rsidR="009067C4" w:rsidRPr="009067C4" w:rsidRDefault="009067C4" w:rsidP="009067C4">
      <w:r w:rsidRPr="009067C4">
        <w:t>This policy will be reviewed annually or when there is a change in the facility's resident population or relevant legislation. Cultural care outcomes will be monitored through resident satisfaction surveys and care plan audits.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4"/>
        <w:gridCol w:w="555"/>
        <w:gridCol w:w="578"/>
        <w:gridCol w:w="1120"/>
      </w:tblGrid>
      <w:tr w:rsidR="009067C4" w:rsidRPr="009067C4" w14:paraId="4F5D77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D9C455" w14:textId="77777777" w:rsidR="009067C4" w:rsidRPr="009067C4" w:rsidRDefault="009067C4" w:rsidP="009067C4">
            <w:pPr>
              <w:rPr>
                <w:b/>
                <w:bCs/>
              </w:rPr>
            </w:pPr>
            <w:r w:rsidRPr="009067C4">
              <w:rPr>
                <w:b/>
                <w:bCs/>
              </w:rPr>
              <w:t>Reviewed By</w:t>
            </w:r>
          </w:p>
        </w:tc>
        <w:tc>
          <w:tcPr>
            <w:tcW w:w="0" w:type="auto"/>
            <w:vAlign w:val="center"/>
            <w:hideMark/>
          </w:tcPr>
          <w:p w14:paraId="354DD8F5" w14:textId="77777777" w:rsidR="009067C4" w:rsidRPr="009067C4" w:rsidRDefault="009067C4" w:rsidP="009067C4">
            <w:pPr>
              <w:rPr>
                <w:b/>
                <w:bCs/>
              </w:rPr>
            </w:pPr>
            <w:r w:rsidRPr="009067C4">
              <w:rPr>
                <w:b/>
                <w:bCs/>
              </w:rPr>
              <w:t>Role</w:t>
            </w:r>
          </w:p>
        </w:tc>
        <w:tc>
          <w:tcPr>
            <w:tcW w:w="0" w:type="auto"/>
            <w:vAlign w:val="center"/>
            <w:hideMark/>
          </w:tcPr>
          <w:p w14:paraId="0688EDF3" w14:textId="77777777" w:rsidR="009067C4" w:rsidRPr="009067C4" w:rsidRDefault="009067C4" w:rsidP="009067C4">
            <w:pPr>
              <w:rPr>
                <w:b/>
                <w:bCs/>
              </w:rPr>
            </w:pPr>
            <w:r w:rsidRPr="009067C4">
              <w:rPr>
                <w:b/>
                <w:bCs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4E1D2691" w14:textId="77777777" w:rsidR="009067C4" w:rsidRPr="009067C4" w:rsidRDefault="009067C4" w:rsidP="009067C4">
            <w:pPr>
              <w:rPr>
                <w:b/>
                <w:bCs/>
              </w:rPr>
            </w:pPr>
            <w:r w:rsidRPr="009067C4">
              <w:rPr>
                <w:b/>
                <w:bCs/>
              </w:rPr>
              <w:t>Signature</w:t>
            </w:r>
          </w:p>
        </w:tc>
      </w:tr>
      <w:tr w:rsidR="009067C4" w:rsidRPr="009067C4" w14:paraId="6DED0FB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C6AF06" w14:textId="77777777" w:rsidR="009067C4" w:rsidRPr="009067C4" w:rsidRDefault="009067C4" w:rsidP="009067C4">
            <w:r w:rsidRPr="009067C4">
              <w:t> </w:t>
            </w:r>
          </w:p>
        </w:tc>
        <w:tc>
          <w:tcPr>
            <w:tcW w:w="0" w:type="auto"/>
            <w:vAlign w:val="center"/>
            <w:hideMark/>
          </w:tcPr>
          <w:p w14:paraId="14356993" w14:textId="77777777" w:rsidR="009067C4" w:rsidRPr="009067C4" w:rsidRDefault="009067C4" w:rsidP="009067C4">
            <w:r w:rsidRPr="009067C4">
              <w:t> </w:t>
            </w:r>
          </w:p>
        </w:tc>
        <w:tc>
          <w:tcPr>
            <w:tcW w:w="0" w:type="auto"/>
            <w:vAlign w:val="center"/>
            <w:hideMark/>
          </w:tcPr>
          <w:p w14:paraId="601FF18F" w14:textId="77777777" w:rsidR="009067C4" w:rsidRPr="009067C4" w:rsidRDefault="009067C4" w:rsidP="009067C4">
            <w:r w:rsidRPr="009067C4">
              <w:t> </w:t>
            </w:r>
          </w:p>
        </w:tc>
        <w:tc>
          <w:tcPr>
            <w:tcW w:w="0" w:type="auto"/>
            <w:vAlign w:val="center"/>
            <w:hideMark/>
          </w:tcPr>
          <w:p w14:paraId="4482EDE4" w14:textId="77777777" w:rsidR="009067C4" w:rsidRPr="009067C4" w:rsidRDefault="009067C4" w:rsidP="009067C4">
            <w:r w:rsidRPr="009067C4">
              <w:t> </w:t>
            </w:r>
          </w:p>
        </w:tc>
      </w:tr>
      <w:tr w:rsidR="009067C4" w:rsidRPr="009067C4" w14:paraId="3E9763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8152D9" w14:textId="77777777" w:rsidR="009067C4" w:rsidRPr="009067C4" w:rsidRDefault="009067C4" w:rsidP="009067C4">
            <w:pPr>
              <w:rPr>
                <w:b/>
                <w:bCs/>
              </w:rPr>
            </w:pPr>
            <w:r w:rsidRPr="009067C4">
              <w:rPr>
                <w:b/>
                <w:bCs/>
              </w:rPr>
              <w:t>Approved By</w:t>
            </w:r>
          </w:p>
        </w:tc>
        <w:tc>
          <w:tcPr>
            <w:tcW w:w="0" w:type="auto"/>
            <w:vAlign w:val="center"/>
            <w:hideMark/>
          </w:tcPr>
          <w:p w14:paraId="0E54277A" w14:textId="77777777" w:rsidR="009067C4" w:rsidRPr="009067C4" w:rsidRDefault="009067C4" w:rsidP="009067C4">
            <w:pPr>
              <w:rPr>
                <w:b/>
                <w:bCs/>
              </w:rPr>
            </w:pPr>
            <w:r w:rsidRPr="009067C4">
              <w:rPr>
                <w:b/>
                <w:bCs/>
              </w:rPr>
              <w:t>Role</w:t>
            </w:r>
          </w:p>
        </w:tc>
        <w:tc>
          <w:tcPr>
            <w:tcW w:w="0" w:type="auto"/>
            <w:vAlign w:val="center"/>
            <w:hideMark/>
          </w:tcPr>
          <w:p w14:paraId="4D7B223A" w14:textId="77777777" w:rsidR="009067C4" w:rsidRPr="009067C4" w:rsidRDefault="009067C4" w:rsidP="009067C4">
            <w:pPr>
              <w:rPr>
                <w:b/>
                <w:bCs/>
              </w:rPr>
            </w:pPr>
            <w:r w:rsidRPr="009067C4">
              <w:rPr>
                <w:b/>
                <w:bCs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07DCD9AD" w14:textId="77777777" w:rsidR="009067C4" w:rsidRPr="009067C4" w:rsidRDefault="009067C4" w:rsidP="009067C4">
            <w:pPr>
              <w:rPr>
                <w:b/>
                <w:bCs/>
              </w:rPr>
            </w:pPr>
            <w:r w:rsidRPr="009067C4">
              <w:rPr>
                <w:b/>
                <w:bCs/>
              </w:rPr>
              <w:t>Signature</w:t>
            </w:r>
          </w:p>
        </w:tc>
      </w:tr>
      <w:tr w:rsidR="009067C4" w:rsidRPr="009067C4" w14:paraId="65471BD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D94137" w14:textId="77777777" w:rsidR="009067C4" w:rsidRPr="009067C4" w:rsidRDefault="009067C4" w:rsidP="009067C4">
            <w:r w:rsidRPr="009067C4">
              <w:t> </w:t>
            </w:r>
          </w:p>
        </w:tc>
        <w:tc>
          <w:tcPr>
            <w:tcW w:w="0" w:type="auto"/>
            <w:vAlign w:val="center"/>
            <w:hideMark/>
          </w:tcPr>
          <w:p w14:paraId="39A7BDBD" w14:textId="77777777" w:rsidR="009067C4" w:rsidRPr="009067C4" w:rsidRDefault="009067C4" w:rsidP="009067C4">
            <w:r w:rsidRPr="009067C4">
              <w:t> </w:t>
            </w:r>
          </w:p>
        </w:tc>
        <w:tc>
          <w:tcPr>
            <w:tcW w:w="0" w:type="auto"/>
            <w:vAlign w:val="center"/>
            <w:hideMark/>
          </w:tcPr>
          <w:p w14:paraId="7326BE91" w14:textId="77777777" w:rsidR="009067C4" w:rsidRPr="009067C4" w:rsidRDefault="009067C4" w:rsidP="009067C4">
            <w:r w:rsidRPr="009067C4">
              <w:t> </w:t>
            </w:r>
          </w:p>
        </w:tc>
        <w:tc>
          <w:tcPr>
            <w:tcW w:w="0" w:type="auto"/>
            <w:vAlign w:val="center"/>
            <w:hideMark/>
          </w:tcPr>
          <w:p w14:paraId="3069C8BF" w14:textId="77777777" w:rsidR="009067C4" w:rsidRPr="009067C4" w:rsidRDefault="009067C4" w:rsidP="009067C4">
            <w:r w:rsidRPr="009067C4">
              <w:t> </w:t>
            </w:r>
          </w:p>
        </w:tc>
      </w:tr>
    </w:tbl>
    <w:p w14:paraId="1BED00DB" w14:textId="77777777" w:rsidR="009067C4" w:rsidRDefault="009067C4"/>
    <w:sectPr w:rsidR="009067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3FA3"/>
    <w:multiLevelType w:val="multilevel"/>
    <w:tmpl w:val="46965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24C5C"/>
    <w:multiLevelType w:val="multilevel"/>
    <w:tmpl w:val="5D96B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B001E7"/>
    <w:multiLevelType w:val="multilevel"/>
    <w:tmpl w:val="4EF69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B211F6"/>
    <w:multiLevelType w:val="multilevel"/>
    <w:tmpl w:val="57A4B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4E1A1C"/>
    <w:multiLevelType w:val="multilevel"/>
    <w:tmpl w:val="D0525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793DA0"/>
    <w:multiLevelType w:val="multilevel"/>
    <w:tmpl w:val="B34E4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E12D38"/>
    <w:multiLevelType w:val="multilevel"/>
    <w:tmpl w:val="D2A21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6A4713"/>
    <w:multiLevelType w:val="multilevel"/>
    <w:tmpl w:val="ED1E3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4B5B96"/>
    <w:multiLevelType w:val="multilevel"/>
    <w:tmpl w:val="964A3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8F7DDE"/>
    <w:multiLevelType w:val="multilevel"/>
    <w:tmpl w:val="20104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552BA8"/>
    <w:multiLevelType w:val="multilevel"/>
    <w:tmpl w:val="2FFEA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067B41"/>
    <w:multiLevelType w:val="multilevel"/>
    <w:tmpl w:val="5F1AF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D874B5"/>
    <w:multiLevelType w:val="multilevel"/>
    <w:tmpl w:val="091E2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3B11DA"/>
    <w:multiLevelType w:val="multilevel"/>
    <w:tmpl w:val="F6ACD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2D549D"/>
    <w:multiLevelType w:val="multilevel"/>
    <w:tmpl w:val="97040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BD02FF"/>
    <w:multiLevelType w:val="multilevel"/>
    <w:tmpl w:val="1FF8B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1A07AD"/>
    <w:multiLevelType w:val="multilevel"/>
    <w:tmpl w:val="5268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B56E97"/>
    <w:multiLevelType w:val="multilevel"/>
    <w:tmpl w:val="B0923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3082119">
    <w:abstractNumId w:val="14"/>
  </w:num>
  <w:num w:numId="2" w16cid:durableId="1644698209">
    <w:abstractNumId w:val="2"/>
  </w:num>
  <w:num w:numId="3" w16cid:durableId="1407144891">
    <w:abstractNumId w:val="5"/>
  </w:num>
  <w:num w:numId="4" w16cid:durableId="1824809391">
    <w:abstractNumId w:val="17"/>
  </w:num>
  <w:num w:numId="5" w16cid:durableId="210310507">
    <w:abstractNumId w:val="9"/>
  </w:num>
  <w:num w:numId="6" w16cid:durableId="1688629876">
    <w:abstractNumId w:val="16"/>
  </w:num>
  <w:num w:numId="7" w16cid:durableId="1552886209">
    <w:abstractNumId w:val="4"/>
  </w:num>
  <w:num w:numId="8" w16cid:durableId="1199004866">
    <w:abstractNumId w:val="11"/>
  </w:num>
  <w:num w:numId="9" w16cid:durableId="735199187">
    <w:abstractNumId w:val="12"/>
  </w:num>
  <w:num w:numId="10" w16cid:durableId="403837448">
    <w:abstractNumId w:val="13"/>
  </w:num>
  <w:num w:numId="11" w16cid:durableId="2039045277">
    <w:abstractNumId w:val="0"/>
  </w:num>
  <w:num w:numId="12" w16cid:durableId="1458186260">
    <w:abstractNumId w:val="7"/>
  </w:num>
  <w:num w:numId="13" w16cid:durableId="986595242">
    <w:abstractNumId w:val="8"/>
  </w:num>
  <w:num w:numId="14" w16cid:durableId="141194277">
    <w:abstractNumId w:val="3"/>
  </w:num>
  <w:num w:numId="15" w16cid:durableId="1976250682">
    <w:abstractNumId w:val="1"/>
  </w:num>
  <w:num w:numId="16" w16cid:durableId="25063509">
    <w:abstractNumId w:val="6"/>
  </w:num>
  <w:num w:numId="17" w16cid:durableId="729618955">
    <w:abstractNumId w:val="10"/>
  </w:num>
  <w:num w:numId="18" w16cid:durableId="138752890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7C4"/>
    <w:rsid w:val="004E2598"/>
    <w:rsid w:val="0090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332B7"/>
  <w15:chartTrackingRefBased/>
  <w15:docId w15:val="{DA0A1C4A-380B-48B6-9C32-957C03CD3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67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67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67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67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67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67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67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67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67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67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67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67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67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67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67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67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67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67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67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67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67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67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67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67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67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67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67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67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67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860</Words>
  <Characters>4906</Characters>
  <Application>Microsoft Office Word</Application>
  <DocSecurity>0</DocSecurity>
  <Lines>40</Lines>
  <Paragraphs>11</Paragraphs>
  <ScaleCrop>false</ScaleCrop>
  <Company/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Nathaniel Paul</dc:creator>
  <cp:keywords/>
  <dc:description/>
  <cp:lastModifiedBy>Nathaniel Paul</cp:lastModifiedBy>
  <cp:revision>1</cp:revision>
  <dcterms:created xsi:type="dcterms:W3CDTF">2026-05-26T05:09:00Z</dcterms:created>
  <dcterms:modified xsi:type="dcterms:W3CDTF">2026-05-26T05:10:00Z</dcterms:modified>
</cp:coreProperties>
</file>