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0C4EF" w14:textId="77777777" w:rsidR="00B42CC0" w:rsidRPr="00B42CC0" w:rsidRDefault="00B42CC0" w:rsidP="00B42CC0">
      <w:pPr>
        <w:rPr>
          <w:b/>
          <w:bCs/>
        </w:rPr>
      </w:pPr>
      <w:r w:rsidRPr="00B42CC0">
        <w:rPr>
          <w:b/>
          <w:bCs/>
        </w:rPr>
        <w:t>[Facility Name] — Abuse and Neglect Prevention Policy (Zero Tolerance)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2"/>
        <w:gridCol w:w="2398"/>
        <w:gridCol w:w="1418"/>
        <w:gridCol w:w="1612"/>
      </w:tblGrid>
      <w:tr w:rsidR="00B42CC0" w:rsidRPr="00B42CC0" w14:paraId="1A69ADDA" w14:textId="77777777">
        <w:trPr>
          <w:tblCellSpacing w:w="15" w:type="dxa"/>
        </w:trPr>
        <w:tc>
          <w:tcPr>
            <w:tcW w:w="0" w:type="auto"/>
            <w:vAlign w:val="center"/>
            <w:hideMark/>
          </w:tcPr>
          <w:p w14:paraId="466FD705" w14:textId="77777777" w:rsidR="00B42CC0" w:rsidRPr="00B42CC0" w:rsidRDefault="00B42CC0" w:rsidP="00B42CC0">
            <w:pPr>
              <w:rPr>
                <w:b/>
                <w:bCs/>
              </w:rPr>
            </w:pPr>
            <w:r w:rsidRPr="00B42CC0">
              <w:rPr>
                <w:b/>
                <w:bCs/>
              </w:rPr>
              <w:t>Policy Number</w:t>
            </w:r>
          </w:p>
        </w:tc>
        <w:tc>
          <w:tcPr>
            <w:tcW w:w="0" w:type="auto"/>
            <w:vAlign w:val="center"/>
            <w:hideMark/>
          </w:tcPr>
          <w:p w14:paraId="4B98BE9F" w14:textId="77777777" w:rsidR="00B42CC0" w:rsidRPr="00B42CC0" w:rsidRDefault="00B42CC0" w:rsidP="00B42CC0">
            <w:r w:rsidRPr="00B42CC0">
              <w:t>[e.g. GO-002]</w:t>
            </w:r>
          </w:p>
        </w:tc>
        <w:tc>
          <w:tcPr>
            <w:tcW w:w="0" w:type="auto"/>
            <w:vAlign w:val="center"/>
            <w:hideMark/>
          </w:tcPr>
          <w:p w14:paraId="3DD5B181" w14:textId="77777777" w:rsidR="00B42CC0" w:rsidRPr="00B42CC0" w:rsidRDefault="00B42CC0" w:rsidP="00B42CC0">
            <w:pPr>
              <w:rPr>
                <w:b/>
                <w:bCs/>
              </w:rPr>
            </w:pPr>
            <w:r w:rsidRPr="00B42CC0">
              <w:rPr>
                <w:b/>
                <w:bCs/>
              </w:rPr>
              <w:t>Version</w:t>
            </w:r>
          </w:p>
        </w:tc>
        <w:tc>
          <w:tcPr>
            <w:tcW w:w="0" w:type="auto"/>
            <w:vAlign w:val="center"/>
            <w:hideMark/>
          </w:tcPr>
          <w:p w14:paraId="4A07703D" w14:textId="77777777" w:rsidR="00B42CC0" w:rsidRPr="00B42CC0" w:rsidRDefault="00B42CC0" w:rsidP="00B42CC0">
            <w:r w:rsidRPr="00B42CC0">
              <w:t>1.0</w:t>
            </w:r>
          </w:p>
        </w:tc>
      </w:tr>
      <w:tr w:rsidR="00B42CC0" w:rsidRPr="00B42CC0" w14:paraId="202D8532" w14:textId="77777777">
        <w:trPr>
          <w:tblCellSpacing w:w="15" w:type="dxa"/>
        </w:trPr>
        <w:tc>
          <w:tcPr>
            <w:tcW w:w="0" w:type="auto"/>
            <w:vAlign w:val="center"/>
            <w:hideMark/>
          </w:tcPr>
          <w:p w14:paraId="633F47EE" w14:textId="77777777" w:rsidR="00B42CC0" w:rsidRPr="00B42CC0" w:rsidRDefault="00B42CC0" w:rsidP="00B42CC0">
            <w:pPr>
              <w:rPr>
                <w:b/>
                <w:bCs/>
              </w:rPr>
            </w:pPr>
            <w:r w:rsidRPr="00B42CC0">
              <w:rPr>
                <w:b/>
                <w:bCs/>
              </w:rPr>
              <w:t>Effective Date</w:t>
            </w:r>
          </w:p>
        </w:tc>
        <w:tc>
          <w:tcPr>
            <w:tcW w:w="0" w:type="auto"/>
            <w:vAlign w:val="center"/>
            <w:hideMark/>
          </w:tcPr>
          <w:p w14:paraId="0DB75719" w14:textId="77777777" w:rsidR="00B42CC0" w:rsidRPr="00B42CC0" w:rsidRDefault="00B42CC0" w:rsidP="00B42CC0">
            <w:r w:rsidRPr="00B42CC0">
              <w:t>[DD/MM/YYYY]</w:t>
            </w:r>
          </w:p>
        </w:tc>
        <w:tc>
          <w:tcPr>
            <w:tcW w:w="0" w:type="auto"/>
            <w:vAlign w:val="center"/>
            <w:hideMark/>
          </w:tcPr>
          <w:p w14:paraId="4D950132" w14:textId="77777777" w:rsidR="00B42CC0" w:rsidRPr="00B42CC0" w:rsidRDefault="00B42CC0" w:rsidP="00B42CC0">
            <w:pPr>
              <w:rPr>
                <w:b/>
                <w:bCs/>
              </w:rPr>
            </w:pPr>
            <w:r w:rsidRPr="00B42CC0">
              <w:rPr>
                <w:b/>
                <w:bCs/>
              </w:rPr>
              <w:t>Review Date</w:t>
            </w:r>
          </w:p>
        </w:tc>
        <w:tc>
          <w:tcPr>
            <w:tcW w:w="0" w:type="auto"/>
            <w:vAlign w:val="center"/>
            <w:hideMark/>
          </w:tcPr>
          <w:p w14:paraId="685BADF5" w14:textId="77777777" w:rsidR="00B42CC0" w:rsidRPr="00B42CC0" w:rsidRDefault="00B42CC0" w:rsidP="00B42CC0">
            <w:r w:rsidRPr="00B42CC0">
              <w:t>[DD/MM/YYYY]</w:t>
            </w:r>
          </w:p>
        </w:tc>
      </w:tr>
      <w:tr w:rsidR="00B42CC0" w:rsidRPr="00B42CC0" w14:paraId="03BEF6D5" w14:textId="77777777">
        <w:trPr>
          <w:tblCellSpacing w:w="15" w:type="dxa"/>
        </w:trPr>
        <w:tc>
          <w:tcPr>
            <w:tcW w:w="0" w:type="auto"/>
            <w:vAlign w:val="center"/>
            <w:hideMark/>
          </w:tcPr>
          <w:p w14:paraId="0D5B85F1" w14:textId="77777777" w:rsidR="00B42CC0" w:rsidRPr="00B42CC0" w:rsidRDefault="00B42CC0" w:rsidP="00B42CC0">
            <w:pPr>
              <w:rPr>
                <w:b/>
                <w:bCs/>
              </w:rPr>
            </w:pPr>
            <w:r w:rsidRPr="00B42CC0">
              <w:rPr>
                <w:b/>
                <w:bCs/>
              </w:rPr>
              <w:t>Policy Owner</w:t>
            </w:r>
          </w:p>
        </w:tc>
        <w:tc>
          <w:tcPr>
            <w:tcW w:w="0" w:type="auto"/>
            <w:vAlign w:val="center"/>
            <w:hideMark/>
          </w:tcPr>
          <w:p w14:paraId="0B2E1990" w14:textId="77777777" w:rsidR="00B42CC0" w:rsidRPr="00B42CC0" w:rsidRDefault="00B42CC0" w:rsidP="00B42CC0">
            <w:r w:rsidRPr="00B42CC0">
              <w:t>CEO / Facility Manager</w:t>
            </w:r>
          </w:p>
        </w:tc>
        <w:tc>
          <w:tcPr>
            <w:tcW w:w="0" w:type="auto"/>
            <w:vAlign w:val="center"/>
            <w:hideMark/>
          </w:tcPr>
          <w:p w14:paraId="029766D5" w14:textId="77777777" w:rsidR="00B42CC0" w:rsidRPr="00B42CC0" w:rsidRDefault="00B42CC0" w:rsidP="00B42CC0">
            <w:pPr>
              <w:rPr>
                <w:b/>
                <w:bCs/>
              </w:rPr>
            </w:pPr>
            <w:r w:rsidRPr="00B42CC0">
              <w:rPr>
                <w:b/>
                <w:bCs/>
              </w:rPr>
              <w:t>Approved By</w:t>
            </w:r>
          </w:p>
        </w:tc>
        <w:tc>
          <w:tcPr>
            <w:tcW w:w="0" w:type="auto"/>
            <w:vAlign w:val="center"/>
            <w:hideMark/>
          </w:tcPr>
          <w:p w14:paraId="0550B1BB" w14:textId="77777777" w:rsidR="00B42CC0" w:rsidRPr="00B42CC0" w:rsidRDefault="00B42CC0" w:rsidP="00B42CC0">
            <w:r w:rsidRPr="00B42CC0">
              <w:t>[Board / CEO]</w:t>
            </w:r>
          </w:p>
        </w:tc>
      </w:tr>
    </w:tbl>
    <w:p w14:paraId="500FEDB6" w14:textId="77777777" w:rsidR="00B42CC0" w:rsidRPr="00B42CC0" w:rsidRDefault="00B42CC0" w:rsidP="00B42CC0">
      <w:pPr>
        <w:rPr>
          <w:b/>
          <w:bCs/>
        </w:rPr>
      </w:pPr>
      <w:r w:rsidRPr="00B42CC0">
        <w:rPr>
          <w:b/>
          <w:bCs/>
        </w:rPr>
        <w:t>1. Purpose</w:t>
      </w:r>
    </w:p>
    <w:p w14:paraId="0E1F2D60" w14:textId="77777777" w:rsidR="00B42CC0" w:rsidRPr="00B42CC0" w:rsidRDefault="00B42CC0" w:rsidP="00B42CC0">
      <w:r w:rsidRPr="00B42CC0">
        <w:t>This policy establishes [Facility Name]'s absolute commitment to a zero tolerance approach to all forms of abuse, neglect, and exploitation of residents. It defines the types of abuse, outlines how staff should recognise and report abuse, and establishes the facility's obligations to prevent abuse through recruitment, training, supervision, and cultural accountability.</w:t>
      </w:r>
    </w:p>
    <w:p w14:paraId="5D1C68AE" w14:textId="77777777" w:rsidR="00B42CC0" w:rsidRPr="00B42CC0" w:rsidRDefault="00B42CC0" w:rsidP="00B42CC0">
      <w:pPr>
        <w:rPr>
          <w:b/>
          <w:bCs/>
        </w:rPr>
      </w:pPr>
      <w:r w:rsidRPr="00B42CC0">
        <w:rPr>
          <w:b/>
          <w:bCs/>
        </w:rPr>
        <w:t>2. Scope</w:t>
      </w:r>
    </w:p>
    <w:p w14:paraId="25E8CCE1" w14:textId="77777777" w:rsidR="00B42CC0" w:rsidRPr="00B42CC0" w:rsidRDefault="00B42CC0" w:rsidP="00B42CC0">
      <w:r w:rsidRPr="00B42CC0">
        <w:t>This policy applies to all employees, contractors, volunteers, students, and visitors at [Facility Name]. It covers all forms of abuse and neglect involving residents, whether perpetrated by staff, other residents, family members, or visitors.</w:t>
      </w:r>
    </w:p>
    <w:p w14:paraId="6F089C44" w14:textId="77777777" w:rsidR="00B42CC0" w:rsidRPr="00B42CC0" w:rsidRDefault="00B42CC0" w:rsidP="00B42CC0">
      <w:pPr>
        <w:rPr>
          <w:b/>
          <w:bCs/>
        </w:rPr>
      </w:pPr>
      <w:r w:rsidRPr="00B42CC0">
        <w:rPr>
          <w:b/>
          <w:bCs/>
        </w:rPr>
        <w:t>3. Policy Statement — Zero Tolerance</w:t>
      </w:r>
    </w:p>
    <w:p w14:paraId="385FD650" w14:textId="77777777" w:rsidR="00B42CC0" w:rsidRPr="00B42CC0" w:rsidRDefault="00B42CC0" w:rsidP="00B42CC0">
      <w:r w:rsidRPr="00B42CC0">
        <w:t>[Facility Name] has a zero tolerance approach to all forms of abuse and neglect. No form of abuse, exploitation, or neglect of a resident is acceptable, excusable, or tolerable under any circumstances. All staff are required to actively uphold residents' safety and dignity, report any concern immediately, and cooperate fully with all investigations. Staff who abuse, neglect, or fail to report abuse will face disciplinary action, up to and including termination of employment and referral to relevant authorities.</w:t>
      </w:r>
    </w:p>
    <w:p w14:paraId="4FAD8D68" w14:textId="77777777" w:rsidR="00B42CC0" w:rsidRPr="00B42CC0" w:rsidRDefault="00B42CC0" w:rsidP="00B42CC0">
      <w:pPr>
        <w:rPr>
          <w:b/>
          <w:bCs/>
        </w:rPr>
      </w:pPr>
      <w:r w:rsidRPr="00B42CC0">
        <w:rPr>
          <w:b/>
          <w:bCs/>
        </w:rPr>
        <w:t>4. Definitions</w:t>
      </w:r>
    </w:p>
    <w:p w14:paraId="5016C086" w14:textId="77777777" w:rsidR="00B42CC0" w:rsidRPr="00B42CC0" w:rsidRDefault="00B42CC0" w:rsidP="00B42CC0">
      <w:pPr>
        <w:numPr>
          <w:ilvl w:val="0"/>
          <w:numId w:val="1"/>
        </w:numPr>
      </w:pPr>
      <w:r w:rsidRPr="00B42CC0">
        <w:rPr>
          <w:b/>
          <w:bCs/>
        </w:rPr>
        <w:t>Physical abuse:</w:t>
      </w:r>
      <w:r w:rsidRPr="00B42CC0">
        <w:t> Any act that causes or could cause physical harm, including hitting, pushing, rough handling, inappropriate restraint, or unreasonable use of force.</w:t>
      </w:r>
    </w:p>
    <w:p w14:paraId="13E4A42E" w14:textId="77777777" w:rsidR="00B42CC0" w:rsidRPr="00B42CC0" w:rsidRDefault="00B42CC0" w:rsidP="00B42CC0">
      <w:pPr>
        <w:numPr>
          <w:ilvl w:val="0"/>
          <w:numId w:val="1"/>
        </w:numPr>
      </w:pPr>
      <w:r w:rsidRPr="00B42CC0">
        <w:rPr>
          <w:b/>
          <w:bCs/>
        </w:rPr>
        <w:t>Psychological abuse:</w:t>
      </w:r>
      <w:r w:rsidRPr="00B42CC0">
        <w:t> Any act that causes psychological harm, including intimidation, humiliation, threats, yelling, and isolation.</w:t>
      </w:r>
    </w:p>
    <w:p w14:paraId="457B47D6" w14:textId="77777777" w:rsidR="00B42CC0" w:rsidRPr="00B42CC0" w:rsidRDefault="00B42CC0" w:rsidP="00B42CC0">
      <w:pPr>
        <w:numPr>
          <w:ilvl w:val="0"/>
          <w:numId w:val="1"/>
        </w:numPr>
      </w:pPr>
      <w:r w:rsidRPr="00B42CC0">
        <w:rPr>
          <w:b/>
          <w:bCs/>
        </w:rPr>
        <w:t>Sexual abuse:</w:t>
      </w:r>
      <w:r w:rsidRPr="00B42CC0">
        <w:t> Any non-consensual sexual act, contact, or behaviour, including inappropriate sexualised comments.</w:t>
      </w:r>
    </w:p>
    <w:p w14:paraId="257FAF64" w14:textId="77777777" w:rsidR="00B42CC0" w:rsidRPr="00B42CC0" w:rsidRDefault="00B42CC0" w:rsidP="00B42CC0">
      <w:pPr>
        <w:numPr>
          <w:ilvl w:val="0"/>
          <w:numId w:val="1"/>
        </w:numPr>
      </w:pPr>
      <w:r w:rsidRPr="00B42CC0">
        <w:rPr>
          <w:b/>
          <w:bCs/>
        </w:rPr>
        <w:t>Financial abuse:</w:t>
      </w:r>
      <w:r w:rsidRPr="00B42CC0">
        <w:t> Theft, coercion, or exploitation of a resident's money, property, or assets.</w:t>
      </w:r>
    </w:p>
    <w:p w14:paraId="2E785038" w14:textId="77777777" w:rsidR="00B42CC0" w:rsidRPr="00B42CC0" w:rsidRDefault="00B42CC0" w:rsidP="00B42CC0">
      <w:pPr>
        <w:numPr>
          <w:ilvl w:val="0"/>
          <w:numId w:val="1"/>
        </w:numPr>
      </w:pPr>
      <w:r w:rsidRPr="00B42CC0">
        <w:rPr>
          <w:b/>
          <w:bCs/>
        </w:rPr>
        <w:lastRenderedPageBreak/>
        <w:t>Neglect:</w:t>
      </w:r>
      <w:r w:rsidRPr="00B42CC0">
        <w:t> Failure to provide the care, support, or supervision a resident requires — whether deliberate or through carelessness.</w:t>
      </w:r>
    </w:p>
    <w:p w14:paraId="58AA335B" w14:textId="77777777" w:rsidR="00B42CC0" w:rsidRPr="00B42CC0" w:rsidRDefault="00B42CC0" w:rsidP="00B42CC0">
      <w:pPr>
        <w:numPr>
          <w:ilvl w:val="0"/>
          <w:numId w:val="1"/>
        </w:numPr>
      </w:pPr>
      <w:r w:rsidRPr="00B42CC0">
        <w:rPr>
          <w:b/>
          <w:bCs/>
        </w:rPr>
        <w:t>Systemic abuse:</w:t>
      </w:r>
      <w:r w:rsidRPr="00B42CC0">
        <w:t> Organisational practices, cultures, or systems that deny residents their rights or cause harm over time.</w:t>
      </w:r>
    </w:p>
    <w:p w14:paraId="1481210C" w14:textId="77777777" w:rsidR="00B42CC0" w:rsidRPr="00B42CC0" w:rsidRDefault="00B42CC0" w:rsidP="00B42CC0">
      <w:pPr>
        <w:rPr>
          <w:b/>
          <w:bCs/>
        </w:rPr>
      </w:pPr>
      <w:r w:rsidRPr="00B42CC0">
        <w:rPr>
          <w:b/>
          <w:bCs/>
        </w:rPr>
        <w:t>5. Procedures</w:t>
      </w:r>
    </w:p>
    <w:p w14:paraId="38DD8DEB" w14:textId="77777777" w:rsidR="00B42CC0" w:rsidRPr="00B42CC0" w:rsidRDefault="00B42CC0" w:rsidP="00B42CC0">
      <w:pPr>
        <w:rPr>
          <w:b/>
          <w:bCs/>
        </w:rPr>
      </w:pPr>
      <w:r w:rsidRPr="00B42CC0">
        <w:rPr>
          <w:b/>
          <w:bCs/>
        </w:rPr>
        <w:t>5.1 Prevention</w:t>
      </w:r>
    </w:p>
    <w:p w14:paraId="269A51EE" w14:textId="77777777" w:rsidR="00B42CC0" w:rsidRPr="00B42CC0" w:rsidRDefault="00B42CC0" w:rsidP="00B42CC0">
      <w:pPr>
        <w:numPr>
          <w:ilvl w:val="0"/>
          <w:numId w:val="2"/>
        </w:numPr>
      </w:pPr>
      <w:r w:rsidRPr="00B42CC0">
        <w:t>Pre-employment police checks and reference verification will be completed for all staff before engagement.</w:t>
      </w:r>
    </w:p>
    <w:p w14:paraId="0945DDF9" w14:textId="77777777" w:rsidR="00B42CC0" w:rsidRPr="00B42CC0" w:rsidRDefault="00B42CC0" w:rsidP="00B42CC0">
      <w:pPr>
        <w:numPr>
          <w:ilvl w:val="0"/>
          <w:numId w:val="2"/>
        </w:numPr>
      </w:pPr>
      <w:r w:rsidRPr="00B42CC0">
        <w:t>All staff will complete abuse prevention training as part of their induction and annually thereafter.</w:t>
      </w:r>
    </w:p>
    <w:p w14:paraId="58614A02" w14:textId="77777777" w:rsidR="00B42CC0" w:rsidRPr="00B42CC0" w:rsidRDefault="00B42CC0" w:rsidP="00B42CC0">
      <w:pPr>
        <w:numPr>
          <w:ilvl w:val="0"/>
          <w:numId w:val="2"/>
        </w:numPr>
      </w:pPr>
      <w:r w:rsidRPr="00B42CC0">
        <w:t>Supervisory structures will ensure no staff member works without oversight, particularly in direct care roles.</w:t>
      </w:r>
    </w:p>
    <w:p w14:paraId="2761238B" w14:textId="77777777" w:rsidR="00B42CC0" w:rsidRPr="00B42CC0" w:rsidRDefault="00B42CC0" w:rsidP="00B42CC0">
      <w:pPr>
        <w:numPr>
          <w:ilvl w:val="0"/>
          <w:numId w:val="2"/>
        </w:numPr>
      </w:pPr>
      <w:r w:rsidRPr="00B42CC0">
        <w:t>Residents will be informed of their rights and how to make a complaint on admission and at regular intervals.</w:t>
      </w:r>
    </w:p>
    <w:p w14:paraId="549D45CA" w14:textId="77777777" w:rsidR="00B42CC0" w:rsidRPr="00B42CC0" w:rsidRDefault="00B42CC0" w:rsidP="00B42CC0">
      <w:pPr>
        <w:rPr>
          <w:b/>
          <w:bCs/>
        </w:rPr>
      </w:pPr>
      <w:r w:rsidRPr="00B42CC0">
        <w:rPr>
          <w:b/>
          <w:bCs/>
        </w:rPr>
        <w:t>5.2 Recognition — Warning Signs</w:t>
      </w:r>
    </w:p>
    <w:p w14:paraId="308B3C5D" w14:textId="77777777" w:rsidR="00B42CC0" w:rsidRPr="00B42CC0" w:rsidRDefault="00B42CC0" w:rsidP="00B42CC0">
      <w:r w:rsidRPr="00B42CC0">
        <w:t>Staff should be alert to the following indicators that a resident may be experiencing abuse or neglect:</w:t>
      </w:r>
    </w:p>
    <w:p w14:paraId="6897776D" w14:textId="77777777" w:rsidR="00B42CC0" w:rsidRPr="00B42CC0" w:rsidRDefault="00B42CC0" w:rsidP="00B42CC0">
      <w:pPr>
        <w:numPr>
          <w:ilvl w:val="0"/>
          <w:numId w:val="3"/>
        </w:numPr>
      </w:pPr>
      <w:r w:rsidRPr="00B42CC0">
        <w:t>Unexplained injuries, bruising, or physical marks</w:t>
      </w:r>
    </w:p>
    <w:p w14:paraId="15CD80EB" w14:textId="77777777" w:rsidR="00B42CC0" w:rsidRPr="00B42CC0" w:rsidRDefault="00B42CC0" w:rsidP="00B42CC0">
      <w:pPr>
        <w:numPr>
          <w:ilvl w:val="0"/>
          <w:numId w:val="3"/>
        </w:numPr>
      </w:pPr>
      <w:r w:rsidRPr="00B42CC0">
        <w:t>Resident appearing fearful, anxious, or withdrawn around specific staff or visitors</w:t>
      </w:r>
    </w:p>
    <w:p w14:paraId="07D77591" w14:textId="77777777" w:rsidR="00B42CC0" w:rsidRPr="00B42CC0" w:rsidRDefault="00B42CC0" w:rsidP="00B42CC0">
      <w:pPr>
        <w:numPr>
          <w:ilvl w:val="0"/>
          <w:numId w:val="3"/>
        </w:numPr>
      </w:pPr>
      <w:r w:rsidRPr="00B42CC0">
        <w:t>Sudden changes in behaviour, mood, or cognitive state</w:t>
      </w:r>
    </w:p>
    <w:p w14:paraId="6FC5E602" w14:textId="77777777" w:rsidR="00B42CC0" w:rsidRPr="00B42CC0" w:rsidRDefault="00B42CC0" w:rsidP="00B42CC0">
      <w:pPr>
        <w:numPr>
          <w:ilvl w:val="0"/>
          <w:numId w:val="3"/>
        </w:numPr>
      </w:pPr>
      <w:r w:rsidRPr="00B42CC0">
        <w:t>Poor hygiene, unexplained weight loss, or untreated medical conditions</w:t>
      </w:r>
    </w:p>
    <w:p w14:paraId="1615CC9F" w14:textId="77777777" w:rsidR="00B42CC0" w:rsidRPr="00B42CC0" w:rsidRDefault="00B42CC0" w:rsidP="00B42CC0">
      <w:pPr>
        <w:numPr>
          <w:ilvl w:val="0"/>
          <w:numId w:val="3"/>
        </w:numPr>
      </w:pPr>
      <w:r w:rsidRPr="00B42CC0">
        <w:t>Resident disclosures — any report of abuse must be taken seriously and acted on immediately</w:t>
      </w:r>
    </w:p>
    <w:p w14:paraId="5D57A6D5" w14:textId="77777777" w:rsidR="00B42CC0" w:rsidRPr="00B42CC0" w:rsidRDefault="00B42CC0" w:rsidP="00B42CC0">
      <w:pPr>
        <w:rPr>
          <w:b/>
          <w:bCs/>
        </w:rPr>
      </w:pPr>
      <w:r w:rsidRPr="00B42CC0">
        <w:rPr>
          <w:b/>
          <w:bCs/>
        </w:rPr>
        <w:t>5.3 Reporting — Internal</w:t>
      </w:r>
    </w:p>
    <w:p w14:paraId="06A826A1" w14:textId="77777777" w:rsidR="00B42CC0" w:rsidRPr="00B42CC0" w:rsidRDefault="00B42CC0" w:rsidP="00B42CC0">
      <w:pPr>
        <w:numPr>
          <w:ilvl w:val="0"/>
          <w:numId w:val="4"/>
        </w:numPr>
      </w:pPr>
      <w:r w:rsidRPr="00B42CC0">
        <w:t>Any staff member who witnesses, suspects, or is told about abuse or neglect must report it to the Facility Manager or Director of Nursing immediately — within the same shift if possible.</w:t>
      </w:r>
    </w:p>
    <w:p w14:paraId="7BDE9B84" w14:textId="77777777" w:rsidR="00B42CC0" w:rsidRPr="00B42CC0" w:rsidRDefault="00B42CC0" w:rsidP="00B42CC0">
      <w:pPr>
        <w:numPr>
          <w:ilvl w:val="0"/>
          <w:numId w:val="4"/>
        </w:numPr>
      </w:pPr>
      <w:r w:rsidRPr="00B42CC0">
        <w:t>If the Facility Manager is the suspected abuser, the report must be made directly to the CEO.</w:t>
      </w:r>
    </w:p>
    <w:p w14:paraId="26011D87" w14:textId="77777777" w:rsidR="00B42CC0" w:rsidRPr="00B42CC0" w:rsidRDefault="00B42CC0" w:rsidP="00B42CC0">
      <w:pPr>
        <w:numPr>
          <w:ilvl w:val="0"/>
          <w:numId w:val="4"/>
        </w:numPr>
      </w:pPr>
      <w:r w:rsidRPr="00B42CC0">
        <w:lastRenderedPageBreak/>
        <w:t>Staff must never investigate the incident themselves — their role is to report and support the resident.</w:t>
      </w:r>
    </w:p>
    <w:p w14:paraId="13D68037" w14:textId="77777777" w:rsidR="00B42CC0" w:rsidRPr="00B42CC0" w:rsidRDefault="00B42CC0" w:rsidP="00B42CC0">
      <w:pPr>
        <w:rPr>
          <w:b/>
          <w:bCs/>
        </w:rPr>
      </w:pPr>
      <w:r w:rsidRPr="00B42CC0">
        <w:rPr>
          <w:b/>
          <w:bCs/>
        </w:rPr>
        <w:t>5.4 Reporting — ACQSC and Police</w:t>
      </w:r>
    </w:p>
    <w:p w14:paraId="27016BFD" w14:textId="77777777" w:rsidR="00B42CC0" w:rsidRPr="00B42CC0" w:rsidRDefault="00B42CC0" w:rsidP="00B42CC0">
      <w:pPr>
        <w:numPr>
          <w:ilvl w:val="0"/>
          <w:numId w:val="5"/>
        </w:numPr>
      </w:pPr>
      <w:r w:rsidRPr="00B42CC0">
        <w:t>Incidents that meet the SIRS reportable incident criteria will be notified to the ACQSC in accordance with the facility's SIRS Policy.</w:t>
      </w:r>
    </w:p>
    <w:p w14:paraId="7C98909D" w14:textId="77777777" w:rsidR="00B42CC0" w:rsidRPr="00B42CC0" w:rsidRDefault="00B42CC0" w:rsidP="00B42CC0">
      <w:pPr>
        <w:numPr>
          <w:ilvl w:val="0"/>
          <w:numId w:val="5"/>
        </w:numPr>
      </w:pPr>
      <w:r w:rsidRPr="00B42CC0">
        <w:t>Where a criminal act is suspected (assault, sexual abuse, theft), the Facility Manager will notify Victoria Police (or relevant state police) promptly. Do not delay police notification pending the outcome of an internal investigation.</w:t>
      </w:r>
    </w:p>
    <w:p w14:paraId="03F0D0B9" w14:textId="77777777" w:rsidR="00B42CC0" w:rsidRPr="00B42CC0" w:rsidRDefault="00B42CC0" w:rsidP="00B42CC0">
      <w:pPr>
        <w:rPr>
          <w:b/>
          <w:bCs/>
        </w:rPr>
      </w:pPr>
      <w:r w:rsidRPr="00B42CC0">
        <w:rPr>
          <w:b/>
          <w:bCs/>
        </w:rPr>
        <w:t>5.5 Support for the Affected Resident</w:t>
      </w:r>
    </w:p>
    <w:p w14:paraId="4883FC15" w14:textId="77777777" w:rsidR="00B42CC0" w:rsidRPr="00B42CC0" w:rsidRDefault="00B42CC0" w:rsidP="00B42CC0">
      <w:pPr>
        <w:numPr>
          <w:ilvl w:val="0"/>
          <w:numId w:val="6"/>
        </w:numPr>
      </w:pPr>
      <w:r w:rsidRPr="00B42CC0">
        <w:t>The affected resident will be made safe immediately, and their physical and emotional needs will be assessed and attended to.</w:t>
      </w:r>
    </w:p>
    <w:p w14:paraId="0A6A9849" w14:textId="77777777" w:rsidR="00B42CC0" w:rsidRPr="00B42CC0" w:rsidRDefault="00B42CC0" w:rsidP="00B42CC0">
      <w:pPr>
        <w:numPr>
          <w:ilvl w:val="0"/>
          <w:numId w:val="6"/>
        </w:numPr>
      </w:pPr>
      <w:r w:rsidRPr="00B42CC0">
        <w:t>The resident will be informed (where capacity allows) and offered independent advocacy support.</w:t>
      </w:r>
    </w:p>
    <w:p w14:paraId="3660D627" w14:textId="77777777" w:rsidR="00B42CC0" w:rsidRPr="00B42CC0" w:rsidRDefault="00B42CC0" w:rsidP="00B42CC0">
      <w:pPr>
        <w:numPr>
          <w:ilvl w:val="0"/>
          <w:numId w:val="6"/>
        </w:numPr>
      </w:pPr>
      <w:r w:rsidRPr="00B42CC0">
        <w:t>The resident's family or substitute decision-maker will be notified unless the resident requests otherwise.</w:t>
      </w:r>
    </w:p>
    <w:p w14:paraId="3C046166" w14:textId="77777777" w:rsidR="00B42CC0" w:rsidRPr="00B42CC0" w:rsidRDefault="00B42CC0" w:rsidP="00B42CC0">
      <w:pPr>
        <w:rPr>
          <w:b/>
          <w:bCs/>
        </w:rPr>
      </w:pPr>
      <w:r w:rsidRPr="00B42CC0">
        <w:rPr>
          <w:b/>
          <w:bCs/>
        </w:rPr>
        <w:t>5.6 Staff Stand-Down and Investigation</w:t>
      </w:r>
    </w:p>
    <w:p w14:paraId="0F19479F" w14:textId="77777777" w:rsidR="00B42CC0" w:rsidRPr="00B42CC0" w:rsidRDefault="00B42CC0" w:rsidP="00B42CC0">
      <w:pPr>
        <w:numPr>
          <w:ilvl w:val="0"/>
          <w:numId w:val="7"/>
        </w:numPr>
      </w:pPr>
      <w:r w:rsidRPr="00B42CC0">
        <w:t>A staff member who is the subject of an abuse allegation may be stood down from direct care duties (on pay) while an investigation is conducted.</w:t>
      </w:r>
    </w:p>
    <w:p w14:paraId="57DD4FC4" w14:textId="77777777" w:rsidR="00B42CC0" w:rsidRPr="00B42CC0" w:rsidRDefault="00B42CC0" w:rsidP="00B42CC0">
      <w:pPr>
        <w:numPr>
          <w:ilvl w:val="0"/>
          <w:numId w:val="7"/>
        </w:numPr>
      </w:pPr>
      <w:r w:rsidRPr="00B42CC0">
        <w:t>Stand-down decisions will be made by the CEO in accordance with the relevant enterprise agreement or employment contract.</w:t>
      </w:r>
    </w:p>
    <w:p w14:paraId="6049E419" w14:textId="77777777" w:rsidR="00B42CC0" w:rsidRPr="00B42CC0" w:rsidRDefault="00B42CC0" w:rsidP="00B42CC0">
      <w:pPr>
        <w:rPr>
          <w:b/>
          <w:bCs/>
        </w:rPr>
      </w:pPr>
      <w:r w:rsidRPr="00B42CC0">
        <w:rPr>
          <w:b/>
          <w:bCs/>
        </w:rPr>
        <w:t>6. Roles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2"/>
        <w:gridCol w:w="6978"/>
      </w:tblGrid>
      <w:tr w:rsidR="00B42CC0" w:rsidRPr="00B42CC0" w14:paraId="2B7F3A53" w14:textId="77777777" w:rsidTr="00B42CC0">
        <w:trPr>
          <w:tblCellSpacing w:w="15" w:type="dxa"/>
        </w:trPr>
        <w:tc>
          <w:tcPr>
            <w:tcW w:w="0" w:type="auto"/>
            <w:vAlign w:val="center"/>
            <w:hideMark/>
          </w:tcPr>
          <w:p w14:paraId="0DC08161" w14:textId="77777777" w:rsidR="00B42CC0" w:rsidRPr="00B42CC0" w:rsidRDefault="00B42CC0" w:rsidP="00B42CC0">
            <w:pPr>
              <w:rPr>
                <w:b/>
                <w:bCs/>
              </w:rPr>
            </w:pPr>
            <w:r w:rsidRPr="00B42CC0">
              <w:rPr>
                <w:b/>
                <w:bCs/>
              </w:rPr>
              <w:t>Role</w:t>
            </w:r>
          </w:p>
        </w:tc>
        <w:tc>
          <w:tcPr>
            <w:tcW w:w="0" w:type="auto"/>
            <w:vAlign w:val="center"/>
            <w:hideMark/>
          </w:tcPr>
          <w:p w14:paraId="2D30281A" w14:textId="77777777" w:rsidR="00B42CC0" w:rsidRPr="00B42CC0" w:rsidRDefault="00B42CC0" w:rsidP="00B42CC0">
            <w:pPr>
              <w:rPr>
                <w:b/>
                <w:bCs/>
              </w:rPr>
            </w:pPr>
            <w:r w:rsidRPr="00B42CC0">
              <w:rPr>
                <w:b/>
                <w:bCs/>
              </w:rPr>
              <w:t>Responsibility</w:t>
            </w:r>
          </w:p>
        </w:tc>
      </w:tr>
      <w:tr w:rsidR="00B42CC0" w:rsidRPr="00B42CC0" w14:paraId="11F374F3" w14:textId="77777777" w:rsidTr="00B42CC0">
        <w:trPr>
          <w:tblCellSpacing w:w="15" w:type="dxa"/>
        </w:trPr>
        <w:tc>
          <w:tcPr>
            <w:tcW w:w="0" w:type="auto"/>
            <w:vAlign w:val="center"/>
            <w:hideMark/>
          </w:tcPr>
          <w:p w14:paraId="4AED4390" w14:textId="77777777" w:rsidR="00B42CC0" w:rsidRPr="00B42CC0" w:rsidRDefault="00B42CC0" w:rsidP="00B42CC0">
            <w:r w:rsidRPr="00B42CC0">
              <w:t>All Staff</w:t>
            </w:r>
          </w:p>
        </w:tc>
        <w:tc>
          <w:tcPr>
            <w:tcW w:w="0" w:type="auto"/>
            <w:vAlign w:val="center"/>
            <w:hideMark/>
          </w:tcPr>
          <w:p w14:paraId="0B45DB1C" w14:textId="77777777" w:rsidR="00B42CC0" w:rsidRPr="00B42CC0" w:rsidRDefault="00B42CC0" w:rsidP="00B42CC0">
            <w:r w:rsidRPr="00B42CC0">
              <w:t>Recognise, report immediately; never investigate independently</w:t>
            </w:r>
          </w:p>
        </w:tc>
      </w:tr>
      <w:tr w:rsidR="00B42CC0" w:rsidRPr="00B42CC0" w14:paraId="5D1373A7" w14:textId="77777777" w:rsidTr="00B42CC0">
        <w:trPr>
          <w:tblCellSpacing w:w="15" w:type="dxa"/>
        </w:trPr>
        <w:tc>
          <w:tcPr>
            <w:tcW w:w="0" w:type="auto"/>
            <w:vAlign w:val="center"/>
            <w:hideMark/>
          </w:tcPr>
          <w:p w14:paraId="43DA5576" w14:textId="77777777" w:rsidR="00B42CC0" w:rsidRPr="00B42CC0" w:rsidRDefault="00B42CC0" w:rsidP="00B42CC0">
            <w:r w:rsidRPr="00B42CC0">
              <w:t>Facility Manager / DON</w:t>
            </w:r>
          </w:p>
        </w:tc>
        <w:tc>
          <w:tcPr>
            <w:tcW w:w="0" w:type="auto"/>
            <w:vAlign w:val="center"/>
            <w:hideMark/>
          </w:tcPr>
          <w:p w14:paraId="2A0D58C6" w14:textId="77777777" w:rsidR="00B42CC0" w:rsidRPr="00B42CC0" w:rsidRDefault="00B42CC0" w:rsidP="00B42CC0">
            <w:r w:rsidRPr="00B42CC0">
              <w:t>Receive and act on reports; notify CEO; coordinate initial response</w:t>
            </w:r>
          </w:p>
        </w:tc>
      </w:tr>
      <w:tr w:rsidR="00B42CC0" w:rsidRPr="00B42CC0" w14:paraId="09F14D14" w14:textId="77777777" w:rsidTr="00B42CC0">
        <w:trPr>
          <w:tblCellSpacing w:w="15" w:type="dxa"/>
        </w:trPr>
        <w:tc>
          <w:tcPr>
            <w:tcW w:w="0" w:type="auto"/>
            <w:vAlign w:val="center"/>
            <w:hideMark/>
          </w:tcPr>
          <w:p w14:paraId="4E48B1B2" w14:textId="77777777" w:rsidR="00B42CC0" w:rsidRPr="00B42CC0" w:rsidRDefault="00B42CC0" w:rsidP="00B42CC0">
            <w:r w:rsidRPr="00B42CC0">
              <w:t>CEO</w:t>
            </w:r>
          </w:p>
        </w:tc>
        <w:tc>
          <w:tcPr>
            <w:tcW w:w="0" w:type="auto"/>
            <w:vAlign w:val="center"/>
            <w:hideMark/>
          </w:tcPr>
          <w:p w14:paraId="55D5E64F" w14:textId="77777777" w:rsidR="00B42CC0" w:rsidRPr="00B42CC0" w:rsidRDefault="00B42CC0" w:rsidP="00B42CC0">
            <w:r w:rsidRPr="00B42CC0">
              <w:t>ACQSC and police notification; board reporting; investigation oversight</w:t>
            </w:r>
          </w:p>
        </w:tc>
      </w:tr>
      <w:tr w:rsidR="00B42CC0" w:rsidRPr="00B42CC0" w14:paraId="04520BA3" w14:textId="77777777" w:rsidTr="00B42CC0">
        <w:trPr>
          <w:tblCellSpacing w:w="15" w:type="dxa"/>
        </w:trPr>
        <w:tc>
          <w:tcPr>
            <w:tcW w:w="0" w:type="auto"/>
            <w:vAlign w:val="center"/>
            <w:hideMark/>
          </w:tcPr>
          <w:p w14:paraId="0926ACB8" w14:textId="77777777" w:rsidR="00B42CC0" w:rsidRPr="00B42CC0" w:rsidRDefault="00B42CC0" w:rsidP="00B42CC0">
            <w:r w:rsidRPr="00B42CC0">
              <w:t>HR Manager</w:t>
            </w:r>
          </w:p>
        </w:tc>
        <w:tc>
          <w:tcPr>
            <w:tcW w:w="0" w:type="auto"/>
            <w:vAlign w:val="center"/>
            <w:hideMark/>
          </w:tcPr>
          <w:p w14:paraId="2BBCC804" w14:textId="77777777" w:rsidR="00B42CC0" w:rsidRPr="00B42CC0" w:rsidRDefault="00B42CC0" w:rsidP="00B42CC0">
            <w:r w:rsidRPr="00B42CC0">
              <w:t>Stand-down decisions; investigation support; disciplinary process</w:t>
            </w:r>
          </w:p>
        </w:tc>
      </w:tr>
    </w:tbl>
    <w:p w14:paraId="5A9518F2" w14:textId="77777777" w:rsidR="00B42CC0" w:rsidRPr="00B42CC0" w:rsidRDefault="00B42CC0" w:rsidP="00B42CC0">
      <w:pPr>
        <w:rPr>
          <w:b/>
          <w:bCs/>
        </w:rPr>
      </w:pPr>
      <w:r w:rsidRPr="00B42CC0">
        <w:rPr>
          <w:b/>
          <w:bCs/>
        </w:rPr>
        <w:lastRenderedPageBreak/>
        <w:t>7. Related Policies</w:t>
      </w:r>
    </w:p>
    <w:p w14:paraId="24EAE69D" w14:textId="77777777" w:rsidR="00B42CC0" w:rsidRPr="00B42CC0" w:rsidRDefault="00B42CC0" w:rsidP="00B42CC0">
      <w:pPr>
        <w:numPr>
          <w:ilvl w:val="0"/>
          <w:numId w:val="8"/>
        </w:numPr>
      </w:pPr>
      <w:r w:rsidRPr="00B42CC0">
        <w:t>Serious Incident Response Scheme (SIRS) Policy</w:t>
      </w:r>
    </w:p>
    <w:p w14:paraId="629DE1AF" w14:textId="77777777" w:rsidR="00B42CC0" w:rsidRPr="00B42CC0" w:rsidRDefault="00B42CC0" w:rsidP="00B42CC0">
      <w:pPr>
        <w:numPr>
          <w:ilvl w:val="0"/>
          <w:numId w:val="8"/>
        </w:numPr>
      </w:pPr>
      <w:r w:rsidRPr="00B42CC0">
        <w:t>Incident Management and Reporting Policy</w:t>
      </w:r>
    </w:p>
    <w:p w14:paraId="5DE7EFCF" w14:textId="77777777" w:rsidR="00B42CC0" w:rsidRPr="00B42CC0" w:rsidRDefault="00B42CC0" w:rsidP="00B42CC0">
      <w:pPr>
        <w:numPr>
          <w:ilvl w:val="0"/>
          <w:numId w:val="8"/>
        </w:numPr>
      </w:pPr>
      <w:r w:rsidRPr="00B42CC0">
        <w:t>Whistleblower Policy</w:t>
      </w:r>
    </w:p>
    <w:p w14:paraId="25E7ADFE" w14:textId="77777777" w:rsidR="00B42CC0" w:rsidRPr="00B42CC0" w:rsidRDefault="00B42CC0" w:rsidP="00B42CC0">
      <w:pPr>
        <w:numPr>
          <w:ilvl w:val="0"/>
          <w:numId w:val="8"/>
        </w:numPr>
      </w:pPr>
      <w:r w:rsidRPr="00B42CC0">
        <w:t>Consumer Rights, Dignity and Choice Policy</w:t>
      </w:r>
    </w:p>
    <w:p w14:paraId="440AC24A" w14:textId="77777777" w:rsidR="00B42CC0" w:rsidRPr="00B42CC0" w:rsidRDefault="00B42CC0" w:rsidP="00B42CC0">
      <w:pPr>
        <w:numPr>
          <w:ilvl w:val="0"/>
          <w:numId w:val="8"/>
        </w:numPr>
      </w:pPr>
      <w:r w:rsidRPr="00B42CC0">
        <w:t>Workforce Training and Competency Policy</w:t>
      </w:r>
    </w:p>
    <w:p w14:paraId="6BCC62A1" w14:textId="77777777" w:rsidR="00B42CC0" w:rsidRPr="00B42CC0" w:rsidRDefault="00B42CC0" w:rsidP="00B42CC0">
      <w:pPr>
        <w:rPr>
          <w:b/>
          <w:bCs/>
        </w:rPr>
      </w:pPr>
      <w:r w:rsidRPr="00B42CC0">
        <w:rPr>
          <w:b/>
          <w:bCs/>
        </w:rPr>
        <w:t>8. Relevant Legislation and Standards</w:t>
      </w:r>
    </w:p>
    <w:p w14:paraId="1AF09AD9" w14:textId="77777777" w:rsidR="00B42CC0" w:rsidRPr="00B42CC0" w:rsidRDefault="00B42CC0" w:rsidP="00B42CC0">
      <w:pPr>
        <w:numPr>
          <w:ilvl w:val="0"/>
          <w:numId w:val="9"/>
        </w:numPr>
      </w:pPr>
      <w:r w:rsidRPr="00B42CC0">
        <w:t>Aged Care Act 1997 (Cth) — Part 4AA (SIRS)</w:t>
      </w:r>
    </w:p>
    <w:p w14:paraId="1B714117" w14:textId="77777777" w:rsidR="00B42CC0" w:rsidRPr="00B42CC0" w:rsidRDefault="00B42CC0" w:rsidP="00B42CC0">
      <w:pPr>
        <w:numPr>
          <w:ilvl w:val="0"/>
          <w:numId w:val="9"/>
        </w:numPr>
      </w:pPr>
      <w:r w:rsidRPr="00B42CC0">
        <w:t>Strengthened Aged Care Quality Standards — Standard 1, Standard 8</w:t>
      </w:r>
    </w:p>
    <w:p w14:paraId="62DAC30E" w14:textId="77777777" w:rsidR="00B42CC0" w:rsidRPr="00B42CC0" w:rsidRDefault="00B42CC0" w:rsidP="00B42CC0">
      <w:pPr>
        <w:numPr>
          <w:ilvl w:val="0"/>
          <w:numId w:val="9"/>
        </w:numPr>
      </w:pPr>
      <w:r w:rsidRPr="00B42CC0">
        <w:t>Crimes Act (relevant state/territory)</w:t>
      </w:r>
    </w:p>
    <w:p w14:paraId="7D79D6A9" w14:textId="77777777" w:rsidR="00B42CC0" w:rsidRPr="00B42CC0" w:rsidRDefault="00B42CC0" w:rsidP="00B42CC0">
      <w:pPr>
        <w:numPr>
          <w:ilvl w:val="0"/>
          <w:numId w:val="9"/>
        </w:numPr>
      </w:pPr>
      <w:r w:rsidRPr="00B42CC0">
        <w:t>Aged Care Quality and Safety Commission Act 2018 (Cth)</w:t>
      </w:r>
    </w:p>
    <w:p w14:paraId="462D04C9" w14:textId="77777777" w:rsidR="00B42CC0" w:rsidRPr="00B42CC0" w:rsidRDefault="00B42CC0" w:rsidP="00B42CC0">
      <w:pPr>
        <w:rPr>
          <w:b/>
          <w:bCs/>
        </w:rPr>
      </w:pPr>
      <w:r w:rsidRPr="00B42CC0">
        <w:rPr>
          <w:b/>
          <w:bCs/>
        </w:rPr>
        <w:t>9. Review and Monitoring</w:t>
      </w:r>
    </w:p>
    <w:p w14:paraId="481D625E" w14:textId="77777777" w:rsidR="00B42CC0" w:rsidRPr="00B42CC0" w:rsidRDefault="00B42CC0" w:rsidP="00B42CC0">
      <w:r w:rsidRPr="00B42CC0">
        <w:t>This policy will be reviewed annually or when relevant legislation changes. Incident data will be reviewed quarterly by the Facility Manager to identify patterns and inform prevention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4"/>
        <w:gridCol w:w="555"/>
        <w:gridCol w:w="578"/>
        <w:gridCol w:w="1120"/>
      </w:tblGrid>
      <w:tr w:rsidR="00B42CC0" w:rsidRPr="00B42CC0" w14:paraId="7E26B5D9" w14:textId="77777777">
        <w:trPr>
          <w:tblCellSpacing w:w="15" w:type="dxa"/>
        </w:trPr>
        <w:tc>
          <w:tcPr>
            <w:tcW w:w="0" w:type="auto"/>
            <w:vAlign w:val="center"/>
            <w:hideMark/>
          </w:tcPr>
          <w:p w14:paraId="2A5397B3" w14:textId="77777777" w:rsidR="00B42CC0" w:rsidRPr="00B42CC0" w:rsidRDefault="00B42CC0" w:rsidP="00B42CC0">
            <w:pPr>
              <w:rPr>
                <w:b/>
                <w:bCs/>
              </w:rPr>
            </w:pPr>
            <w:r w:rsidRPr="00B42CC0">
              <w:rPr>
                <w:b/>
                <w:bCs/>
              </w:rPr>
              <w:t>Reviewed By</w:t>
            </w:r>
          </w:p>
        </w:tc>
        <w:tc>
          <w:tcPr>
            <w:tcW w:w="0" w:type="auto"/>
            <w:vAlign w:val="center"/>
            <w:hideMark/>
          </w:tcPr>
          <w:p w14:paraId="63EF88EA" w14:textId="77777777" w:rsidR="00B42CC0" w:rsidRPr="00B42CC0" w:rsidRDefault="00B42CC0" w:rsidP="00B42CC0">
            <w:pPr>
              <w:rPr>
                <w:b/>
                <w:bCs/>
              </w:rPr>
            </w:pPr>
            <w:r w:rsidRPr="00B42CC0">
              <w:rPr>
                <w:b/>
                <w:bCs/>
              </w:rPr>
              <w:t>Role</w:t>
            </w:r>
          </w:p>
        </w:tc>
        <w:tc>
          <w:tcPr>
            <w:tcW w:w="0" w:type="auto"/>
            <w:vAlign w:val="center"/>
            <w:hideMark/>
          </w:tcPr>
          <w:p w14:paraId="77645F82" w14:textId="77777777" w:rsidR="00B42CC0" w:rsidRPr="00B42CC0" w:rsidRDefault="00B42CC0" w:rsidP="00B42CC0">
            <w:pPr>
              <w:rPr>
                <w:b/>
                <w:bCs/>
              </w:rPr>
            </w:pPr>
            <w:r w:rsidRPr="00B42CC0">
              <w:rPr>
                <w:b/>
                <w:bCs/>
              </w:rPr>
              <w:t>Date</w:t>
            </w:r>
          </w:p>
        </w:tc>
        <w:tc>
          <w:tcPr>
            <w:tcW w:w="0" w:type="auto"/>
            <w:vAlign w:val="center"/>
            <w:hideMark/>
          </w:tcPr>
          <w:p w14:paraId="60B0EAA5" w14:textId="77777777" w:rsidR="00B42CC0" w:rsidRPr="00B42CC0" w:rsidRDefault="00B42CC0" w:rsidP="00B42CC0">
            <w:pPr>
              <w:rPr>
                <w:b/>
                <w:bCs/>
              </w:rPr>
            </w:pPr>
            <w:r w:rsidRPr="00B42CC0">
              <w:rPr>
                <w:b/>
                <w:bCs/>
              </w:rPr>
              <w:t>Signature</w:t>
            </w:r>
          </w:p>
        </w:tc>
      </w:tr>
      <w:tr w:rsidR="00B42CC0" w:rsidRPr="00B42CC0" w14:paraId="2493FB86" w14:textId="77777777">
        <w:trPr>
          <w:tblCellSpacing w:w="15" w:type="dxa"/>
        </w:trPr>
        <w:tc>
          <w:tcPr>
            <w:tcW w:w="0" w:type="auto"/>
            <w:vAlign w:val="center"/>
            <w:hideMark/>
          </w:tcPr>
          <w:p w14:paraId="2E1B33FA" w14:textId="77777777" w:rsidR="00B42CC0" w:rsidRPr="00B42CC0" w:rsidRDefault="00B42CC0" w:rsidP="00B42CC0">
            <w:r w:rsidRPr="00B42CC0">
              <w:t> </w:t>
            </w:r>
          </w:p>
        </w:tc>
        <w:tc>
          <w:tcPr>
            <w:tcW w:w="0" w:type="auto"/>
            <w:vAlign w:val="center"/>
            <w:hideMark/>
          </w:tcPr>
          <w:p w14:paraId="64A5D842" w14:textId="77777777" w:rsidR="00B42CC0" w:rsidRPr="00B42CC0" w:rsidRDefault="00B42CC0" w:rsidP="00B42CC0">
            <w:r w:rsidRPr="00B42CC0">
              <w:t> </w:t>
            </w:r>
          </w:p>
        </w:tc>
        <w:tc>
          <w:tcPr>
            <w:tcW w:w="0" w:type="auto"/>
            <w:vAlign w:val="center"/>
            <w:hideMark/>
          </w:tcPr>
          <w:p w14:paraId="49663F08" w14:textId="77777777" w:rsidR="00B42CC0" w:rsidRPr="00B42CC0" w:rsidRDefault="00B42CC0" w:rsidP="00B42CC0">
            <w:r w:rsidRPr="00B42CC0">
              <w:t> </w:t>
            </w:r>
          </w:p>
        </w:tc>
        <w:tc>
          <w:tcPr>
            <w:tcW w:w="0" w:type="auto"/>
            <w:vAlign w:val="center"/>
            <w:hideMark/>
          </w:tcPr>
          <w:p w14:paraId="728CF4B0" w14:textId="77777777" w:rsidR="00B42CC0" w:rsidRPr="00B42CC0" w:rsidRDefault="00B42CC0" w:rsidP="00B42CC0">
            <w:r w:rsidRPr="00B42CC0">
              <w:t> </w:t>
            </w:r>
          </w:p>
        </w:tc>
      </w:tr>
      <w:tr w:rsidR="00B42CC0" w:rsidRPr="00B42CC0" w14:paraId="5BF62C17" w14:textId="77777777">
        <w:trPr>
          <w:tblCellSpacing w:w="15" w:type="dxa"/>
        </w:trPr>
        <w:tc>
          <w:tcPr>
            <w:tcW w:w="0" w:type="auto"/>
            <w:vAlign w:val="center"/>
            <w:hideMark/>
          </w:tcPr>
          <w:p w14:paraId="5C25199F" w14:textId="77777777" w:rsidR="00B42CC0" w:rsidRPr="00B42CC0" w:rsidRDefault="00B42CC0" w:rsidP="00B42CC0">
            <w:pPr>
              <w:rPr>
                <w:b/>
                <w:bCs/>
              </w:rPr>
            </w:pPr>
            <w:r w:rsidRPr="00B42CC0">
              <w:rPr>
                <w:b/>
                <w:bCs/>
              </w:rPr>
              <w:t>Approved By</w:t>
            </w:r>
          </w:p>
        </w:tc>
        <w:tc>
          <w:tcPr>
            <w:tcW w:w="0" w:type="auto"/>
            <w:vAlign w:val="center"/>
            <w:hideMark/>
          </w:tcPr>
          <w:p w14:paraId="1654CFB7" w14:textId="77777777" w:rsidR="00B42CC0" w:rsidRPr="00B42CC0" w:rsidRDefault="00B42CC0" w:rsidP="00B42CC0">
            <w:pPr>
              <w:rPr>
                <w:b/>
                <w:bCs/>
              </w:rPr>
            </w:pPr>
            <w:r w:rsidRPr="00B42CC0">
              <w:rPr>
                <w:b/>
                <w:bCs/>
              </w:rPr>
              <w:t>Role</w:t>
            </w:r>
          </w:p>
        </w:tc>
        <w:tc>
          <w:tcPr>
            <w:tcW w:w="0" w:type="auto"/>
            <w:vAlign w:val="center"/>
            <w:hideMark/>
          </w:tcPr>
          <w:p w14:paraId="4EB168FC" w14:textId="77777777" w:rsidR="00B42CC0" w:rsidRPr="00B42CC0" w:rsidRDefault="00B42CC0" w:rsidP="00B42CC0">
            <w:pPr>
              <w:rPr>
                <w:b/>
                <w:bCs/>
              </w:rPr>
            </w:pPr>
            <w:r w:rsidRPr="00B42CC0">
              <w:rPr>
                <w:b/>
                <w:bCs/>
              </w:rPr>
              <w:t>Date</w:t>
            </w:r>
          </w:p>
        </w:tc>
        <w:tc>
          <w:tcPr>
            <w:tcW w:w="0" w:type="auto"/>
            <w:vAlign w:val="center"/>
            <w:hideMark/>
          </w:tcPr>
          <w:p w14:paraId="07156CA8" w14:textId="77777777" w:rsidR="00B42CC0" w:rsidRPr="00B42CC0" w:rsidRDefault="00B42CC0" w:rsidP="00B42CC0">
            <w:pPr>
              <w:rPr>
                <w:b/>
                <w:bCs/>
              </w:rPr>
            </w:pPr>
            <w:r w:rsidRPr="00B42CC0">
              <w:rPr>
                <w:b/>
                <w:bCs/>
              </w:rPr>
              <w:t>Signature</w:t>
            </w:r>
          </w:p>
        </w:tc>
      </w:tr>
      <w:tr w:rsidR="00B42CC0" w:rsidRPr="00B42CC0" w14:paraId="72962DE5" w14:textId="77777777">
        <w:trPr>
          <w:tblCellSpacing w:w="15" w:type="dxa"/>
        </w:trPr>
        <w:tc>
          <w:tcPr>
            <w:tcW w:w="0" w:type="auto"/>
            <w:vAlign w:val="center"/>
            <w:hideMark/>
          </w:tcPr>
          <w:p w14:paraId="0E065E01" w14:textId="77777777" w:rsidR="00B42CC0" w:rsidRPr="00B42CC0" w:rsidRDefault="00B42CC0" w:rsidP="00B42CC0">
            <w:r w:rsidRPr="00B42CC0">
              <w:t> </w:t>
            </w:r>
          </w:p>
        </w:tc>
        <w:tc>
          <w:tcPr>
            <w:tcW w:w="0" w:type="auto"/>
            <w:vAlign w:val="center"/>
            <w:hideMark/>
          </w:tcPr>
          <w:p w14:paraId="2550F234" w14:textId="77777777" w:rsidR="00B42CC0" w:rsidRPr="00B42CC0" w:rsidRDefault="00B42CC0" w:rsidP="00B42CC0">
            <w:r w:rsidRPr="00B42CC0">
              <w:t> </w:t>
            </w:r>
          </w:p>
        </w:tc>
        <w:tc>
          <w:tcPr>
            <w:tcW w:w="0" w:type="auto"/>
            <w:vAlign w:val="center"/>
            <w:hideMark/>
          </w:tcPr>
          <w:p w14:paraId="2D688451" w14:textId="77777777" w:rsidR="00B42CC0" w:rsidRPr="00B42CC0" w:rsidRDefault="00B42CC0" w:rsidP="00B42CC0">
            <w:r w:rsidRPr="00B42CC0">
              <w:t> </w:t>
            </w:r>
          </w:p>
        </w:tc>
        <w:tc>
          <w:tcPr>
            <w:tcW w:w="0" w:type="auto"/>
            <w:vAlign w:val="center"/>
            <w:hideMark/>
          </w:tcPr>
          <w:p w14:paraId="1DA8DF96" w14:textId="77777777" w:rsidR="00B42CC0" w:rsidRPr="00B42CC0" w:rsidRDefault="00B42CC0" w:rsidP="00B42CC0">
            <w:r w:rsidRPr="00B42CC0">
              <w:t> </w:t>
            </w:r>
          </w:p>
        </w:tc>
      </w:tr>
    </w:tbl>
    <w:p w14:paraId="23DAC1D4" w14:textId="77777777" w:rsidR="00B42CC0" w:rsidRDefault="00B42CC0"/>
    <w:sectPr w:rsidR="00B42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2D9F"/>
    <w:multiLevelType w:val="multilevel"/>
    <w:tmpl w:val="D66C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F4754"/>
    <w:multiLevelType w:val="multilevel"/>
    <w:tmpl w:val="5972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B7FAF"/>
    <w:multiLevelType w:val="multilevel"/>
    <w:tmpl w:val="64C4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1057A"/>
    <w:multiLevelType w:val="multilevel"/>
    <w:tmpl w:val="A858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674DD"/>
    <w:multiLevelType w:val="multilevel"/>
    <w:tmpl w:val="15DE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651CE"/>
    <w:multiLevelType w:val="multilevel"/>
    <w:tmpl w:val="1772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A79E3"/>
    <w:multiLevelType w:val="multilevel"/>
    <w:tmpl w:val="A050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04FCD"/>
    <w:multiLevelType w:val="multilevel"/>
    <w:tmpl w:val="3E52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60A11"/>
    <w:multiLevelType w:val="multilevel"/>
    <w:tmpl w:val="A08E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154014">
    <w:abstractNumId w:val="7"/>
  </w:num>
  <w:num w:numId="2" w16cid:durableId="1895579530">
    <w:abstractNumId w:val="5"/>
  </w:num>
  <w:num w:numId="3" w16cid:durableId="1082334235">
    <w:abstractNumId w:val="3"/>
  </w:num>
  <w:num w:numId="4" w16cid:durableId="566454442">
    <w:abstractNumId w:val="6"/>
  </w:num>
  <w:num w:numId="5" w16cid:durableId="197398955">
    <w:abstractNumId w:val="1"/>
  </w:num>
  <w:num w:numId="6" w16cid:durableId="525215774">
    <w:abstractNumId w:val="8"/>
  </w:num>
  <w:num w:numId="7" w16cid:durableId="778063497">
    <w:abstractNumId w:val="4"/>
  </w:num>
  <w:num w:numId="8" w16cid:durableId="1194416837">
    <w:abstractNumId w:val="2"/>
  </w:num>
  <w:num w:numId="9" w16cid:durableId="210503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C0"/>
    <w:rsid w:val="009107CC"/>
    <w:rsid w:val="00B4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5A67"/>
  <w15:chartTrackingRefBased/>
  <w15:docId w15:val="{08C6A743-881A-4B2D-964E-E648A62F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CC0"/>
    <w:rPr>
      <w:rFonts w:eastAsiaTheme="majorEastAsia" w:cstheme="majorBidi"/>
      <w:color w:val="272727" w:themeColor="text1" w:themeTint="D8"/>
    </w:rPr>
  </w:style>
  <w:style w:type="paragraph" w:styleId="Title">
    <w:name w:val="Title"/>
    <w:basedOn w:val="Normal"/>
    <w:next w:val="Normal"/>
    <w:link w:val="TitleChar"/>
    <w:uiPriority w:val="10"/>
    <w:qFormat/>
    <w:rsid w:val="00B42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CC0"/>
    <w:pPr>
      <w:spacing w:before="160"/>
      <w:jc w:val="center"/>
    </w:pPr>
    <w:rPr>
      <w:i/>
      <w:iCs/>
      <w:color w:val="404040" w:themeColor="text1" w:themeTint="BF"/>
    </w:rPr>
  </w:style>
  <w:style w:type="character" w:customStyle="1" w:styleId="QuoteChar">
    <w:name w:val="Quote Char"/>
    <w:basedOn w:val="DefaultParagraphFont"/>
    <w:link w:val="Quote"/>
    <w:uiPriority w:val="29"/>
    <w:rsid w:val="00B42CC0"/>
    <w:rPr>
      <w:i/>
      <w:iCs/>
      <w:color w:val="404040" w:themeColor="text1" w:themeTint="BF"/>
    </w:rPr>
  </w:style>
  <w:style w:type="paragraph" w:styleId="ListParagraph">
    <w:name w:val="List Paragraph"/>
    <w:basedOn w:val="Normal"/>
    <w:uiPriority w:val="34"/>
    <w:qFormat/>
    <w:rsid w:val="00B42CC0"/>
    <w:pPr>
      <w:ind w:left="720"/>
      <w:contextualSpacing/>
    </w:pPr>
  </w:style>
  <w:style w:type="character" w:styleId="IntenseEmphasis">
    <w:name w:val="Intense Emphasis"/>
    <w:basedOn w:val="DefaultParagraphFont"/>
    <w:uiPriority w:val="21"/>
    <w:qFormat/>
    <w:rsid w:val="00B42CC0"/>
    <w:rPr>
      <w:i/>
      <w:iCs/>
      <w:color w:val="0F4761" w:themeColor="accent1" w:themeShade="BF"/>
    </w:rPr>
  </w:style>
  <w:style w:type="paragraph" w:styleId="IntenseQuote">
    <w:name w:val="Intense Quote"/>
    <w:basedOn w:val="Normal"/>
    <w:next w:val="Normal"/>
    <w:link w:val="IntenseQuoteChar"/>
    <w:uiPriority w:val="30"/>
    <w:qFormat/>
    <w:rsid w:val="00B42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CC0"/>
    <w:rPr>
      <w:i/>
      <w:iCs/>
      <w:color w:val="0F4761" w:themeColor="accent1" w:themeShade="BF"/>
    </w:rPr>
  </w:style>
  <w:style w:type="character" w:styleId="IntenseReference">
    <w:name w:val="Intense Reference"/>
    <w:basedOn w:val="DefaultParagraphFont"/>
    <w:uiPriority w:val="32"/>
    <w:qFormat/>
    <w:rsid w:val="00B42C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Paul</dc:creator>
  <cp:keywords/>
  <dc:description/>
  <cp:lastModifiedBy>Nathaniel Paul</cp:lastModifiedBy>
  <cp:revision>1</cp:revision>
  <dcterms:created xsi:type="dcterms:W3CDTF">2026-05-26T05:07:00Z</dcterms:created>
  <dcterms:modified xsi:type="dcterms:W3CDTF">2026-05-26T05:08:00Z</dcterms:modified>
</cp:coreProperties>
</file>