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4C4B" w14:textId="77777777" w:rsidR="00500CF4" w:rsidRPr="00500CF4" w:rsidRDefault="00500CF4" w:rsidP="00500CF4">
      <w:pPr>
        <w:rPr>
          <w:b/>
          <w:bCs/>
        </w:rPr>
      </w:pPr>
      <w:r w:rsidRPr="00500CF4">
        <w:rPr>
          <w:b/>
          <w:bCs/>
        </w:rPr>
        <w:t xml:space="preserve">[Facility </w:t>
      </w:r>
      <w:proofErr w:type="gramStart"/>
      <w:r w:rsidRPr="00500CF4">
        <w:rPr>
          <w:b/>
          <w:bCs/>
        </w:rPr>
        <w:t>Name] —</w:t>
      </w:r>
      <w:proofErr w:type="gramEnd"/>
      <w:r w:rsidRPr="00500CF4">
        <w:rPr>
          <w:b/>
          <w:bCs/>
        </w:rPr>
        <w:t xml:space="preserve"> Serious Incident Response Scheme (SIRS)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928"/>
        <w:gridCol w:w="1418"/>
        <w:gridCol w:w="1612"/>
      </w:tblGrid>
      <w:tr w:rsidR="00500CF4" w:rsidRPr="00500CF4" w14:paraId="7C497A52" w14:textId="77777777">
        <w:trPr>
          <w:tblCellSpacing w:w="15" w:type="dxa"/>
        </w:trPr>
        <w:tc>
          <w:tcPr>
            <w:tcW w:w="0" w:type="auto"/>
            <w:vAlign w:val="center"/>
            <w:hideMark/>
          </w:tcPr>
          <w:p w14:paraId="5B86B748" w14:textId="77777777" w:rsidR="00500CF4" w:rsidRPr="00500CF4" w:rsidRDefault="00500CF4" w:rsidP="00500CF4">
            <w:pPr>
              <w:rPr>
                <w:b/>
                <w:bCs/>
              </w:rPr>
            </w:pPr>
            <w:r w:rsidRPr="00500CF4">
              <w:rPr>
                <w:b/>
                <w:bCs/>
              </w:rPr>
              <w:t>Policy Number</w:t>
            </w:r>
          </w:p>
        </w:tc>
        <w:tc>
          <w:tcPr>
            <w:tcW w:w="0" w:type="auto"/>
            <w:vAlign w:val="center"/>
            <w:hideMark/>
          </w:tcPr>
          <w:p w14:paraId="5A321D6C" w14:textId="77777777" w:rsidR="00500CF4" w:rsidRPr="00500CF4" w:rsidRDefault="00500CF4" w:rsidP="00500CF4">
            <w:r w:rsidRPr="00500CF4">
              <w:t>[e.g. GO-001]</w:t>
            </w:r>
          </w:p>
        </w:tc>
        <w:tc>
          <w:tcPr>
            <w:tcW w:w="0" w:type="auto"/>
            <w:vAlign w:val="center"/>
            <w:hideMark/>
          </w:tcPr>
          <w:p w14:paraId="4F9F9106" w14:textId="77777777" w:rsidR="00500CF4" w:rsidRPr="00500CF4" w:rsidRDefault="00500CF4" w:rsidP="00500CF4">
            <w:pPr>
              <w:rPr>
                <w:b/>
                <w:bCs/>
              </w:rPr>
            </w:pPr>
            <w:r w:rsidRPr="00500CF4">
              <w:rPr>
                <w:b/>
                <w:bCs/>
              </w:rPr>
              <w:t>Version</w:t>
            </w:r>
          </w:p>
        </w:tc>
        <w:tc>
          <w:tcPr>
            <w:tcW w:w="0" w:type="auto"/>
            <w:vAlign w:val="center"/>
            <w:hideMark/>
          </w:tcPr>
          <w:p w14:paraId="378B7663" w14:textId="77777777" w:rsidR="00500CF4" w:rsidRPr="00500CF4" w:rsidRDefault="00500CF4" w:rsidP="00500CF4">
            <w:r w:rsidRPr="00500CF4">
              <w:t>1.0</w:t>
            </w:r>
          </w:p>
        </w:tc>
      </w:tr>
      <w:tr w:rsidR="00500CF4" w:rsidRPr="00500CF4" w14:paraId="20583173" w14:textId="77777777">
        <w:trPr>
          <w:tblCellSpacing w:w="15" w:type="dxa"/>
        </w:trPr>
        <w:tc>
          <w:tcPr>
            <w:tcW w:w="0" w:type="auto"/>
            <w:vAlign w:val="center"/>
            <w:hideMark/>
          </w:tcPr>
          <w:p w14:paraId="29E68B22" w14:textId="77777777" w:rsidR="00500CF4" w:rsidRPr="00500CF4" w:rsidRDefault="00500CF4" w:rsidP="00500CF4">
            <w:pPr>
              <w:rPr>
                <w:b/>
                <w:bCs/>
              </w:rPr>
            </w:pPr>
            <w:r w:rsidRPr="00500CF4">
              <w:rPr>
                <w:b/>
                <w:bCs/>
              </w:rPr>
              <w:t>Effective Date</w:t>
            </w:r>
          </w:p>
        </w:tc>
        <w:tc>
          <w:tcPr>
            <w:tcW w:w="0" w:type="auto"/>
            <w:vAlign w:val="center"/>
            <w:hideMark/>
          </w:tcPr>
          <w:p w14:paraId="0C746E32" w14:textId="77777777" w:rsidR="00500CF4" w:rsidRPr="00500CF4" w:rsidRDefault="00500CF4" w:rsidP="00500CF4">
            <w:r w:rsidRPr="00500CF4">
              <w:t>[DD/MM/YYYY]</w:t>
            </w:r>
          </w:p>
        </w:tc>
        <w:tc>
          <w:tcPr>
            <w:tcW w:w="0" w:type="auto"/>
            <w:vAlign w:val="center"/>
            <w:hideMark/>
          </w:tcPr>
          <w:p w14:paraId="69B43BA5" w14:textId="77777777" w:rsidR="00500CF4" w:rsidRPr="00500CF4" w:rsidRDefault="00500CF4" w:rsidP="00500CF4">
            <w:pPr>
              <w:rPr>
                <w:b/>
                <w:bCs/>
              </w:rPr>
            </w:pPr>
            <w:r w:rsidRPr="00500CF4">
              <w:rPr>
                <w:b/>
                <w:bCs/>
              </w:rPr>
              <w:t>Review Date</w:t>
            </w:r>
          </w:p>
        </w:tc>
        <w:tc>
          <w:tcPr>
            <w:tcW w:w="0" w:type="auto"/>
            <w:vAlign w:val="center"/>
            <w:hideMark/>
          </w:tcPr>
          <w:p w14:paraId="42610DB8" w14:textId="77777777" w:rsidR="00500CF4" w:rsidRPr="00500CF4" w:rsidRDefault="00500CF4" w:rsidP="00500CF4">
            <w:r w:rsidRPr="00500CF4">
              <w:t>[DD/MM/YYYY]</w:t>
            </w:r>
          </w:p>
        </w:tc>
      </w:tr>
      <w:tr w:rsidR="00500CF4" w:rsidRPr="00500CF4" w14:paraId="59DC17FA" w14:textId="77777777">
        <w:trPr>
          <w:tblCellSpacing w:w="15" w:type="dxa"/>
        </w:trPr>
        <w:tc>
          <w:tcPr>
            <w:tcW w:w="0" w:type="auto"/>
            <w:vAlign w:val="center"/>
            <w:hideMark/>
          </w:tcPr>
          <w:p w14:paraId="726DC7F0" w14:textId="77777777" w:rsidR="00500CF4" w:rsidRPr="00500CF4" w:rsidRDefault="00500CF4" w:rsidP="00500CF4">
            <w:pPr>
              <w:rPr>
                <w:b/>
                <w:bCs/>
              </w:rPr>
            </w:pPr>
            <w:r w:rsidRPr="00500CF4">
              <w:rPr>
                <w:b/>
                <w:bCs/>
              </w:rPr>
              <w:t>Policy Owner</w:t>
            </w:r>
          </w:p>
        </w:tc>
        <w:tc>
          <w:tcPr>
            <w:tcW w:w="0" w:type="auto"/>
            <w:vAlign w:val="center"/>
            <w:hideMark/>
          </w:tcPr>
          <w:p w14:paraId="789C471B" w14:textId="77777777" w:rsidR="00500CF4" w:rsidRPr="00500CF4" w:rsidRDefault="00500CF4" w:rsidP="00500CF4">
            <w:r w:rsidRPr="00500CF4">
              <w:t>CEO / Compliance Manager</w:t>
            </w:r>
          </w:p>
        </w:tc>
        <w:tc>
          <w:tcPr>
            <w:tcW w:w="0" w:type="auto"/>
            <w:vAlign w:val="center"/>
            <w:hideMark/>
          </w:tcPr>
          <w:p w14:paraId="1E60E001" w14:textId="77777777" w:rsidR="00500CF4" w:rsidRPr="00500CF4" w:rsidRDefault="00500CF4" w:rsidP="00500CF4">
            <w:pPr>
              <w:rPr>
                <w:b/>
                <w:bCs/>
              </w:rPr>
            </w:pPr>
            <w:r w:rsidRPr="00500CF4">
              <w:rPr>
                <w:b/>
                <w:bCs/>
              </w:rPr>
              <w:t>Approved By</w:t>
            </w:r>
          </w:p>
        </w:tc>
        <w:tc>
          <w:tcPr>
            <w:tcW w:w="0" w:type="auto"/>
            <w:vAlign w:val="center"/>
            <w:hideMark/>
          </w:tcPr>
          <w:p w14:paraId="057E5052" w14:textId="77777777" w:rsidR="00500CF4" w:rsidRPr="00500CF4" w:rsidRDefault="00500CF4" w:rsidP="00500CF4">
            <w:r w:rsidRPr="00500CF4">
              <w:t>[Board / CEO]</w:t>
            </w:r>
          </w:p>
        </w:tc>
      </w:tr>
    </w:tbl>
    <w:p w14:paraId="6B90C8E1" w14:textId="77777777" w:rsidR="00500CF4" w:rsidRPr="00500CF4" w:rsidRDefault="00500CF4" w:rsidP="00500CF4">
      <w:pPr>
        <w:rPr>
          <w:b/>
          <w:bCs/>
        </w:rPr>
      </w:pPr>
      <w:r w:rsidRPr="00500CF4">
        <w:rPr>
          <w:b/>
          <w:bCs/>
        </w:rPr>
        <w:t>1. Purpose</w:t>
      </w:r>
    </w:p>
    <w:p w14:paraId="2C7751A1" w14:textId="77777777" w:rsidR="00500CF4" w:rsidRPr="00500CF4" w:rsidRDefault="00500CF4" w:rsidP="00500CF4">
      <w:r w:rsidRPr="00500CF4">
        <w:t xml:space="preserve">This policy establishes [Facility Name]'s obligations and processes under the Serious Incident Response Scheme (SIRS) as defined in the Aged Care Act 1997 and the </w:t>
      </w:r>
      <w:proofErr w:type="gramStart"/>
      <w:r w:rsidRPr="00500CF4">
        <w:t>Quality of Care</w:t>
      </w:r>
      <w:proofErr w:type="gramEnd"/>
      <w:r w:rsidRPr="00500CF4">
        <w:t xml:space="preserve"> Principles 2014. It ensures all reportable incidents are identified, reported to the Aged Care Quality and Safety Commission (ACQSC) within required timeframes, investigated thoroughly, and actioned to prevent recurrence.</w:t>
      </w:r>
    </w:p>
    <w:p w14:paraId="78836AEC" w14:textId="77777777" w:rsidR="00500CF4" w:rsidRPr="00500CF4" w:rsidRDefault="00500CF4" w:rsidP="00500CF4">
      <w:pPr>
        <w:rPr>
          <w:b/>
          <w:bCs/>
        </w:rPr>
      </w:pPr>
      <w:r w:rsidRPr="00500CF4">
        <w:rPr>
          <w:b/>
          <w:bCs/>
        </w:rPr>
        <w:t>2. Scope</w:t>
      </w:r>
    </w:p>
    <w:p w14:paraId="64A9CCFA" w14:textId="77777777" w:rsidR="00500CF4" w:rsidRPr="00500CF4" w:rsidRDefault="00500CF4" w:rsidP="00500CF4">
      <w:r w:rsidRPr="00500CF4">
        <w:t>This policy applies to all staff, contractors, and volunteers at [Facility Name] who may witness, be involved in, or become aware of a serious incident involving a resident.</w:t>
      </w:r>
    </w:p>
    <w:p w14:paraId="61298CBA" w14:textId="77777777" w:rsidR="00500CF4" w:rsidRPr="00500CF4" w:rsidRDefault="00500CF4" w:rsidP="00500CF4">
      <w:pPr>
        <w:rPr>
          <w:b/>
          <w:bCs/>
        </w:rPr>
      </w:pPr>
      <w:r w:rsidRPr="00500CF4">
        <w:rPr>
          <w:b/>
          <w:bCs/>
        </w:rPr>
        <w:t>3. Policy Statement</w:t>
      </w:r>
    </w:p>
    <w:p w14:paraId="1208A9B8" w14:textId="77777777" w:rsidR="00500CF4" w:rsidRPr="00500CF4" w:rsidRDefault="00500CF4" w:rsidP="00500CF4">
      <w:r w:rsidRPr="00500CF4">
        <w:t>[Facility Name] is committed to a culture of safety, accountability, and transparency. We will identify and respond to all serious incidents promptly, support affected residents and families, and notify the ACQSC in accordance with our legal obligations. No staff member will be victimised for reporting a serious incident in good faith.</w:t>
      </w:r>
    </w:p>
    <w:p w14:paraId="7163ABC4" w14:textId="77777777" w:rsidR="00500CF4" w:rsidRPr="00500CF4" w:rsidRDefault="00500CF4" w:rsidP="00500CF4">
      <w:pPr>
        <w:rPr>
          <w:b/>
          <w:bCs/>
        </w:rPr>
      </w:pPr>
      <w:r w:rsidRPr="00500CF4">
        <w:rPr>
          <w:b/>
          <w:bCs/>
        </w:rPr>
        <w:t>4. Definitions</w:t>
      </w:r>
    </w:p>
    <w:p w14:paraId="17C179B0" w14:textId="77777777" w:rsidR="00500CF4" w:rsidRPr="00500CF4" w:rsidRDefault="00500CF4" w:rsidP="00500CF4">
      <w:pPr>
        <w:numPr>
          <w:ilvl w:val="0"/>
          <w:numId w:val="1"/>
        </w:numPr>
      </w:pPr>
      <w:r w:rsidRPr="00500CF4">
        <w:rPr>
          <w:b/>
          <w:bCs/>
        </w:rPr>
        <w:t>Serious Incident:</w:t>
      </w:r>
      <w:r w:rsidRPr="00500CF4">
        <w:t xml:space="preserve"> Any of the 8 reportable incident categories as defined under the Aged Care Act 1997 and the </w:t>
      </w:r>
      <w:proofErr w:type="gramStart"/>
      <w:r w:rsidRPr="00500CF4">
        <w:t>Quality of Care</w:t>
      </w:r>
      <w:proofErr w:type="gramEnd"/>
      <w:r w:rsidRPr="00500CF4">
        <w:t xml:space="preserve"> Principles 2014 (see Section 5.1).</w:t>
      </w:r>
    </w:p>
    <w:p w14:paraId="74661599" w14:textId="77777777" w:rsidR="00500CF4" w:rsidRPr="00500CF4" w:rsidRDefault="00500CF4" w:rsidP="00500CF4">
      <w:pPr>
        <w:numPr>
          <w:ilvl w:val="0"/>
          <w:numId w:val="1"/>
        </w:numPr>
      </w:pPr>
      <w:r w:rsidRPr="00500CF4">
        <w:rPr>
          <w:b/>
          <w:bCs/>
        </w:rPr>
        <w:t>Priority 1 Incident:</w:t>
      </w:r>
      <w:r w:rsidRPr="00500CF4">
        <w:t xml:space="preserve"> A serious incident that </w:t>
      </w:r>
      <w:proofErr w:type="gramStart"/>
      <w:r w:rsidRPr="00500CF4">
        <w:t>occurred, or</w:t>
      </w:r>
      <w:proofErr w:type="gramEnd"/>
      <w:r w:rsidRPr="00500CF4">
        <w:t xml:space="preserve"> is likely to have occurred. Must be notified </w:t>
      </w:r>
      <w:proofErr w:type="gramStart"/>
      <w:r w:rsidRPr="00500CF4">
        <w:t>to</w:t>
      </w:r>
      <w:proofErr w:type="gramEnd"/>
      <w:r w:rsidRPr="00500CF4">
        <w:t xml:space="preserve"> the ACQSC within 24 hours.</w:t>
      </w:r>
    </w:p>
    <w:p w14:paraId="0B57856C" w14:textId="77777777" w:rsidR="00500CF4" w:rsidRPr="00500CF4" w:rsidRDefault="00500CF4" w:rsidP="00500CF4">
      <w:pPr>
        <w:numPr>
          <w:ilvl w:val="0"/>
          <w:numId w:val="1"/>
        </w:numPr>
      </w:pPr>
      <w:r w:rsidRPr="00500CF4">
        <w:rPr>
          <w:b/>
          <w:bCs/>
        </w:rPr>
        <w:t>Priority 2 Incident:</w:t>
      </w:r>
      <w:r w:rsidRPr="00500CF4">
        <w:t xml:space="preserve"> A serious incident that may have occurred. Must be notified </w:t>
      </w:r>
      <w:proofErr w:type="gramStart"/>
      <w:r w:rsidRPr="00500CF4">
        <w:t>to</w:t>
      </w:r>
      <w:proofErr w:type="gramEnd"/>
      <w:r w:rsidRPr="00500CF4">
        <w:t xml:space="preserve"> the ACQSC within 30 days.</w:t>
      </w:r>
    </w:p>
    <w:p w14:paraId="37A63702" w14:textId="77777777" w:rsidR="00500CF4" w:rsidRPr="00500CF4" w:rsidRDefault="00500CF4" w:rsidP="00500CF4">
      <w:pPr>
        <w:numPr>
          <w:ilvl w:val="0"/>
          <w:numId w:val="1"/>
        </w:numPr>
      </w:pPr>
      <w:r w:rsidRPr="00500CF4">
        <w:rPr>
          <w:b/>
          <w:bCs/>
        </w:rPr>
        <w:t>ACQSC:</w:t>
      </w:r>
      <w:r w:rsidRPr="00500CF4">
        <w:t> The Aged Care Quality and Safety Commission — the regulator responsible for receiving SIRS notifications and investigating serious incidents.</w:t>
      </w:r>
    </w:p>
    <w:p w14:paraId="7E991918" w14:textId="77777777" w:rsidR="00500CF4" w:rsidRPr="00500CF4" w:rsidRDefault="00500CF4" w:rsidP="00500CF4">
      <w:pPr>
        <w:rPr>
          <w:b/>
          <w:bCs/>
        </w:rPr>
      </w:pPr>
      <w:r w:rsidRPr="00500CF4">
        <w:rPr>
          <w:b/>
          <w:bCs/>
        </w:rPr>
        <w:t>5. Procedures</w:t>
      </w:r>
    </w:p>
    <w:p w14:paraId="5264B7F6" w14:textId="77777777" w:rsidR="00500CF4" w:rsidRPr="00500CF4" w:rsidRDefault="00500CF4" w:rsidP="00500CF4">
      <w:pPr>
        <w:rPr>
          <w:b/>
          <w:bCs/>
        </w:rPr>
      </w:pPr>
      <w:r w:rsidRPr="00500CF4">
        <w:rPr>
          <w:b/>
          <w:bCs/>
        </w:rPr>
        <w:t>5.1 Reportable Incident Categories</w:t>
      </w:r>
    </w:p>
    <w:p w14:paraId="7CF23726" w14:textId="77777777" w:rsidR="00500CF4" w:rsidRPr="00500CF4" w:rsidRDefault="00500CF4" w:rsidP="00500CF4">
      <w:r w:rsidRPr="00500CF4">
        <w:lastRenderedPageBreak/>
        <w:t>The following 8 categories constitute reportable incidents under SIRS:</w:t>
      </w:r>
    </w:p>
    <w:p w14:paraId="733AA463" w14:textId="77777777" w:rsidR="00500CF4" w:rsidRPr="00500CF4" w:rsidRDefault="00500CF4" w:rsidP="00500CF4">
      <w:pPr>
        <w:numPr>
          <w:ilvl w:val="0"/>
          <w:numId w:val="2"/>
        </w:numPr>
      </w:pPr>
      <w:r w:rsidRPr="00500CF4">
        <w:t>Unreasonable use of force against a care recipient</w:t>
      </w:r>
    </w:p>
    <w:p w14:paraId="2BC16646" w14:textId="77777777" w:rsidR="00500CF4" w:rsidRPr="00500CF4" w:rsidRDefault="00500CF4" w:rsidP="00500CF4">
      <w:pPr>
        <w:numPr>
          <w:ilvl w:val="0"/>
          <w:numId w:val="2"/>
        </w:numPr>
      </w:pPr>
      <w:r w:rsidRPr="00500CF4">
        <w:t>Unlawful sexual contact or inappropriate sexual conduct involving a care recipient</w:t>
      </w:r>
    </w:p>
    <w:p w14:paraId="357D4C18" w14:textId="77777777" w:rsidR="00500CF4" w:rsidRPr="00500CF4" w:rsidRDefault="00500CF4" w:rsidP="00500CF4">
      <w:pPr>
        <w:numPr>
          <w:ilvl w:val="0"/>
          <w:numId w:val="2"/>
        </w:numPr>
      </w:pPr>
      <w:r w:rsidRPr="00500CF4">
        <w:t>Psychological or emotional abuse of a care recipient</w:t>
      </w:r>
    </w:p>
    <w:p w14:paraId="22DD0532" w14:textId="77777777" w:rsidR="00500CF4" w:rsidRPr="00500CF4" w:rsidRDefault="00500CF4" w:rsidP="00500CF4">
      <w:pPr>
        <w:numPr>
          <w:ilvl w:val="0"/>
          <w:numId w:val="2"/>
        </w:numPr>
      </w:pPr>
      <w:r w:rsidRPr="00500CF4">
        <w:t>Unexpected death of a care recipient</w:t>
      </w:r>
    </w:p>
    <w:p w14:paraId="141D05CA" w14:textId="77777777" w:rsidR="00500CF4" w:rsidRPr="00500CF4" w:rsidRDefault="00500CF4" w:rsidP="00500CF4">
      <w:pPr>
        <w:numPr>
          <w:ilvl w:val="0"/>
          <w:numId w:val="2"/>
        </w:numPr>
      </w:pPr>
      <w:r w:rsidRPr="00500CF4">
        <w:t>Stealing from, or financial coercion of, a care recipient by a staff member</w:t>
      </w:r>
    </w:p>
    <w:p w14:paraId="3873D9D2" w14:textId="77777777" w:rsidR="00500CF4" w:rsidRPr="00500CF4" w:rsidRDefault="00500CF4" w:rsidP="00500CF4">
      <w:pPr>
        <w:numPr>
          <w:ilvl w:val="0"/>
          <w:numId w:val="2"/>
        </w:numPr>
      </w:pPr>
      <w:r w:rsidRPr="00500CF4">
        <w:t>Neglect of a care recipient</w:t>
      </w:r>
    </w:p>
    <w:p w14:paraId="4F78130C" w14:textId="77777777" w:rsidR="00500CF4" w:rsidRPr="00500CF4" w:rsidRDefault="00500CF4" w:rsidP="00500CF4">
      <w:pPr>
        <w:numPr>
          <w:ilvl w:val="0"/>
          <w:numId w:val="2"/>
        </w:numPr>
      </w:pPr>
      <w:r w:rsidRPr="00500CF4">
        <w:t xml:space="preserve">Use of </w:t>
      </w:r>
      <w:proofErr w:type="gramStart"/>
      <w:r w:rsidRPr="00500CF4">
        <w:t>a restrictive</w:t>
      </w:r>
      <w:proofErr w:type="gramEnd"/>
      <w:r w:rsidRPr="00500CF4">
        <w:t xml:space="preserve"> practice in relation to a care recipient that is not in compliance with requirements</w:t>
      </w:r>
    </w:p>
    <w:p w14:paraId="4C7F9152" w14:textId="77777777" w:rsidR="00500CF4" w:rsidRPr="00500CF4" w:rsidRDefault="00500CF4" w:rsidP="00500CF4">
      <w:pPr>
        <w:numPr>
          <w:ilvl w:val="0"/>
          <w:numId w:val="2"/>
        </w:numPr>
      </w:pPr>
      <w:r w:rsidRPr="00500CF4">
        <w:t>Unexplained absence of a care recipient from a residential facility</w:t>
      </w:r>
    </w:p>
    <w:p w14:paraId="54F6C816" w14:textId="77777777" w:rsidR="00500CF4" w:rsidRPr="00500CF4" w:rsidRDefault="00500CF4" w:rsidP="00500CF4">
      <w:pPr>
        <w:rPr>
          <w:b/>
          <w:bCs/>
        </w:rPr>
      </w:pPr>
      <w:r w:rsidRPr="00500CF4">
        <w:rPr>
          <w:b/>
          <w:bCs/>
        </w:rPr>
        <w:t>5.2 Identification and Immediate Response</w:t>
      </w:r>
    </w:p>
    <w:p w14:paraId="1A66D0E8" w14:textId="77777777" w:rsidR="00500CF4" w:rsidRPr="00500CF4" w:rsidRDefault="00500CF4" w:rsidP="00500CF4">
      <w:pPr>
        <w:numPr>
          <w:ilvl w:val="0"/>
          <w:numId w:val="3"/>
        </w:numPr>
      </w:pPr>
      <w:r w:rsidRPr="00500CF4">
        <w:t>Any staff member who witnesses, suspects, or is informed of a possible serious incident must report it to the Facility Manager or Director of Nursing immediately.</w:t>
      </w:r>
    </w:p>
    <w:p w14:paraId="756910BF" w14:textId="77777777" w:rsidR="00500CF4" w:rsidRPr="00500CF4" w:rsidRDefault="00500CF4" w:rsidP="00500CF4">
      <w:pPr>
        <w:numPr>
          <w:ilvl w:val="0"/>
          <w:numId w:val="3"/>
        </w:numPr>
      </w:pPr>
      <w:r w:rsidRPr="00500CF4">
        <w:t>If the incident involves a physical injury or immediate safety risk, first aid and/or emergency services must be summoned before any reporting step.</w:t>
      </w:r>
    </w:p>
    <w:p w14:paraId="5AB45FA1" w14:textId="77777777" w:rsidR="00500CF4" w:rsidRPr="00500CF4" w:rsidRDefault="00500CF4" w:rsidP="00500CF4">
      <w:pPr>
        <w:numPr>
          <w:ilvl w:val="0"/>
          <w:numId w:val="3"/>
        </w:numPr>
      </w:pPr>
      <w:r w:rsidRPr="00500CF4">
        <w:t xml:space="preserve">The affected </w:t>
      </w:r>
      <w:proofErr w:type="gramStart"/>
      <w:r w:rsidRPr="00500CF4">
        <w:t>resident</w:t>
      </w:r>
      <w:proofErr w:type="gramEnd"/>
      <w:r w:rsidRPr="00500CF4">
        <w:t xml:space="preserve"> must be made </w:t>
      </w:r>
      <w:proofErr w:type="gramStart"/>
      <w:r w:rsidRPr="00500CF4">
        <w:t>safe</w:t>
      </w:r>
      <w:proofErr w:type="gramEnd"/>
      <w:r w:rsidRPr="00500CF4">
        <w:t xml:space="preserve"> and their immediate needs attended to.</w:t>
      </w:r>
    </w:p>
    <w:p w14:paraId="54C58139" w14:textId="77777777" w:rsidR="00500CF4" w:rsidRPr="00500CF4" w:rsidRDefault="00500CF4" w:rsidP="00500CF4">
      <w:pPr>
        <w:rPr>
          <w:b/>
          <w:bCs/>
        </w:rPr>
      </w:pPr>
      <w:r w:rsidRPr="00500CF4">
        <w:rPr>
          <w:b/>
          <w:bCs/>
        </w:rPr>
        <w:t>5.3 Classification and Notification to the ACQSC</w:t>
      </w:r>
    </w:p>
    <w:p w14:paraId="37FB4A77" w14:textId="77777777" w:rsidR="00500CF4" w:rsidRPr="00500CF4" w:rsidRDefault="00500CF4" w:rsidP="00500CF4">
      <w:pPr>
        <w:numPr>
          <w:ilvl w:val="0"/>
          <w:numId w:val="4"/>
        </w:numPr>
      </w:pPr>
      <w:r w:rsidRPr="00500CF4">
        <w:t>The Facility Manager will classify the incident as Priority 1 or Priority 2 within [X] hours of becoming aware.</w:t>
      </w:r>
    </w:p>
    <w:p w14:paraId="3E647A24" w14:textId="77777777" w:rsidR="00500CF4" w:rsidRPr="00500CF4" w:rsidRDefault="00500CF4" w:rsidP="00500CF4">
      <w:pPr>
        <w:numPr>
          <w:ilvl w:val="0"/>
          <w:numId w:val="4"/>
        </w:numPr>
      </w:pPr>
      <w:r w:rsidRPr="00500CF4">
        <w:rPr>
          <w:b/>
          <w:bCs/>
        </w:rPr>
        <w:t>Priority 1 incidents</w:t>
      </w:r>
      <w:r w:rsidRPr="00500CF4">
        <w:t> must be notified to the ACQSC via the My Aged Care provider portal within </w:t>
      </w:r>
      <w:r w:rsidRPr="00500CF4">
        <w:rPr>
          <w:b/>
          <w:bCs/>
        </w:rPr>
        <w:t>24 hours</w:t>
      </w:r>
      <w:r w:rsidRPr="00500CF4">
        <w:t>.</w:t>
      </w:r>
    </w:p>
    <w:p w14:paraId="2FAE98C9" w14:textId="77777777" w:rsidR="00500CF4" w:rsidRPr="00500CF4" w:rsidRDefault="00500CF4" w:rsidP="00500CF4">
      <w:pPr>
        <w:numPr>
          <w:ilvl w:val="0"/>
          <w:numId w:val="4"/>
        </w:numPr>
      </w:pPr>
      <w:r w:rsidRPr="00500CF4">
        <w:rPr>
          <w:b/>
          <w:bCs/>
        </w:rPr>
        <w:t>Priority 2 incidents</w:t>
      </w:r>
      <w:r w:rsidRPr="00500CF4">
        <w:t> must be notified within </w:t>
      </w:r>
      <w:r w:rsidRPr="00500CF4">
        <w:rPr>
          <w:b/>
          <w:bCs/>
        </w:rPr>
        <w:t>30 days</w:t>
      </w:r>
      <w:r w:rsidRPr="00500CF4">
        <w:t> of the provider becoming aware.</w:t>
      </w:r>
    </w:p>
    <w:p w14:paraId="58282B76" w14:textId="77777777" w:rsidR="00500CF4" w:rsidRPr="00500CF4" w:rsidRDefault="00500CF4" w:rsidP="00500CF4">
      <w:pPr>
        <w:numPr>
          <w:ilvl w:val="0"/>
          <w:numId w:val="4"/>
        </w:numPr>
      </w:pPr>
      <w:r w:rsidRPr="00500CF4">
        <w:t>All notifications must include: the nature and circumstances of the incident; the identity of the resident(s) affected; actions taken in response.</w:t>
      </w:r>
    </w:p>
    <w:p w14:paraId="181842E8" w14:textId="77777777" w:rsidR="00500CF4" w:rsidRPr="00500CF4" w:rsidRDefault="00500CF4" w:rsidP="00500CF4">
      <w:pPr>
        <w:rPr>
          <w:b/>
          <w:bCs/>
        </w:rPr>
      </w:pPr>
      <w:r w:rsidRPr="00500CF4">
        <w:rPr>
          <w:b/>
          <w:bCs/>
        </w:rPr>
        <w:t>5.4 Resident and Family Notification</w:t>
      </w:r>
    </w:p>
    <w:p w14:paraId="75CB8D7A" w14:textId="77777777" w:rsidR="00500CF4" w:rsidRPr="00500CF4" w:rsidRDefault="00500CF4" w:rsidP="00500CF4">
      <w:pPr>
        <w:numPr>
          <w:ilvl w:val="0"/>
          <w:numId w:val="5"/>
        </w:numPr>
      </w:pPr>
      <w:r w:rsidRPr="00500CF4">
        <w:t xml:space="preserve">The affected </w:t>
      </w:r>
      <w:proofErr w:type="gramStart"/>
      <w:r w:rsidRPr="00500CF4">
        <w:t>resident</w:t>
      </w:r>
      <w:proofErr w:type="gramEnd"/>
      <w:r w:rsidRPr="00500CF4">
        <w:t xml:space="preserve"> will be informed of the incident (where capacity allows) and offered support.</w:t>
      </w:r>
    </w:p>
    <w:p w14:paraId="1CFF814D" w14:textId="77777777" w:rsidR="00500CF4" w:rsidRPr="00500CF4" w:rsidRDefault="00500CF4" w:rsidP="00500CF4">
      <w:pPr>
        <w:numPr>
          <w:ilvl w:val="0"/>
          <w:numId w:val="5"/>
        </w:numPr>
      </w:pPr>
      <w:r w:rsidRPr="00500CF4">
        <w:lastRenderedPageBreak/>
        <w:t>The resident's family or substitute decision-maker will be notified within [X] hours, unless the resident has requested otherwise.</w:t>
      </w:r>
    </w:p>
    <w:p w14:paraId="111023BE" w14:textId="77777777" w:rsidR="00500CF4" w:rsidRPr="00500CF4" w:rsidRDefault="00500CF4" w:rsidP="00500CF4">
      <w:pPr>
        <w:rPr>
          <w:b/>
          <w:bCs/>
        </w:rPr>
      </w:pPr>
      <w:r w:rsidRPr="00500CF4">
        <w:rPr>
          <w:b/>
          <w:bCs/>
        </w:rPr>
        <w:t>5.5 Internal Investigation</w:t>
      </w:r>
    </w:p>
    <w:p w14:paraId="3337EF6A" w14:textId="77777777" w:rsidR="00500CF4" w:rsidRPr="00500CF4" w:rsidRDefault="00500CF4" w:rsidP="00500CF4">
      <w:pPr>
        <w:numPr>
          <w:ilvl w:val="0"/>
          <w:numId w:val="6"/>
        </w:numPr>
      </w:pPr>
      <w:r w:rsidRPr="00500CF4">
        <w:t xml:space="preserve">An internal investigation will be initiated </w:t>
      </w:r>
      <w:proofErr w:type="gramStart"/>
      <w:r w:rsidRPr="00500CF4">
        <w:t>for</w:t>
      </w:r>
      <w:proofErr w:type="gramEnd"/>
      <w:r w:rsidRPr="00500CF4">
        <w:t xml:space="preserve"> all serious incidents within [X] days of identification.</w:t>
      </w:r>
    </w:p>
    <w:p w14:paraId="03E8829D" w14:textId="77777777" w:rsidR="00500CF4" w:rsidRPr="00500CF4" w:rsidRDefault="00500CF4" w:rsidP="00500CF4">
      <w:pPr>
        <w:numPr>
          <w:ilvl w:val="0"/>
          <w:numId w:val="6"/>
        </w:numPr>
      </w:pPr>
      <w:r w:rsidRPr="00500CF4">
        <w:t xml:space="preserve">The investigation will </w:t>
      </w:r>
      <w:proofErr w:type="gramStart"/>
      <w:r w:rsidRPr="00500CF4">
        <w:t>identify:</w:t>
      </w:r>
      <w:proofErr w:type="gramEnd"/>
      <w:r w:rsidRPr="00500CF4">
        <w:t xml:space="preserve"> what happened; contributing factors; immediate actions taken; systemic issues; corrective actions required.</w:t>
      </w:r>
    </w:p>
    <w:p w14:paraId="09E770FE" w14:textId="77777777" w:rsidR="00500CF4" w:rsidRPr="00500CF4" w:rsidRDefault="00500CF4" w:rsidP="00500CF4">
      <w:pPr>
        <w:numPr>
          <w:ilvl w:val="0"/>
          <w:numId w:val="6"/>
        </w:numPr>
      </w:pPr>
      <w:r w:rsidRPr="00500CF4">
        <w:t>Investigation findings will be documented and provided to the ACQSC as part of the required 30-day follow-up report (where applicable).</w:t>
      </w:r>
    </w:p>
    <w:p w14:paraId="0EE67D58" w14:textId="77777777" w:rsidR="00500CF4" w:rsidRPr="00500CF4" w:rsidRDefault="00500CF4" w:rsidP="00500CF4">
      <w:pPr>
        <w:numPr>
          <w:ilvl w:val="0"/>
          <w:numId w:val="6"/>
        </w:numPr>
      </w:pPr>
      <w:r w:rsidRPr="00500CF4">
        <w:t>Staff involved in or investigated in relation to an incident may be stood down during investigation in accordance with HR policy and relevant employment law.</w:t>
      </w:r>
    </w:p>
    <w:p w14:paraId="3B634DDE" w14:textId="77777777" w:rsidR="00500CF4" w:rsidRPr="00500CF4" w:rsidRDefault="00500CF4" w:rsidP="00500CF4">
      <w:pPr>
        <w:rPr>
          <w:b/>
          <w:bCs/>
        </w:rPr>
      </w:pPr>
      <w:r w:rsidRPr="00500CF4">
        <w:rPr>
          <w:b/>
          <w:bCs/>
        </w:rPr>
        <w:t>5.6 Record Keeping</w:t>
      </w:r>
    </w:p>
    <w:p w14:paraId="6BAF20A0" w14:textId="77777777" w:rsidR="00500CF4" w:rsidRPr="00500CF4" w:rsidRDefault="00500CF4" w:rsidP="00500CF4">
      <w:pPr>
        <w:numPr>
          <w:ilvl w:val="0"/>
          <w:numId w:val="7"/>
        </w:numPr>
      </w:pPr>
      <w:r w:rsidRPr="00500CF4">
        <w:t>All serious incidents, notifications, investigation records, and corrective actions will be retained in the Incident Register for a minimum of [7] years.</w:t>
      </w:r>
    </w:p>
    <w:p w14:paraId="3883984E" w14:textId="77777777" w:rsidR="00500CF4" w:rsidRPr="00500CF4" w:rsidRDefault="00500CF4" w:rsidP="00500CF4">
      <w:pPr>
        <w:numPr>
          <w:ilvl w:val="0"/>
          <w:numId w:val="7"/>
        </w:numPr>
      </w:pPr>
      <w:r w:rsidRPr="00500CF4">
        <w:t>Records will be available for review by the ACQSC on request.</w:t>
      </w:r>
    </w:p>
    <w:p w14:paraId="2B76BDAE" w14:textId="77777777" w:rsidR="00500CF4" w:rsidRPr="00500CF4" w:rsidRDefault="00500CF4" w:rsidP="00500CF4">
      <w:pPr>
        <w:rPr>
          <w:b/>
          <w:bCs/>
        </w:rPr>
      </w:pPr>
      <w:r w:rsidRPr="00500CF4">
        <w:rPr>
          <w:b/>
          <w:bCs/>
        </w:rPr>
        <w:t>5.7 Whistleblower Protections</w:t>
      </w:r>
    </w:p>
    <w:p w14:paraId="055791C8" w14:textId="77777777" w:rsidR="00500CF4" w:rsidRPr="00500CF4" w:rsidRDefault="00500CF4" w:rsidP="00500CF4">
      <w:pPr>
        <w:numPr>
          <w:ilvl w:val="0"/>
          <w:numId w:val="8"/>
        </w:numPr>
      </w:pPr>
      <w:r w:rsidRPr="00500CF4">
        <w:t>Staff who report serious incidents or concerns in good faith are protected from victimisation under the Aged Care Act 1997 and the Corporations Act 2001.</w:t>
      </w:r>
    </w:p>
    <w:p w14:paraId="0B8069C5" w14:textId="77777777" w:rsidR="00500CF4" w:rsidRPr="00500CF4" w:rsidRDefault="00500CF4" w:rsidP="00500CF4">
      <w:pPr>
        <w:numPr>
          <w:ilvl w:val="0"/>
          <w:numId w:val="8"/>
        </w:numPr>
      </w:pPr>
      <w:r w:rsidRPr="00500CF4">
        <w:t>Any person who is found to have victimised a reporter will face disciplinary action.</w:t>
      </w:r>
    </w:p>
    <w:p w14:paraId="58666250" w14:textId="77777777" w:rsidR="00500CF4" w:rsidRPr="00500CF4" w:rsidRDefault="00500CF4" w:rsidP="00500CF4">
      <w:pPr>
        <w:rPr>
          <w:b/>
          <w:bCs/>
        </w:rPr>
      </w:pPr>
      <w:r w:rsidRPr="00500CF4">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7002"/>
      </w:tblGrid>
      <w:tr w:rsidR="00500CF4" w:rsidRPr="00500CF4" w14:paraId="4CB48586" w14:textId="77777777" w:rsidTr="00500CF4">
        <w:trPr>
          <w:tblCellSpacing w:w="15" w:type="dxa"/>
        </w:trPr>
        <w:tc>
          <w:tcPr>
            <w:tcW w:w="0" w:type="auto"/>
            <w:vAlign w:val="center"/>
            <w:hideMark/>
          </w:tcPr>
          <w:p w14:paraId="6AD6764B" w14:textId="77777777" w:rsidR="00500CF4" w:rsidRPr="00500CF4" w:rsidRDefault="00500CF4" w:rsidP="00500CF4">
            <w:pPr>
              <w:rPr>
                <w:b/>
                <w:bCs/>
              </w:rPr>
            </w:pPr>
            <w:r w:rsidRPr="00500CF4">
              <w:rPr>
                <w:b/>
                <w:bCs/>
              </w:rPr>
              <w:t>Role</w:t>
            </w:r>
          </w:p>
        </w:tc>
        <w:tc>
          <w:tcPr>
            <w:tcW w:w="0" w:type="auto"/>
            <w:vAlign w:val="center"/>
            <w:hideMark/>
          </w:tcPr>
          <w:p w14:paraId="40851647" w14:textId="77777777" w:rsidR="00500CF4" w:rsidRPr="00500CF4" w:rsidRDefault="00500CF4" w:rsidP="00500CF4">
            <w:pPr>
              <w:rPr>
                <w:b/>
                <w:bCs/>
              </w:rPr>
            </w:pPr>
            <w:r w:rsidRPr="00500CF4">
              <w:rPr>
                <w:b/>
                <w:bCs/>
              </w:rPr>
              <w:t>Responsibility</w:t>
            </w:r>
          </w:p>
        </w:tc>
      </w:tr>
      <w:tr w:rsidR="00500CF4" w:rsidRPr="00500CF4" w14:paraId="08299088" w14:textId="77777777" w:rsidTr="00500CF4">
        <w:trPr>
          <w:tblCellSpacing w:w="15" w:type="dxa"/>
        </w:trPr>
        <w:tc>
          <w:tcPr>
            <w:tcW w:w="0" w:type="auto"/>
            <w:vAlign w:val="center"/>
            <w:hideMark/>
          </w:tcPr>
          <w:p w14:paraId="44733674" w14:textId="77777777" w:rsidR="00500CF4" w:rsidRPr="00500CF4" w:rsidRDefault="00500CF4" w:rsidP="00500CF4">
            <w:r w:rsidRPr="00500CF4">
              <w:t>All Staff</w:t>
            </w:r>
          </w:p>
        </w:tc>
        <w:tc>
          <w:tcPr>
            <w:tcW w:w="0" w:type="auto"/>
            <w:vAlign w:val="center"/>
            <w:hideMark/>
          </w:tcPr>
          <w:p w14:paraId="12FCD2A4" w14:textId="77777777" w:rsidR="00500CF4" w:rsidRPr="00500CF4" w:rsidRDefault="00500CF4" w:rsidP="00500CF4">
            <w:r w:rsidRPr="00500CF4">
              <w:t>Identify, report immediately to manager, support the affected resident</w:t>
            </w:r>
          </w:p>
        </w:tc>
      </w:tr>
      <w:tr w:rsidR="00500CF4" w:rsidRPr="00500CF4" w14:paraId="17C3CF75" w14:textId="77777777" w:rsidTr="00500CF4">
        <w:trPr>
          <w:tblCellSpacing w:w="15" w:type="dxa"/>
        </w:trPr>
        <w:tc>
          <w:tcPr>
            <w:tcW w:w="0" w:type="auto"/>
            <w:vAlign w:val="center"/>
            <w:hideMark/>
          </w:tcPr>
          <w:p w14:paraId="3D9A78AA" w14:textId="77777777" w:rsidR="00500CF4" w:rsidRPr="00500CF4" w:rsidRDefault="00500CF4" w:rsidP="00500CF4">
            <w:r w:rsidRPr="00500CF4">
              <w:t>Facility Manager / DON</w:t>
            </w:r>
          </w:p>
        </w:tc>
        <w:tc>
          <w:tcPr>
            <w:tcW w:w="0" w:type="auto"/>
            <w:vAlign w:val="center"/>
            <w:hideMark/>
          </w:tcPr>
          <w:p w14:paraId="6A13E1A1" w14:textId="77777777" w:rsidR="00500CF4" w:rsidRPr="00500CF4" w:rsidRDefault="00500CF4" w:rsidP="00500CF4">
            <w:r w:rsidRPr="00500CF4">
              <w:t>Classify incident; notify ACQSC; oversee investigation; notify family</w:t>
            </w:r>
          </w:p>
        </w:tc>
      </w:tr>
      <w:tr w:rsidR="00500CF4" w:rsidRPr="00500CF4" w14:paraId="64725188" w14:textId="77777777" w:rsidTr="00500CF4">
        <w:trPr>
          <w:tblCellSpacing w:w="15" w:type="dxa"/>
        </w:trPr>
        <w:tc>
          <w:tcPr>
            <w:tcW w:w="0" w:type="auto"/>
            <w:vAlign w:val="center"/>
            <w:hideMark/>
          </w:tcPr>
          <w:p w14:paraId="4DFA798B" w14:textId="77777777" w:rsidR="00500CF4" w:rsidRPr="00500CF4" w:rsidRDefault="00500CF4" w:rsidP="00500CF4">
            <w:r w:rsidRPr="00500CF4">
              <w:t>CEO</w:t>
            </w:r>
          </w:p>
        </w:tc>
        <w:tc>
          <w:tcPr>
            <w:tcW w:w="0" w:type="auto"/>
            <w:vAlign w:val="center"/>
            <w:hideMark/>
          </w:tcPr>
          <w:p w14:paraId="1D15B29F" w14:textId="77777777" w:rsidR="00500CF4" w:rsidRPr="00500CF4" w:rsidRDefault="00500CF4" w:rsidP="00500CF4">
            <w:r w:rsidRPr="00500CF4">
              <w:t>Ultimate accountability; board notification for Priority 1 incidents</w:t>
            </w:r>
          </w:p>
        </w:tc>
      </w:tr>
      <w:tr w:rsidR="00500CF4" w:rsidRPr="00500CF4" w14:paraId="01A1E130" w14:textId="77777777" w:rsidTr="00500CF4">
        <w:trPr>
          <w:tblCellSpacing w:w="15" w:type="dxa"/>
        </w:trPr>
        <w:tc>
          <w:tcPr>
            <w:tcW w:w="0" w:type="auto"/>
            <w:vAlign w:val="center"/>
            <w:hideMark/>
          </w:tcPr>
          <w:p w14:paraId="10AEAB19" w14:textId="77777777" w:rsidR="00500CF4" w:rsidRPr="00500CF4" w:rsidRDefault="00500CF4" w:rsidP="00500CF4">
            <w:r w:rsidRPr="00500CF4">
              <w:t>Compliance Manager</w:t>
            </w:r>
          </w:p>
        </w:tc>
        <w:tc>
          <w:tcPr>
            <w:tcW w:w="0" w:type="auto"/>
            <w:vAlign w:val="center"/>
            <w:hideMark/>
          </w:tcPr>
          <w:p w14:paraId="17E685A6" w14:textId="77777777" w:rsidR="00500CF4" w:rsidRPr="00500CF4" w:rsidRDefault="00500CF4" w:rsidP="00500CF4">
            <w:r w:rsidRPr="00500CF4">
              <w:t>Maintain incident register; track reporting deadlines; coordinate follow-up</w:t>
            </w:r>
          </w:p>
        </w:tc>
      </w:tr>
    </w:tbl>
    <w:p w14:paraId="3A48A489" w14:textId="77777777" w:rsidR="00500CF4" w:rsidRPr="00500CF4" w:rsidRDefault="00500CF4" w:rsidP="00500CF4">
      <w:pPr>
        <w:rPr>
          <w:b/>
          <w:bCs/>
        </w:rPr>
      </w:pPr>
      <w:r w:rsidRPr="00500CF4">
        <w:rPr>
          <w:b/>
          <w:bCs/>
        </w:rPr>
        <w:lastRenderedPageBreak/>
        <w:t>7. Related Policies</w:t>
      </w:r>
    </w:p>
    <w:p w14:paraId="0FDCFB28" w14:textId="77777777" w:rsidR="00500CF4" w:rsidRPr="00500CF4" w:rsidRDefault="00500CF4" w:rsidP="00500CF4">
      <w:pPr>
        <w:numPr>
          <w:ilvl w:val="0"/>
          <w:numId w:val="9"/>
        </w:numPr>
      </w:pPr>
      <w:r w:rsidRPr="00500CF4">
        <w:t>Incident Management and Reporting Policy</w:t>
      </w:r>
    </w:p>
    <w:p w14:paraId="2B9BF53D" w14:textId="77777777" w:rsidR="00500CF4" w:rsidRPr="00500CF4" w:rsidRDefault="00500CF4" w:rsidP="00500CF4">
      <w:pPr>
        <w:numPr>
          <w:ilvl w:val="0"/>
          <w:numId w:val="9"/>
        </w:numPr>
      </w:pPr>
      <w:r w:rsidRPr="00500CF4">
        <w:t>Abuse and Neglect Prevention (Zero Tolerance) Policy</w:t>
      </w:r>
    </w:p>
    <w:p w14:paraId="191BF87C" w14:textId="77777777" w:rsidR="00500CF4" w:rsidRPr="00500CF4" w:rsidRDefault="00500CF4" w:rsidP="00500CF4">
      <w:pPr>
        <w:numPr>
          <w:ilvl w:val="0"/>
          <w:numId w:val="9"/>
        </w:numPr>
      </w:pPr>
      <w:r w:rsidRPr="00500CF4">
        <w:t>Restrictive Practices Policy</w:t>
      </w:r>
    </w:p>
    <w:p w14:paraId="61185FEC" w14:textId="77777777" w:rsidR="00500CF4" w:rsidRPr="00500CF4" w:rsidRDefault="00500CF4" w:rsidP="00500CF4">
      <w:pPr>
        <w:numPr>
          <w:ilvl w:val="0"/>
          <w:numId w:val="9"/>
        </w:numPr>
      </w:pPr>
      <w:r w:rsidRPr="00500CF4">
        <w:t>Whistleblower Policy</w:t>
      </w:r>
    </w:p>
    <w:p w14:paraId="7F24C762" w14:textId="77777777" w:rsidR="00500CF4" w:rsidRPr="00500CF4" w:rsidRDefault="00500CF4" w:rsidP="00500CF4">
      <w:pPr>
        <w:numPr>
          <w:ilvl w:val="0"/>
          <w:numId w:val="9"/>
        </w:numPr>
      </w:pPr>
      <w:r w:rsidRPr="00500CF4">
        <w:t>Record Keeping Policy</w:t>
      </w:r>
    </w:p>
    <w:p w14:paraId="4101F4F6" w14:textId="77777777" w:rsidR="00500CF4" w:rsidRPr="00500CF4" w:rsidRDefault="00500CF4" w:rsidP="00500CF4">
      <w:pPr>
        <w:rPr>
          <w:b/>
          <w:bCs/>
        </w:rPr>
      </w:pPr>
      <w:r w:rsidRPr="00500CF4">
        <w:rPr>
          <w:b/>
          <w:bCs/>
        </w:rPr>
        <w:t>8. Relevant Legislation and Standards</w:t>
      </w:r>
    </w:p>
    <w:p w14:paraId="031F4CAD" w14:textId="77777777" w:rsidR="00500CF4" w:rsidRPr="00500CF4" w:rsidRDefault="00500CF4" w:rsidP="00500CF4">
      <w:pPr>
        <w:numPr>
          <w:ilvl w:val="0"/>
          <w:numId w:val="10"/>
        </w:numPr>
      </w:pPr>
      <w:r w:rsidRPr="00500CF4">
        <w:t>Aged Care Act 1997 (</w:t>
      </w:r>
      <w:proofErr w:type="gramStart"/>
      <w:r w:rsidRPr="00500CF4">
        <w:t>Cth) —</w:t>
      </w:r>
      <w:proofErr w:type="gramEnd"/>
      <w:r w:rsidRPr="00500CF4">
        <w:t xml:space="preserve"> Part 4AA (Serious Incident Response Scheme)</w:t>
      </w:r>
    </w:p>
    <w:p w14:paraId="62CD2B03" w14:textId="77777777" w:rsidR="00500CF4" w:rsidRPr="00500CF4" w:rsidRDefault="00500CF4" w:rsidP="00500CF4">
      <w:pPr>
        <w:numPr>
          <w:ilvl w:val="0"/>
          <w:numId w:val="10"/>
        </w:numPr>
      </w:pPr>
      <w:r w:rsidRPr="00500CF4">
        <w:t>Quality of Care Principles 2014 (Cth)</w:t>
      </w:r>
    </w:p>
    <w:p w14:paraId="73F80BB3" w14:textId="77777777" w:rsidR="00500CF4" w:rsidRPr="00500CF4" w:rsidRDefault="00500CF4" w:rsidP="00500CF4">
      <w:pPr>
        <w:numPr>
          <w:ilvl w:val="0"/>
          <w:numId w:val="10"/>
        </w:numPr>
      </w:pPr>
      <w:r w:rsidRPr="00500CF4">
        <w:t>Strengthened Aged Care Quality Standards — Standard 8 (Organisational Governance)</w:t>
      </w:r>
    </w:p>
    <w:p w14:paraId="0DE5BB4E" w14:textId="77777777" w:rsidR="00500CF4" w:rsidRPr="00500CF4" w:rsidRDefault="00500CF4" w:rsidP="00500CF4">
      <w:pPr>
        <w:numPr>
          <w:ilvl w:val="0"/>
          <w:numId w:val="10"/>
        </w:numPr>
      </w:pPr>
      <w:r w:rsidRPr="00500CF4">
        <w:t>Aged Care Quality and Safety Commission Act 2018 (Cth)</w:t>
      </w:r>
    </w:p>
    <w:p w14:paraId="414F5AC1" w14:textId="77777777" w:rsidR="00500CF4" w:rsidRPr="00500CF4" w:rsidRDefault="00500CF4" w:rsidP="00500CF4">
      <w:pPr>
        <w:rPr>
          <w:b/>
          <w:bCs/>
        </w:rPr>
      </w:pPr>
      <w:r w:rsidRPr="00500CF4">
        <w:rPr>
          <w:b/>
          <w:bCs/>
        </w:rPr>
        <w:t>9. Review and Monitoring</w:t>
      </w:r>
    </w:p>
    <w:p w14:paraId="1C597987" w14:textId="77777777" w:rsidR="00500CF4" w:rsidRPr="00500CF4" w:rsidRDefault="00500CF4" w:rsidP="00500CF4">
      <w:r w:rsidRPr="00500CF4">
        <w:t>This policy will be reviewed annually or whenever SIRS legislation or ACQSC guidance is updated. The Compliance Manager is responsible for maintaining awareness of regulatory changes and initiating timely reviews.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500CF4" w:rsidRPr="00500CF4" w14:paraId="3C858ECD" w14:textId="77777777">
        <w:trPr>
          <w:tblCellSpacing w:w="15" w:type="dxa"/>
        </w:trPr>
        <w:tc>
          <w:tcPr>
            <w:tcW w:w="0" w:type="auto"/>
            <w:vAlign w:val="center"/>
            <w:hideMark/>
          </w:tcPr>
          <w:p w14:paraId="2F97FA99" w14:textId="77777777" w:rsidR="00500CF4" w:rsidRPr="00500CF4" w:rsidRDefault="00500CF4" w:rsidP="00500CF4">
            <w:pPr>
              <w:rPr>
                <w:b/>
                <w:bCs/>
              </w:rPr>
            </w:pPr>
            <w:r w:rsidRPr="00500CF4">
              <w:rPr>
                <w:b/>
                <w:bCs/>
              </w:rPr>
              <w:t>Reviewed By</w:t>
            </w:r>
          </w:p>
        </w:tc>
        <w:tc>
          <w:tcPr>
            <w:tcW w:w="0" w:type="auto"/>
            <w:vAlign w:val="center"/>
            <w:hideMark/>
          </w:tcPr>
          <w:p w14:paraId="74758F27" w14:textId="77777777" w:rsidR="00500CF4" w:rsidRPr="00500CF4" w:rsidRDefault="00500CF4" w:rsidP="00500CF4">
            <w:pPr>
              <w:rPr>
                <w:b/>
                <w:bCs/>
              </w:rPr>
            </w:pPr>
            <w:r w:rsidRPr="00500CF4">
              <w:rPr>
                <w:b/>
                <w:bCs/>
              </w:rPr>
              <w:t>Role</w:t>
            </w:r>
          </w:p>
        </w:tc>
        <w:tc>
          <w:tcPr>
            <w:tcW w:w="0" w:type="auto"/>
            <w:vAlign w:val="center"/>
            <w:hideMark/>
          </w:tcPr>
          <w:p w14:paraId="5D01C79F" w14:textId="77777777" w:rsidR="00500CF4" w:rsidRPr="00500CF4" w:rsidRDefault="00500CF4" w:rsidP="00500CF4">
            <w:pPr>
              <w:rPr>
                <w:b/>
                <w:bCs/>
              </w:rPr>
            </w:pPr>
            <w:r w:rsidRPr="00500CF4">
              <w:rPr>
                <w:b/>
                <w:bCs/>
              </w:rPr>
              <w:t>Date</w:t>
            </w:r>
          </w:p>
        </w:tc>
        <w:tc>
          <w:tcPr>
            <w:tcW w:w="0" w:type="auto"/>
            <w:vAlign w:val="center"/>
            <w:hideMark/>
          </w:tcPr>
          <w:p w14:paraId="285413BA" w14:textId="77777777" w:rsidR="00500CF4" w:rsidRPr="00500CF4" w:rsidRDefault="00500CF4" w:rsidP="00500CF4">
            <w:pPr>
              <w:rPr>
                <w:b/>
                <w:bCs/>
              </w:rPr>
            </w:pPr>
            <w:r w:rsidRPr="00500CF4">
              <w:rPr>
                <w:b/>
                <w:bCs/>
              </w:rPr>
              <w:t>Signature</w:t>
            </w:r>
          </w:p>
        </w:tc>
      </w:tr>
      <w:tr w:rsidR="00500CF4" w:rsidRPr="00500CF4" w14:paraId="415D3E31" w14:textId="77777777">
        <w:trPr>
          <w:tblCellSpacing w:w="15" w:type="dxa"/>
        </w:trPr>
        <w:tc>
          <w:tcPr>
            <w:tcW w:w="0" w:type="auto"/>
            <w:vAlign w:val="center"/>
            <w:hideMark/>
          </w:tcPr>
          <w:p w14:paraId="6AC42C35" w14:textId="77777777" w:rsidR="00500CF4" w:rsidRPr="00500CF4" w:rsidRDefault="00500CF4" w:rsidP="00500CF4">
            <w:r w:rsidRPr="00500CF4">
              <w:t> </w:t>
            </w:r>
          </w:p>
        </w:tc>
        <w:tc>
          <w:tcPr>
            <w:tcW w:w="0" w:type="auto"/>
            <w:vAlign w:val="center"/>
            <w:hideMark/>
          </w:tcPr>
          <w:p w14:paraId="02E0D003" w14:textId="77777777" w:rsidR="00500CF4" w:rsidRPr="00500CF4" w:rsidRDefault="00500CF4" w:rsidP="00500CF4">
            <w:r w:rsidRPr="00500CF4">
              <w:t> </w:t>
            </w:r>
          </w:p>
        </w:tc>
        <w:tc>
          <w:tcPr>
            <w:tcW w:w="0" w:type="auto"/>
            <w:vAlign w:val="center"/>
            <w:hideMark/>
          </w:tcPr>
          <w:p w14:paraId="0598C601" w14:textId="77777777" w:rsidR="00500CF4" w:rsidRPr="00500CF4" w:rsidRDefault="00500CF4" w:rsidP="00500CF4">
            <w:r w:rsidRPr="00500CF4">
              <w:t> </w:t>
            </w:r>
          </w:p>
        </w:tc>
        <w:tc>
          <w:tcPr>
            <w:tcW w:w="0" w:type="auto"/>
            <w:vAlign w:val="center"/>
            <w:hideMark/>
          </w:tcPr>
          <w:p w14:paraId="50F0CFB5" w14:textId="77777777" w:rsidR="00500CF4" w:rsidRPr="00500CF4" w:rsidRDefault="00500CF4" w:rsidP="00500CF4">
            <w:r w:rsidRPr="00500CF4">
              <w:t> </w:t>
            </w:r>
          </w:p>
        </w:tc>
      </w:tr>
      <w:tr w:rsidR="00500CF4" w:rsidRPr="00500CF4" w14:paraId="5F042F9C" w14:textId="77777777">
        <w:trPr>
          <w:tblCellSpacing w:w="15" w:type="dxa"/>
        </w:trPr>
        <w:tc>
          <w:tcPr>
            <w:tcW w:w="0" w:type="auto"/>
            <w:vAlign w:val="center"/>
            <w:hideMark/>
          </w:tcPr>
          <w:p w14:paraId="3127BA7D" w14:textId="77777777" w:rsidR="00500CF4" w:rsidRPr="00500CF4" w:rsidRDefault="00500CF4" w:rsidP="00500CF4">
            <w:pPr>
              <w:rPr>
                <w:b/>
                <w:bCs/>
              </w:rPr>
            </w:pPr>
            <w:r w:rsidRPr="00500CF4">
              <w:rPr>
                <w:b/>
                <w:bCs/>
              </w:rPr>
              <w:t>Approved By</w:t>
            </w:r>
          </w:p>
        </w:tc>
        <w:tc>
          <w:tcPr>
            <w:tcW w:w="0" w:type="auto"/>
            <w:vAlign w:val="center"/>
            <w:hideMark/>
          </w:tcPr>
          <w:p w14:paraId="5C2A1B56" w14:textId="77777777" w:rsidR="00500CF4" w:rsidRPr="00500CF4" w:rsidRDefault="00500CF4" w:rsidP="00500CF4">
            <w:pPr>
              <w:rPr>
                <w:b/>
                <w:bCs/>
              </w:rPr>
            </w:pPr>
            <w:r w:rsidRPr="00500CF4">
              <w:rPr>
                <w:b/>
                <w:bCs/>
              </w:rPr>
              <w:t>Role</w:t>
            </w:r>
          </w:p>
        </w:tc>
        <w:tc>
          <w:tcPr>
            <w:tcW w:w="0" w:type="auto"/>
            <w:vAlign w:val="center"/>
            <w:hideMark/>
          </w:tcPr>
          <w:p w14:paraId="5667887C" w14:textId="77777777" w:rsidR="00500CF4" w:rsidRPr="00500CF4" w:rsidRDefault="00500CF4" w:rsidP="00500CF4">
            <w:pPr>
              <w:rPr>
                <w:b/>
                <w:bCs/>
              </w:rPr>
            </w:pPr>
            <w:r w:rsidRPr="00500CF4">
              <w:rPr>
                <w:b/>
                <w:bCs/>
              </w:rPr>
              <w:t>Date</w:t>
            </w:r>
          </w:p>
        </w:tc>
        <w:tc>
          <w:tcPr>
            <w:tcW w:w="0" w:type="auto"/>
            <w:vAlign w:val="center"/>
            <w:hideMark/>
          </w:tcPr>
          <w:p w14:paraId="5CEBD982" w14:textId="77777777" w:rsidR="00500CF4" w:rsidRPr="00500CF4" w:rsidRDefault="00500CF4" w:rsidP="00500CF4">
            <w:pPr>
              <w:rPr>
                <w:b/>
                <w:bCs/>
              </w:rPr>
            </w:pPr>
            <w:r w:rsidRPr="00500CF4">
              <w:rPr>
                <w:b/>
                <w:bCs/>
              </w:rPr>
              <w:t>Signature</w:t>
            </w:r>
          </w:p>
        </w:tc>
      </w:tr>
      <w:tr w:rsidR="00500CF4" w:rsidRPr="00500CF4" w14:paraId="3938B9D2" w14:textId="77777777">
        <w:trPr>
          <w:tblCellSpacing w:w="15" w:type="dxa"/>
        </w:trPr>
        <w:tc>
          <w:tcPr>
            <w:tcW w:w="0" w:type="auto"/>
            <w:vAlign w:val="center"/>
            <w:hideMark/>
          </w:tcPr>
          <w:p w14:paraId="3EA35647" w14:textId="77777777" w:rsidR="00500CF4" w:rsidRPr="00500CF4" w:rsidRDefault="00500CF4" w:rsidP="00500CF4">
            <w:r w:rsidRPr="00500CF4">
              <w:t> </w:t>
            </w:r>
          </w:p>
        </w:tc>
        <w:tc>
          <w:tcPr>
            <w:tcW w:w="0" w:type="auto"/>
            <w:vAlign w:val="center"/>
            <w:hideMark/>
          </w:tcPr>
          <w:p w14:paraId="1B31BD22" w14:textId="77777777" w:rsidR="00500CF4" w:rsidRPr="00500CF4" w:rsidRDefault="00500CF4" w:rsidP="00500CF4">
            <w:r w:rsidRPr="00500CF4">
              <w:t> </w:t>
            </w:r>
          </w:p>
        </w:tc>
        <w:tc>
          <w:tcPr>
            <w:tcW w:w="0" w:type="auto"/>
            <w:vAlign w:val="center"/>
            <w:hideMark/>
          </w:tcPr>
          <w:p w14:paraId="5E3184EF" w14:textId="77777777" w:rsidR="00500CF4" w:rsidRPr="00500CF4" w:rsidRDefault="00500CF4" w:rsidP="00500CF4">
            <w:r w:rsidRPr="00500CF4">
              <w:t> </w:t>
            </w:r>
          </w:p>
        </w:tc>
        <w:tc>
          <w:tcPr>
            <w:tcW w:w="0" w:type="auto"/>
            <w:vAlign w:val="center"/>
            <w:hideMark/>
          </w:tcPr>
          <w:p w14:paraId="2CC5BEE2" w14:textId="77777777" w:rsidR="00500CF4" w:rsidRPr="00500CF4" w:rsidRDefault="00500CF4" w:rsidP="00500CF4">
            <w:r w:rsidRPr="00500CF4">
              <w:t> </w:t>
            </w:r>
          </w:p>
        </w:tc>
      </w:tr>
    </w:tbl>
    <w:p w14:paraId="7E384A2C" w14:textId="77777777" w:rsidR="00500CF4" w:rsidRDefault="00500CF4"/>
    <w:sectPr w:rsidR="00500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D22"/>
    <w:multiLevelType w:val="multilevel"/>
    <w:tmpl w:val="5818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E4FF2"/>
    <w:multiLevelType w:val="multilevel"/>
    <w:tmpl w:val="712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572A2"/>
    <w:multiLevelType w:val="multilevel"/>
    <w:tmpl w:val="084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6674C"/>
    <w:multiLevelType w:val="multilevel"/>
    <w:tmpl w:val="212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F4A59"/>
    <w:multiLevelType w:val="multilevel"/>
    <w:tmpl w:val="E0F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F6BE0"/>
    <w:multiLevelType w:val="multilevel"/>
    <w:tmpl w:val="8E3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E279B"/>
    <w:multiLevelType w:val="multilevel"/>
    <w:tmpl w:val="5F1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D04B3"/>
    <w:multiLevelType w:val="multilevel"/>
    <w:tmpl w:val="01D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B0C58"/>
    <w:multiLevelType w:val="multilevel"/>
    <w:tmpl w:val="5AC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C2E2C"/>
    <w:multiLevelType w:val="multilevel"/>
    <w:tmpl w:val="25FC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160827">
    <w:abstractNumId w:val="1"/>
  </w:num>
  <w:num w:numId="2" w16cid:durableId="467816587">
    <w:abstractNumId w:val="0"/>
  </w:num>
  <w:num w:numId="3" w16cid:durableId="1155101564">
    <w:abstractNumId w:val="5"/>
  </w:num>
  <w:num w:numId="4" w16cid:durableId="417943736">
    <w:abstractNumId w:val="3"/>
  </w:num>
  <w:num w:numId="5" w16cid:durableId="1119643255">
    <w:abstractNumId w:val="7"/>
  </w:num>
  <w:num w:numId="6" w16cid:durableId="474372354">
    <w:abstractNumId w:val="2"/>
  </w:num>
  <w:num w:numId="7" w16cid:durableId="247613639">
    <w:abstractNumId w:val="9"/>
  </w:num>
  <w:num w:numId="8" w16cid:durableId="55395257">
    <w:abstractNumId w:val="6"/>
  </w:num>
  <w:num w:numId="9" w16cid:durableId="901714025">
    <w:abstractNumId w:val="8"/>
  </w:num>
  <w:num w:numId="10" w16cid:durableId="1831945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F4"/>
    <w:rsid w:val="00472917"/>
    <w:rsid w:val="0050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9BE4"/>
  <w15:chartTrackingRefBased/>
  <w15:docId w15:val="{5BCC51C6-6443-4256-B65B-30F4F4E9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CF4"/>
    <w:rPr>
      <w:rFonts w:eastAsiaTheme="majorEastAsia" w:cstheme="majorBidi"/>
      <w:color w:val="272727" w:themeColor="text1" w:themeTint="D8"/>
    </w:rPr>
  </w:style>
  <w:style w:type="paragraph" w:styleId="Title">
    <w:name w:val="Title"/>
    <w:basedOn w:val="Normal"/>
    <w:next w:val="Normal"/>
    <w:link w:val="TitleChar"/>
    <w:uiPriority w:val="10"/>
    <w:qFormat/>
    <w:rsid w:val="00500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CF4"/>
    <w:pPr>
      <w:spacing w:before="160"/>
      <w:jc w:val="center"/>
    </w:pPr>
    <w:rPr>
      <w:i/>
      <w:iCs/>
      <w:color w:val="404040" w:themeColor="text1" w:themeTint="BF"/>
    </w:rPr>
  </w:style>
  <w:style w:type="character" w:customStyle="1" w:styleId="QuoteChar">
    <w:name w:val="Quote Char"/>
    <w:basedOn w:val="DefaultParagraphFont"/>
    <w:link w:val="Quote"/>
    <w:uiPriority w:val="29"/>
    <w:rsid w:val="00500CF4"/>
    <w:rPr>
      <w:i/>
      <w:iCs/>
      <w:color w:val="404040" w:themeColor="text1" w:themeTint="BF"/>
    </w:rPr>
  </w:style>
  <w:style w:type="paragraph" w:styleId="ListParagraph">
    <w:name w:val="List Paragraph"/>
    <w:basedOn w:val="Normal"/>
    <w:uiPriority w:val="34"/>
    <w:qFormat/>
    <w:rsid w:val="00500CF4"/>
    <w:pPr>
      <w:ind w:left="720"/>
      <w:contextualSpacing/>
    </w:pPr>
  </w:style>
  <w:style w:type="character" w:styleId="IntenseEmphasis">
    <w:name w:val="Intense Emphasis"/>
    <w:basedOn w:val="DefaultParagraphFont"/>
    <w:uiPriority w:val="21"/>
    <w:qFormat/>
    <w:rsid w:val="00500CF4"/>
    <w:rPr>
      <w:i/>
      <w:iCs/>
      <w:color w:val="0F4761" w:themeColor="accent1" w:themeShade="BF"/>
    </w:rPr>
  </w:style>
  <w:style w:type="paragraph" w:styleId="IntenseQuote">
    <w:name w:val="Intense Quote"/>
    <w:basedOn w:val="Normal"/>
    <w:next w:val="Normal"/>
    <w:link w:val="IntenseQuoteChar"/>
    <w:uiPriority w:val="30"/>
    <w:qFormat/>
    <w:rsid w:val="00500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CF4"/>
    <w:rPr>
      <w:i/>
      <w:iCs/>
      <w:color w:val="0F4761" w:themeColor="accent1" w:themeShade="BF"/>
    </w:rPr>
  </w:style>
  <w:style w:type="character" w:styleId="IntenseReference">
    <w:name w:val="Intense Reference"/>
    <w:basedOn w:val="DefaultParagraphFont"/>
    <w:uiPriority w:val="32"/>
    <w:qFormat/>
    <w:rsid w:val="00500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2026-05-26T05:06:00Z</dcterms:created>
  <dcterms:modified xsi:type="dcterms:W3CDTF">2026-05-26T05:07:00Z</dcterms:modified>
</cp:coreProperties>
</file>