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4AFE" w14:textId="77777777" w:rsidR="00053E70" w:rsidRPr="00053E70" w:rsidRDefault="00053E70" w:rsidP="00053E70">
      <w:pPr>
        <w:rPr>
          <w:b/>
          <w:bCs/>
        </w:rPr>
      </w:pPr>
      <w:r w:rsidRPr="00053E70">
        <w:rPr>
          <w:b/>
          <w:bCs/>
        </w:rPr>
        <w:t xml:space="preserve">[Facility </w:t>
      </w:r>
      <w:proofErr w:type="gramStart"/>
      <w:r w:rsidRPr="00053E70">
        <w:rPr>
          <w:b/>
          <w:bCs/>
        </w:rPr>
        <w:t>Name] —</w:t>
      </w:r>
      <w:proofErr w:type="gramEnd"/>
      <w:r w:rsidRPr="00053E70">
        <w:rPr>
          <w:b/>
          <w:bCs/>
        </w:rPr>
        <w:t xml:space="preserve"> Palliative and End-of-Life Care Policy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2007"/>
        <w:gridCol w:w="1418"/>
        <w:gridCol w:w="1612"/>
      </w:tblGrid>
      <w:tr w:rsidR="00053E70" w:rsidRPr="00053E70" w14:paraId="6BFE60E6" w14:textId="77777777">
        <w:trPr>
          <w:tblCellSpacing w:w="15" w:type="dxa"/>
        </w:trPr>
        <w:tc>
          <w:tcPr>
            <w:tcW w:w="0" w:type="auto"/>
            <w:vAlign w:val="center"/>
            <w:hideMark/>
          </w:tcPr>
          <w:p w14:paraId="31FAFE17" w14:textId="77777777" w:rsidR="00053E70" w:rsidRPr="00053E70" w:rsidRDefault="00053E70" w:rsidP="00053E70">
            <w:pPr>
              <w:rPr>
                <w:b/>
                <w:bCs/>
              </w:rPr>
            </w:pPr>
            <w:r w:rsidRPr="00053E70">
              <w:rPr>
                <w:b/>
                <w:bCs/>
              </w:rPr>
              <w:t>Policy Number</w:t>
            </w:r>
          </w:p>
        </w:tc>
        <w:tc>
          <w:tcPr>
            <w:tcW w:w="0" w:type="auto"/>
            <w:vAlign w:val="center"/>
            <w:hideMark/>
          </w:tcPr>
          <w:p w14:paraId="04F2901A" w14:textId="77777777" w:rsidR="00053E70" w:rsidRPr="00053E70" w:rsidRDefault="00053E70" w:rsidP="00053E70">
            <w:r w:rsidRPr="00053E70">
              <w:t>[e.g. CL-002]</w:t>
            </w:r>
          </w:p>
        </w:tc>
        <w:tc>
          <w:tcPr>
            <w:tcW w:w="0" w:type="auto"/>
            <w:vAlign w:val="center"/>
            <w:hideMark/>
          </w:tcPr>
          <w:p w14:paraId="688EDD74" w14:textId="77777777" w:rsidR="00053E70" w:rsidRPr="00053E70" w:rsidRDefault="00053E70" w:rsidP="00053E70">
            <w:pPr>
              <w:rPr>
                <w:b/>
                <w:bCs/>
              </w:rPr>
            </w:pPr>
            <w:r w:rsidRPr="00053E70">
              <w:rPr>
                <w:b/>
                <w:bCs/>
              </w:rPr>
              <w:t>Version</w:t>
            </w:r>
          </w:p>
        </w:tc>
        <w:tc>
          <w:tcPr>
            <w:tcW w:w="0" w:type="auto"/>
            <w:vAlign w:val="center"/>
            <w:hideMark/>
          </w:tcPr>
          <w:p w14:paraId="4BD2AB31" w14:textId="77777777" w:rsidR="00053E70" w:rsidRPr="00053E70" w:rsidRDefault="00053E70" w:rsidP="00053E70">
            <w:r w:rsidRPr="00053E70">
              <w:t>1.0</w:t>
            </w:r>
          </w:p>
        </w:tc>
      </w:tr>
      <w:tr w:rsidR="00053E70" w:rsidRPr="00053E70" w14:paraId="707813BB" w14:textId="77777777">
        <w:trPr>
          <w:tblCellSpacing w:w="15" w:type="dxa"/>
        </w:trPr>
        <w:tc>
          <w:tcPr>
            <w:tcW w:w="0" w:type="auto"/>
            <w:vAlign w:val="center"/>
            <w:hideMark/>
          </w:tcPr>
          <w:p w14:paraId="18D83930" w14:textId="77777777" w:rsidR="00053E70" w:rsidRPr="00053E70" w:rsidRDefault="00053E70" w:rsidP="00053E70">
            <w:pPr>
              <w:rPr>
                <w:b/>
                <w:bCs/>
              </w:rPr>
            </w:pPr>
            <w:r w:rsidRPr="00053E70">
              <w:rPr>
                <w:b/>
                <w:bCs/>
              </w:rPr>
              <w:t>Effective Date</w:t>
            </w:r>
          </w:p>
        </w:tc>
        <w:tc>
          <w:tcPr>
            <w:tcW w:w="0" w:type="auto"/>
            <w:vAlign w:val="center"/>
            <w:hideMark/>
          </w:tcPr>
          <w:p w14:paraId="3A16B3FD" w14:textId="77777777" w:rsidR="00053E70" w:rsidRPr="00053E70" w:rsidRDefault="00053E70" w:rsidP="00053E70">
            <w:r w:rsidRPr="00053E70">
              <w:t>[DD/MM/YYYY]</w:t>
            </w:r>
          </w:p>
        </w:tc>
        <w:tc>
          <w:tcPr>
            <w:tcW w:w="0" w:type="auto"/>
            <w:vAlign w:val="center"/>
            <w:hideMark/>
          </w:tcPr>
          <w:p w14:paraId="1403CAAD" w14:textId="77777777" w:rsidR="00053E70" w:rsidRPr="00053E70" w:rsidRDefault="00053E70" w:rsidP="00053E70">
            <w:pPr>
              <w:rPr>
                <w:b/>
                <w:bCs/>
              </w:rPr>
            </w:pPr>
            <w:r w:rsidRPr="00053E70">
              <w:rPr>
                <w:b/>
                <w:bCs/>
              </w:rPr>
              <w:t>Review Date</w:t>
            </w:r>
          </w:p>
        </w:tc>
        <w:tc>
          <w:tcPr>
            <w:tcW w:w="0" w:type="auto"/>
            <w:vAlign w:val="center"/>
            <w:hideMark/>
          </w:tcPr>
          <w:p w14:paraId="7083198C" w14:textId="77777777" w:rsidR="00053E70" w:rsidRPr="00053E70" w:rsidRDefault="00053E70" w:rsidP="00053E70">
            <w:r w:rsidRPr="00053E70">
              <w:t>[DD/MM/YYYY]</w:t>
            </w:r>
          </w:p>
        </w:tc>
      </w:tr>
      <w:tr w:rsidR="00053E70" w:rsidRPr="00053E70" w14:paraId="020DB284" w14:textId="77777777">
        <w:trPr>
          <w:tblCellSpacing w:w="15" w:type="dxa"/>
        </w:trPr>
        <w:tc>
          <w:tcPr>
            <w:tcW w:w="0" w:type="auto"/>
            <w:vAlign w:val="center"/>
            <w:hideMark/>
          </w:tcPr>
          <w:p w14:paraId="4999E126" w14:textId="77777777" w:rsidR="00053E70" w:rsidRPr="00053E70" w:rsidRDefault="00053E70" w:rsidP="00053E70">
            <w:pPr>
              <w:rPr>
                <w:b/>
                <w:bCs/>
              </w:rPr>
            </w:pPr>
            <w:r w:rsidRPr="00053E70">
              <w:rPr>
                <w:b/>
                <w:bCs/>
              </w:rPr>
              <w:t>Policy Owner</w:t>
            </w:r>
          </w:p>
        </w:tc>
        <w:tc>
          <w:tcPr>
            <w:tcW w:w="0" w:type="auto"/>
            <w:vAlign w:val="center"/>
            <w:hideMark/>
          </w:tcPr>
          <w:p w14:paraId="2F5F3E28" w14:textId="77777777" w:rsidR="00053E70" w:rsidRPr="00053E70" w:rsidRDefault="00053E70" w:rsidP="00053E70">
            <w:r w:rsidRPr="00053E70">
              <w:t>Director of Nursing</w:t>
            </w:r>
          </w:p>
        </w:tc>
        <w:tc>
          <w:tcPr>
            <w:tcW w:w="0" w:type="auto"/>
            <w:vAlign w:val="center"/>
            <w:hideMark/>
          </w:tcPr>
          <w:p w14:paraId="73E045B7" w14:textId="77777777" w:rsidR="00053E70" w:rsidRPr="00053E70" w:rsidRDefault="00053E70" w:rsidP="00053E70">
            <w:pPr>
              <w:rPr>
                <w:b/>
                <w:bCs/>
              </w:rPr>
            </w:pPr>
            <w:r w:rsidRPr="00053E70">
              <w:rPr>
                <w:b/>
                <w:bCs/>
              </w:rPr>
              <w:t>Approved By</w:t>
            </w:r>
          </w:p>
        </w:tc>
        <w:tc>
          <w:tcPr>
            <w:tcW w:w="0" w:type="auto"/>
            <w:vAlign w:val="center"/>
            <w:hideMark/>
          </w:tcPr>
          <w:p w14:paraId="7DDF7EBA" w14:textId="77777777" w:rsidR="00053E70" w:rsidRPr="00053E70" w:rsidRDefault="00053E70" w:rsidP="00053E70">
            <w:r w:rsidRPr="00053E70">
              <w:t>[CEO / Board]</w:t>
            </w:r>
          </w:p>
        </w:tc>
      </w:tr>
    </w:tbl>
    <w:p w14:paraId="628618B0" w14:textId="77777777" w:rsidR="00053E70" w:rsidRPr="00053E70" w:rsidRDefault="00053E70" w:rsidP="00053E70">
      <w:pPr>
        <w:rPr>
          <w:b/>
          <w:bCs/>
        </w:rPr>
      </w:pPr>
      <w:r w:rsidRPr="00053E70">
        <w:rPr>
          <w:b/>
          <w:bCs/>
        </w:rPr>
        <w:t>1. Purpose</w:t>
      </w:r>
    </w:p>
    <w:p w14:paraId="4D6E149F" w14:textId="77777777" w:rsidR="00053E70" w:rsidRPr="00053E70" w:rsidRDefault="00053E70" w:rsidP="00053E70">
      <w:r w:rsidRPr="00053E70">
        <w:t xml:space="preserve">This policy ensures that [Facility Name] provides compassionate, dignified, and high-quality palliative and end-of-life care to all residents with a life-limiting illness. It establishes a consistent framework for identifying palliative needs, planning care, managing symptoms, supporting families, and </w:t>
      </w:r>
      <w:proofErr w:type="spellStart"/>
      <w:r w:rsidRPr="00053E70">
        <w:t>honouring</w:t>
      </w:r>
      <w:proofErr w:type="spellEnd"/>
      <w:r w:rsidRPr="00053E70">
        <w:t xml:space="preserve"> residents' final wishes.</w:t>
      </w:r>
    </w:p>
    <w:p w14:paraId="1319EBD6" w14:textId="77777777" w:rsidR="00053E70" w:rsidRPr="00053E70" w:rsidRDefault="00053E70" w:rsidP="00053E70">
      <w:pPr>
        <w:rPr>
          <w:b/>
          <w:bCs/>
        </w:rPr>
      </w:pPr>
      <w:r w:rsidRPr="00053E70">
        <w:rPr>
          <w:b/>
          <w:bCs/>
        </w:rPr>
        <w:t>2. Scope</w:t>
      </w:r>
    </w:p>
    <w:p w14:paraId="64791C93" w14:textId="77777777" w:rsidR="00053E70" w:rsidRPr="00053E70" w:rsidRDefault="00053E70" w:rsidP="00053E70">
      <w:r w:rsidRPr="00053E70">
        <w:t>This policy applies to all staff, contractors, and volunteers involved in the care of residents who have been identified as having palliative care needs or who are approaching the end of life.</w:t>
      </w:r>
    </w:p>
    <w:p w14:paraId="154A1736" w14:textId="77777777" w:rsidR="00053E70" w:rsidRPr="00053E70" w:rsidRDefault="00053E70" w:rsidP="00053E70">
      <w:pPr>
        <w:rPr>
          <w:b/>
          <w:bCs/>
        </w:rPr>
      </w:pPr>
      <w:r w:rsidRPr="00053E70">
        <w:rPr>
          <w:b/>
          <w:bCs/>
        </w:rPr>
        <w:t>3. Policy Statement</w:t>
      </w:r>
    </w:p>
    <w:p w14:paraId="566923FE" w14:textId="77777777" w:rsidR="00053E70" w:rsidRPr="00053E70" w:rsidRDefault="00053E70" w:rsidP="00053E70">
      <w:r w:rsidRPr="00053E70">
        <w:t xml:space="preserve">[Facility Name] believes every resident has the right to die with dignity, comfort, and in a manner that reflects their values and wishes. We are committed to providing proactive, evidence-based palliative care that </w:t>
      </w:r>
      <w:proofErr w:type="spellStart"/>
      <w:r w:rsidRPr="00053E70">
        <w:t>prioritises</w:t>
      </w:r>
      <w:proofErr w:type="spellEnd"/>
      <w:r w:rsidRPr="00053E70">
        <w:t xml:space="preserve"> quality of life, effective symptom management, and respectful family engagement. We support residents' rights to make advance care decisions and will ensure these decisions are documented, communicated, and </w:t>
      </w:r>
      <w:proofErr w:type="spellStart"/>
      <w:r w:rsidRPr="00053E70">
        <w:t>honoured</w:t>
      </w:r>
      <w:proofErr w:type="spellEnd"/>
      <w:r w:rsidRPr="00053E70">
        <w:t>.</w:t>
      </w:r>
    </w:p>
    <w:p w14:paraId="1A96BC04" w14:textId="77777777" w:rsidR="00053E70" w:rsidRPr="00053E70" w:rsidRDefault="00053E70" w:rsidP="00053E70">
      <w:pPr>
        <w:rPr>
          <w:b/>
          <w:bCs/>
        </w:rPr>
      </w:pPr>
      <w:r w:rsidRPr="00053E70">
        <w:rPr>
          <w:b/>
          <w:bCs/>
        </w:rPr>
        <w:t>4. Definitions</w:t>
      </w:r>
    </w:p>
    <w:p w14:paraId="23B798C8" w14:textId="77777777" w:rsidR="00053E70" w:rsidRPr="00053E70" w:rsidRDefault="00053E70" w:rsidP="00053E70">
      <w:pPr>
        <w:numPr>
          <w:ilvl w:val="0"/>
          <w:numId w:val="10"/>
        </w:numPr>
      </w:pPr>
      <w:r w:rsidRPr="00053E70">
        <w:rPr>
          <w:b/>
          <w:bCs/>
        </w:rPr>
        <w:t>Palliative care:</w:t>
      </w:r>
      <w:r w:rsidRPr="00053E70">
        <w:t> Care focused on relieving suffering and improving quality of life for people with life-limiting illness, from diagnosis through death and into bereavement.</w:t>
      </w:r>
    </w:p>
    <w:p w14:paraId="556CF464" w14:textId="77777777" w:rsidR="00053E70" w:rsidRPr="00053E70" w:rsidRDefault="00053E70" w:rsidP="00053E70">
      <w:pPr>
        <w:numPr>
          <w:ilvl w:val="0"/>
          <w:numId w:val="10"/>
        </w:numPr>
      </w:pPr>
      <w:r w:rsidRPr="00053E70">
        <w:rPr>
          <w:b/>
          <w:bCs/>
        </w:rPr>
        <w:t>End-of-life care:</w:t>
      </w:r>
      <w:r w:rsidRPr="00053E70">
        <w:t> Care provided in the final weeks or days of life when death is expected.</w:t>
      </w:r>
    </w:p>
    <w:p w14:paraId="4FE881F6" w14:textId="77777777" w:rsidR="00053E70" w:rsidRPr="00053E70" w:rsidRDefault="00053E70" w:rsidP="00053E70">
      <w:pPr>
        <w:numPr>
          <w:ilvl w:val="0"/>
          <w:numId w:val="10"/>
        </w:numPr>
      </w:pPr>
      <w:r w:rsidRPr="00053E70">
        <w:rPr>
          <w:b/>
          <w:bCs/>
        </w:rPr>
        <w:t>Advance Care Directive (ACD):</w:t>
      </w:r>
      <w:r w:rsidRPr="00053E70">
        <w:t> A legally binding document in which a person with decision-making capacity records their preferences and instructions for future care.</w:t>
      </w:r>
    </w:p>
    <w:p w14:paraId="25CE87D8" w14:textId="77777777" w:rsidR="00053E70" w:rsidRPr="00053E70" w:rsidRDefault="00053E70" w:rsidP="00053E70">
      <w:pPr>
        <w:numPr>
          <w:ilvl w:val="0"/>
          <w:numId w:val="10"/>
        </w:numPr>
      </w:pPr>
      <w:r w:rsidRPr="00053E70">
        <w:rPr>
          <w:b/>
          <w:bCs/>
        </w:rPr>
        <w:t>Substitute Decision-Maker (SDM):</w:t>
      </w:r>
      <w:r w:rsidRPr="00053E70">
        <w:t xml:space="preserve"> A person legally </w:t>
      </w:r>
      <w:proofErr w:type="spellStart"/>
      <w:r w:rsidRPr="00053E70">
        <w:t>authorised</w:t>
      </w:r>
      <w:proofErr w:type="spellEnd"/>
      <w:r w:rsidRPr="00053E70">
        <w:t xml:space="preserve"> to make healthcare decisions on behalf of a resident who lacks decision-making capacity.</w:t>
      </w:r>
    </w:p>
    <w:p w14:paraId="7F3E3C43" w14:textId="77777777" w:rsidR="00053E70" w:rsidRPr="00053E70" w:rsidRDefault="00053E70" w:rsidP="00053E70">
      <w:pPr>
        <w:numPr>
          <w:ilvl w:val="0"/>
          <w:numId w:val="10"/>
        </w:numPr>
      </w:pPr>
      <w:r w:rsidRPr="00053E70">
        <w:rPr>
          <w:b/>
          <w:bCs/>
        </w:rPr>
        <w:lastRenderedPageBreak/>
        <w:t>Goals of Care:</w:t>
      </w:r>
      <w:r w:rsidRPr="00053E70">
        <w:t> A documented conversation and plan that articulates what matters most to a resident at a given stage of illness.</w:t>
      </w:r>
    </w:p>
    <w:p w14:paraId="119ACB88" w14:textId="77777777" w:rsidR="00053E70" w:rsidRPr="00053E70" w:rsidRDefault="00053E70" w:rsidP="00053E70">
      <w:pPr>
        <w:rPr>
          <w:b/>
          <w:bCs/>
        </w:rPr>
      </w:pPr>
      <w:r w:rsidRPr="00053E70">
        <w:rPr>
          <w:b/>
          <w:bCs/>
        </w:rPr>
        <w:t>5. Procedures</w:t>
      </w:r>
    </w:p>
    <w:p w14:paraId="7A7ED72D" w14:textId="77777777" w:rsidR="00053E70" w:rsidRPr="00053E70" w:rsidRDefault="00053E70" w:rsidP="00053E70">
      <w:pPr>
        <w:rPr>
          <w:b/>
          <w:bCs/>
        </w:rPr>
      </w:pPr>
      <w:r w:rsidRPr="00053E70">
        <w:rPr>
          <w:b/>
          <w:bCs/>
        </w:rPr>
        <w:t>5.1 Early Identification of Palliative Care Needs</w:t>
      </w:r>
    </w:p>
    <w:p w14:paraId="6F11D115" w14:textId="77777777" w:rsidR="00053E70" w:rsidRPr="00053E70" w:rsidRDefault="00053E70" w:rsidP="00053E70">
      <w:pPr>
        <w:numPr>
          <w:ilvl w:val="0"/>
          <w:numId w:val="11"/>
        </w:numPr>
      </w:pPr>
      <w:r w:rsidRPr="00053E70">
        <w:t>All residents will be assessed for palliative care needs as part of their initial comprehensive assessment and at each significant change in condition.</w:t>
      </w:r>
    </w:p>
    <w:p w14:paraId="198EF6A9" w14:textId="77777777" w:rsidR="00053E70" w:rsidRPr="00053E70" w:rsidRDefault="00053E70" w:rsidP="00053E70">
      <w:pPr>
        <w:numPr>
          <w:ilvl w:val="0"/>
          <w:numId w:val="11"/>
        </w:numPr>
      </w:pPr>
      <w:r w:rsidRPr="00053E70">
        <w:t>The Palliative Care Needs Round tool (or equivalent validated tool) will be used to identify residents who may benefit from a palliative approach.</w:t>
      </w:r>
    </w:p>
    <w:p w14:paraId="1C9977C1" w14:textId="77777777" w:rsidR="00053E70" w:rsidRPr="00053E70" w:rsidRDefault="00053E70" w:rsidP="00053E70">
      <w:pPr>
        <w:numPr>
          <w:ilvl w:val="0"/>
          <w:numId w:val="11"/>
        </w:numPr>
      </w:pPr>
      <w:r w:rsidRPr="00053E70">
        <w:t xml:space="preserve">Identified residents will be referred </w:t>
      </w:r>
      <w:proofErr w:type="gramStart"/>
      <w:r w:rsidRPr="00053E70">
        <w:t>to</w:t>
      </w:r>
      <w:proofErr w:type="gramEnd"/>
      <w:r w:rsidRPr="00053E70">
        <w:t xml:space="preserve"> a palliative care specialist or GP with palliative care experience within [X] days.</w:t>
      </w:r>
    </w:p>
    <w:p w14:paraId="4693F018" w14:textId="77777777" w:rsidR="00053E70" w:rsidRPr="00053E70" w:rsidRDefault="00053E70" w:rsidP="00053E70">
      <w:pPr>
        <w:rPr>
          <w:b/>
          <w:bCs/>
        </w:rPr>
      </w:pPr>
      <w:r w:rsidRPr="00053E70">
        <w:rPr>
          <w:b/>
          <w:bCs/>
        </w:rPr>
        <w:t>5.2 Advance Care Planning</w:t>
      </w:r>
    </w:p>
    <w:p w14:paraId="346E9F69" w14:textId="77777777" w:rsidR="00053E70" w:rsidRPr="00053E70" w:rsidRDefault="00053E70" w:rsidP="00053E70">
      <w:pPr>
        <w:numPr>
          <w:ilvl w:val="0"/>
          <w:numId w:val="12"/>
        </w:numPr>
      </w:pPr>
      <w:r w:rsidRPr="00053E70">
        <w:t xml:space="preserve">All residents will be offered the opportunity to discuss and document their </w:t>
      </w:r>
      <w:proofErr w:type="gramStart"/>
      <w:r w:rsidRPr="00053E70">
        <w:t>advance</w:t>
      </w:r>
      <w:proofErr w:type="gramEnd"/>
      <w:r w:rsidRPr="00053E70">
        <w:t xml:space="preserve"> care preferences within [X] days of admission.</w:t>
      </w:r>
    </w:p>
    <w:p w14:paraId="12E65F0E" w14:textId="77777777" w:rsidR="00053E70" w:rsidRPr="00053E70" w:rsidRDefault="00053E70" w:rsidP="00053E70">
      <w:pPr>
        <w:numPr>
          <w:ilvl w:val="0"/>
          <w:numId w:val="12"/>
        </w:numPr>
      </w:pPr>
      <w:r w:rsidRPr="00053E70">
        <w:t>Advance care directives, statements of choices, and goals of care documents will be stored in the resident's clinical file and communicated to the care team.</w:t>
      </w:r>
    </w:p>
    <w:p w14:paraId="2AD962BF" w14:textId="77777777" w:rsidR="00053E70" w:rsidRPr="00053E70" w:rsidRDefault="00053E70" w:rsidP="00053E70">
      <w:pPr>
        <w:numPr>
          <w:ilvl w:val="0"/>
          <w:numId w:val="12"/>
        </w:numPr>
      </w:pPr>
      <w:r w:rsidRPr="00053E70">
        <w:t xml:space="preserve">Advance care plans will be reviewed following any significant change in the resident's condition or at the </w:t>
      </w:r>
      <w:proofErr w:type="spellStart"/>
      <w:r w:rsidRPr="00053E70">
        <w:t>resident's</w:t>
      </w:r>
      <w:proofErr w:type="spellEnd"/>
      <w:r w:rsidRPr="00053E70">
        <w:t xml:space="preserve"> request.</w:t>
      </w:r>
    </w:p>
    <w:p w14:paraId="70ADF7E0" w14:textId="77777777" w:rsidR="00053E70" w:rsidRPr="00053E70" w:rsidRDefault="00053E70" w:rsidP="00053E70">
      <w:pPr>
        <w:numPr>
          <w:ilvl w:val="0"/>
          <w:numId w:val="12"/>
        </w:numPr>
      </w:pPr>
      <w:r w:rsidRPr="00053E70">
        <w:t xml:space="preserve">Staff will never override a valid </w:t>
      </w:r>
      <w:proofErr w:type="gramStart"/>
      <w:r w:rsidRPr="00053E70">
        <w:t>advance</w:t>
      </w:r>
      <w:proofErr w:type="gramEnd"/>
      <w:r w:rsidRPr="00053E70">
        <w:t xml:space="preserve"> care directive. Any uncertainty will be escalated to the Director of Nursing immediately.</w:t>
      </w:r>
    </w:p>
    <w:p w14:paraId="5D0B38F2" w14:textId="77777777" w:rsidR="00053E70" w:rsidRPr="00053E70" w:rsidRDefault="00053E70" w:rsidP="00053E70">
      <w:pPr>
        <w:rPr>
          <w:b/>
          <w:bCs/>
        </w:rPr>
      </w:pPr>
      <w:r w:rsidRPr="00053E70">
        <w:rPr>
          <w:b/>
          <w:bCs/>
        </w:rPr>
        <w:t>5.3 Pain and Symptom Management</w:t>
      </w:r>
    </w:p>
    <w:p w14:paraId="12947D66" w14:textId="77777777" w:rsidR="00053E70" w:rsidRPr="00053E70" w:rsidRDefault="00053E70" w:rsidP="00053E70">
      <w:pPr>
        <w:numPr>
          <w:ilvl w:val="0"/>
          <w:numId w:val="13"/>
        </w:numPr>
      </w:pPr>
      <w:r w:rsidRPr="00053E70">
        <w:t>Regular pain and symptom assessment will be conducted using a validated tool (e.g. Abbey Pain Scale for residents unable to self-report).</w:t>
      </w:r>
    </w:p>
    <w:p w14:paraId="659B7198" w14:textId="77777777" w:rsidR="00053E70" w:rsidRPr="00053E70" w:rsidRDefault="00053E70" w:rsidP="00053E70">
      <w:pPr>
        <w:numPr>
          <w:ilvl w:val="0"/>
          <w:numId w:val="13"/>
        </w:numPr>
      </w:pPr>
      <w:r w:rsidRPr="00053E70">
        <w:t>Pain and symptom management plans will be documented in the care plan and reviewed at each clinical review.</w:t>
      </w:r>
    </w:p>
    <w:p w14:paraId="1761AF42" w14:textId="77777777" w:rsidR="00053E70" w:rsidRPr="00053E70" w:rsidRDefault="00053E70" w:rsidP="00053E70">
      <w:pPr>
        <w:numPr>
          <w:ilvl w:val="0"/>
          <w:numId w:val="13"/>
        </w:numPr>
      </w:pPr>
      <w:r w:rsidRPr="00053E70">
        <w:t>Anticipatory medication will be prescribed and available at the bedside for residents in the final days of life, in accordance with the treating GP or specialist's orders.</w:t>
      </w:r>
    </w:p>
    <w:p w14:paraId="198D450E" w14:textId="77777777" w:rsidR="00053E70" w:rsidRPr="00053E70" w:rsidRDefault="00053E70" w:rsidP="00053E70">
      <w:pPr>
        <w:numPr>
          <w:ilvl w:val="0"/>
          <w:numId w:val="13"/>
        </w:numPr>
      </w:pPr>
      <w:r w:rsidRPr="00053E70">
        <w:t>Staff will escalate uncontrolled pain or distressing symptoms immediately, at any hour.</w:t>
      </w:r>
    </w:p>
    <w:p w14:paraId="5B9EE7E7" w14:textId="77777777" w:rsidR="00053E70" w:rsidRPr="00053E70" w:rsidRDefault="00053E70" w:rsidP="00053E70">
      <w:pPr>
        <w:rPr>
          <w:b/>
          <w:bCs/>
        </w:rPr>
      </w:pPr>
      <w:r w:rsidRPr="00053E70">
        <w:rPr>
          <w:b/>
          <w:bCs/>
        </w:rPr>
        <w:t>5.4 Environment of Care</w:t>
      </w:r>
    </w:p>
    <w:p w14:paraId="7A335D22" w14:textId="77777777" w:rsidR="00053E70" w:rsidRPr="00053E70" w:rsidRDefault="00053E70" w:rsidP="00053E70">
      <w:pPr>
        <w:numPr>
          <w:ilvl w:val="0"/>
          <w:numId w:val="14"/>
        </w:numPr>
      </w:pPr>
      <w:r w:rsidRPr="00053E70">
        <w:lastRenderedPageBreak/>
        <w:t>A private, comfortable space will be made available for residents at the end of life and their families wherever possible.</w:t>
      </w:r>
    </w:p>
    <w:p w14:paraId="1F88E7DA" w14:textId="77777777" w:rsidR="00053E70" w:rsidRPr="00053E70" w:rsidRDefault="00053E70" w:rsidP="00053E70">
      <w:pPr>
        <w:numPr>
          <w:ilvl w:val="0"/>
          <w:numId w:val="14"/>
        </w:numPr>
      </w:pPr>
      <w:r w:rsidRPr="00053E70">
        <w:t>Flexible visiting hours will apply for family members of residents who are actively dying.</w:t>
      </w:r>
    </w:p>
    <w:p w14:paraId="62334B78" w14:textId="77777777" w:rsidR="00053E70" w:rsidRPr="00053E70" w:rsidRDefault="00053E70" w:rsidP="00053E70">
      <w:pPr>
        <w:numPr>
          <w:ilvl w:val="0"/>
          <w:numId w:val="14"/>
        </w:numPr>
      </w:pPr>
      <w:r w:rsidRPr="00053E70">
        <w:t>Cultural, spiritual, and religious needs will be identified and accommodated throughout the palliative care journey.</w:t>
      </w:r>
    </w:p>
    <w:p w14:paraId="64E31A0D" w14:textId="77777777" w:rsidR="00053E70" w:rsidRPr="00053E70" w:rsidRDefault="00053E70" w:rsidP="00053E70">
      <w:pPr>
        <w:rPr>
          <w:b/>
          <w:bCs/>
        </w:rPr>
      </w:pPr>
      <w:r w:rsidRPr="00053E70">
        <w:rPr>
          <w:b/>
          <w:bCs/>
        </w:rPr>
        <w:t>5.5 After-Death Care</w:t>
      </w:r>
    </w:p>
    <w:p w14:paraId="776B4E4B" w14:textId="77777777" w:rsidR="00053E70" w:rsidRPr="00053E70" w:rsidRDefault="00053E70" w:rsidP="00053E70">
      <w:pPr>
        <w:numPr>
          <w:ilvl w:val="0"/>
          <w:numId w:val="15"/>
        </w:numPr>
      </w:pPr>
      <w:r w:rsidRPr="00053E70">
        <w:t>After-death care will be provided respectfully, in accordance with the resident's cultural and religious preferences and documented wishes.</w:t>
      </w:r>
    </w:p>
    <w:p w14:paraId="6AA790D3" w14:textId="77777777" w:rsidR="00053E70" w:rsidRPr="00053E70" w:rsidRDefault="00053E70" w:rsidP="00053E70">
      <w:pPr>
        <w:numPr>
          <w:ilvl w:val="0"/>
          <w:numId w:val="15"/>
        </w:numPr>
      </w:pPr>
      <w:r w:rsidRPr="00053E70">
        <w:t xml:space="preserve">The family will be notified promptly and sensitively. Staff will offer the family time with their loved </w:t>
      </w:r>
      <w:proofErr w:type="gramStart"/>
      <w:r w:rsidRPr="00053E70">
        <w:t>one</w:t>
      </w:r>
      <w:proofErr w:type="gramEnd"/>
      <w:r w:rsidRPr="00053E70">
        <w:t xml:space="preserve"> before the body is moved.</w:t>
      </w:r>
    </w:p>
    <w:p w14:paraId="396BD8FA" w14:textId="77777777" w:rsidR="00053E70" w:rsidRPr="00053E70" w:rsidRDefault="00053E70" w:rsidP="00053E70">
      <w:pPr>
        <w:numPr>
          <w:ilvl w:val="0"/>
          <w:numId w:val="15"/>
        </w:numPr>
      </w:pPr>
      <w:r w:rsidRPr="00053E70">
        <w:t>Required notifications (GP, coroner if applicable, relevant authorities) will be made in accordance with state and territory legislation.</w:t>
      </w:r>
    </w:p>
    <w:p w14:paraId="796FBEFE" w14:textId="77777777" w:rsidR="00053E70" w:rsidRPr="00053E70" w:rsidRDefault="00053E70" w:rsidP="00053E70">
      <w:pPr>
        <w:rPr>
          <w:b/>
          <w:bCs/>
        </w:rPr>
      </w:pPr>
      <w:r w:rsidRPr="00053E70">
        <w:rPr>
          <w:b/>
          <w:bCs/>
        </w:rPr>
        <w:t>5.6 Bereavement Support</w:t>
      </w:r>
    </w:p>
    <w:p w14:paraId="4EFEFDC0" w14:textId="77777777" w:rsidR="00053E70" w:rsidRPr="00053E70" w:rsidRDefault="00053E70" w:rsidP="00053E70">
      <w:pPr>
        <w:numPr>
          <w:ilvl w:val="0"/>
          <w:numId w:val="16"/>
        </w:numPr>
      </w:pPr>
      <w:r w:rsidRPr="00053E70">
        <w:t>Bereavement information and referral to support services will be offered to families following a resident's death.</w:t>
      </w:r>
    </w:p>
    <w:p w14:paraId="275982BF" w14:textId="77777777" w:rsidR="00053E70" w:rsidRPr="00053E70" w:rsidRDefault="00053E70" w:rsidP="00053E70">
      <w:pPr>
        <w:numPr>
          <w:ilvl w:val="0"/>
          <w:numId w:val="16"/>
        </w:numPr>
      </w:pPr>
      <w:r w:rsidRPr="00053E70">
        <w:t>Staff who are affected by a resident's death will be offered debriefing and access to the Employee Assistance Program (EAP).</w:t>
      </w:r>
    </w:p>
    <w:p w14:paraId="2FF9A49E" w14:textId="77777777" w:rsidR="00053E70" w:rsidRPr="00053E70" w:rsidRDefault="00053E70" w:rsidP="00053E70">
      <w:pPr>
        <w:rPr>
          <w:b/>
          <w:bCs/>
        </w:rPr>
      </w:pPr>
      <w:r w:rsidRPr="00053E70">
        <w:rPr>
          <w:b/>
          <w:bCs/>
        </w:rPr>
        <w:t>6.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6"/>
        <w:gridCol w:w="7054"/>
      </w:tblGrid>
      <w:tr w:rsidR="00053E70" w:rsidRPr="00053E70" w14:paraId="47BFF431" w14:textId="77777777" w:rsidTr="00053E70">
        <w:trPr>
          <w:tblCellSpacing w:w="15" w:type="dxa"/>
        </w:trPr>
        <w:tc>
          <w:tcPr>
            <w:tcW w:w="0" w:type="auto"/>
            <w:vAlign w:val="center"/>
            <w:hideMark/>
          </w:tcPr>
          <w:p w14:paraId="172D02F7" w14:textId="77777777" w:rsidR="00053E70" w:rsidRPr="00053E70" w:rsidRDefault="00053E70" w:rsidP="00053E70">
            <w:pPr>
              <w:rPr>
                <w:b/>
                <w:bCs/>
              </w:rPr>
            </w:pPr>
            <w:r w:rsidRPr="00053E70">
              <w:rPr>
                <w:b/>
                <w:bCs/>
              </w:rPr>
              <w:t>Role</w:t>
            </w:r>
          </w:p>
        </w:tc>
        <w:tc>
          <w:tcPr>
            <w:tcW w:w="0" w:type="auto"/>
            <w:vAlign w:val="center"/>
            <w:hideMark/>
          </w:tcPr>
          <w:p w14:paraId="34D76EBC" w14:textId="77777777" w:rsidR="00053E70" w:rsidRPr="00053E70" w:rsidRDefault="00053E70" w:rsidP="00053E70">
            <w:pPr>
              <w:rPr>
                <w:b/>
                <w:bCs/>
              </w:rPr>
            </w:pPr>
            <w:r w:rsidRPr="00053E70">
              <w:rPr>
                <w:b/>
                <w:bCs/>
              </w:rPr>
              <w:t>Responsibility</w:t>
            </w:r>
          </w:p>
        </w:tc>
      </w:tr>
      <w:tr w:rsidR="00053E70" w:rsidRPr="00053E70" w14:paraId="51284ACA" w14:textId="77777777" w:rsidTr="00053E70">
        <w:trPr>
          <w:tblCellSpacing w:w="15" w:type="dxa"/>
        </w:trPr>
        <w:tc>
          <w:tcPr>
            <w:tcW w:w="0" w:type="auto"/>
            <w:vAlign w:val="center"/>
            <w:hideMark/>
          </w:tcPr>
          <w:p w14:paraId="2A07EA19" w14:textId="77777777" w:rsidR="00053E70" w:rsidRPr="00053E70" w:rsidRDefault="00053E70" w:rsidP="00053E70">
            <w:r w:rsidRPr="00053E70">
              <w:t>Director of Nursing</w:t>
            </w:r>
          </w:p>
        </w:tc>
        <w:tc>
          <w:tcPr>
            <w:tcW w:w="0" w:type="auto"/>
            <w:vAlign w:val="center"/>
            <w:hideMark/>
          </w:tcPr>
          <w:p w14:paraId="0CAC82F3" w14:textId="77777777" w:rsidR="00053E70" w:rsidRPr="00053E70" w:rsidRDefault="00053E70" w:rsidP="00053E70">
            <w:r w:rsidRPr="00053E70">
              <w:t>Clinical accountability; escalation point for end-of-life decisions; liaison with GP and specialists</w:t>
            </w:r>
          </w:p>
        </w:tc>
      </w:tr>
      <w:tr w:rsidR="00053E70" w:rsidRPr="00053E70" w14:paraId="1606874B" w14:textId="77777777" w:rsidTr="00053E70">
        <w:trPr>
          <w:tblCellSpacing w:w="15" w:type="dxa"/>
        </w:trPr>
        <w:tc>
          <w:tcPr>
            <w:tcW w:w="0" w:type="auto"/>
            <w:vAlign w:val="center"/>
            <w:hideMark/>
          </w:tcPr>
          <w:p w14:paraId="11CA0F29" w14:textId="77777777" w:rsidR="00053E70" w:rsidRPr="00053E70" w:rsidRDefault="00053E70" w:rsidP="00053E70">
            <w:r w:rsidRPr="00053E70">
              <w:t>Registered Nurses</w:t>
            </w:r>
          </w:p>
        </w:tc>
        <w:tc>
          <w:tcPr>
            <w:tcW w:w="0" w:type="auto"/>
            <w:vAlign w:val="center"/>
            <w:hideMark/>
          </w:tcPr>
          <w:p w14:paraId="0FB46154" w14:textId="77777777" w:rsidR="00053E70" w:rsidRPr="00053E70" w:rsidRDefault="00053E70" w:rsidP="00053E70">
            <w:r w:rsidRPr="00053E70">
              <w:t>Lead palliative assessment and care planning; administer anticipatory medications; family communication</w:t>
            </w:r>
          </w:p>
        </w:tc>
      </w:tr>
      <w:tr w:rsidR="00053E70" w:rsidRPr="00053E70" w14:paraId="164F8F60" w14:textId="77777777" w:rsidTr="00053E70">
        <w:trPr>
          <w:tblCellSpacing w:w="15" w:type="dxa"/>
        </w:trPr>
        <w:tc>
          <w:tcPr>
            <w:tcW w:w="0" w:type="auto"/>
            <w:vAlign w:val="center"/>
            <w:hideMark/>
          </w:tcPr>
          <w:p w14:paraId="13810F6E" w14:textId="77777777" w:rsidR="00053E70" w:rsidRPr="00053E70" w:rsidRDefault="00053E70" w:rsidP="00053E70">
            <w:r w:rsidRPr="00053E70">
              <w:t>Personal Care Workers</w:t>
            </w:r>
          </w:p>
        </w:tc>
        <w:tc>
          <w:tcPr>
            <w:tcW w:w="0" w:type="auto"/>
            <w:vAlign w:val="center"/>
            <w:hideMark/>
          </w:tcPr>
          <w:p w14:paraId="5939B7DD" w14:textId="77777777" w:rsidR="00053E70" w:rsidRPr="00053E70" w:rsidRDefault="00053E70" w:rsidP="00053E70">
            <w:r w:rsidRPr="00053E70">
              <w:t>Comfort care; observing and reporting changes; emotional support for residents and families</w:t>
            </w:r>
          </w:p>
        </w:tc>
      </w:tr>
      <w:tr w:rsidR="00053E70" w:rsidRPr="00053E70" w14:paraId="166D97AC" w14:textId="77777777" w:rsidTr="00053E70">
        <w:trPr>
          <w:tblCellSpacing w:w="15" w:type="dxa"/>
        </w:trPr>
        <w:tc>
          <w:tcPr>
            <w:tcW w:w="0" w:type="auto"/>
            <w:vAlign w:val="center"/>
            <w:hideMark/>
          </w:tcPr>
          <w:p w14:paraId="053C138B" w14:textId="77777777" w:rsidR="00053E70" w:rsidRPr="00053E70" w:rsidRDefault="00053E70" w:rsidP="00053E70">
            <w:r w:rsidRPr="00053E70">
              <w:t>Social Worker / Pastoral Care</w:t>
            </w:r>
          </w:p>
        </w:tc>
        <w:tc>
          <w:tcPr>
            <w:tcW w:w="0" w:type="auto"/>
            <w:vAlign w:val="center"/>
            <w:hideMark/>
          </w:tcPr>
          <w:p w14:paraId="6CC681C7" w14:textId="77777777" w:rsidR="00053E70" w:rsidRPr="00053E70" w:rsidRDefault="00053E70" w:rsidP="00053E70">
            <w:r w:rsidRPr="00053E70">
              <w:t>Advance care planning support; cultural and spiritual needs; bereavement follow-up</w:t>
            </w:r>
          </w:p>
        </w:tc>
      </w:tr>
      <w:tr w:rsidR="00053E70" w:rsidRPr="00053E70" w14:paraId="6694AA7D" w14:textId="77777777" w:rsidTr="00053E70">
        <w:trPr>
          <w:tblCellSpacing w:w="15" w:type="dxa"/>
        </w:trPr>
        <w:tc>
          <w:tcPr>
            <w:tcW w:w="0" w:type="auto"/>
            <w:vAlign w:val="center"/>
            <w:hideMark/>
          </w:tcPr>
          <w:p w14:paraId="05605603" w14:textId="77777777" w:rsidR="00053E70" w:rsidRPr="00053E70" w:rsidRDefault="00053E70" w:rsidP="00053E70">
            <w:r w:rsidRPr="00053E70">
              <w:lastRenderedPageBreak/>
              <w:t>GP / Palliative Care Specialist</w:t>
            </w:r>
          </w:p>
        </w:tc>
        <w:tc>
          <w:tcPr>
            <w:tcW w:w="0" w:type="auto"/>
            <w:vAlign w:val="center"/>
            <w:hideMark/>
          </w:tcPr>
          <w:p w14:paraId="5BD0713A" w14:textId="77777777" w:rsidR="00053E70" w:rsidRPr="00053E70" w:rsidRDefault="00053E70" w:rsidP="00053E70">
            <w:r w:rsidRPr="00053E70">
              <w:t>Medical oversight; prescribing; goals of care conversations</w:t>
            </w:r>
          </w:p>
        </w:tc>
      </w:tr>
    </w:tbl>
    <w:p w14:paraId="705D773E" w14:textId="77777777" w:rsidR="00053E70" w:rsidRPr="00053E70" w:rsidRDefault="00053E70" w:rsidP="00053E70">
      <w:pPr>
        <w:rPr>
          <w:b/>
          <w:bCs/>
        </w:rPr>
      </w:pPr>
      <w:r w:rsidRPr="00053E70">
        <w:rPr>
          <w:b/>
          <w:bCs/>
        </w:rPr>
        <w:t>7. Related Policies</w:t>
      </w:r>
    </w:p>
    <w:p w14:paraId="4CB46CB3" w14:textId="77777777" w:rsidR="00053E70" w:rsidRPr="00053E70" w:rsidRDefault="00053E70" w:rsidP="00053E70">
      <w:pPr>
        <w:numPr>
          <w:ilvl w:val="0"/>
          <w:numId w:val="17"/>
        </w:numPr>
      </w:pPr>
      <w:r w:rsidRPr="00053E70">
        <w:t>Medication Management Policy</w:t>
      </w:r>
    </w:p>
    <w:p w14:paraId="40BAED83" w14:textId="77777777" w:rsidR="00053E70" w:rsidRPr="00053E70" w:rsidRDefault="00053E70" w:rsidP="00053E70">
      <w:pPr>
        <w:numPr>
          <w:ilvl w:val="0"/>
          <w:numId w:val="17"/>
        </w:numPr>
      </w:pPr>
      <w:r w:rsidRPr="00053E70">
        <w:t>Consent for Medication Policy</w:t>
      </w:r>
    </w:p>
    <w:p w14:paraId="5E36964D" w14:textId="77777777" w:rsidR="00053E70" w:rsidRPr="00053E70" w:rsidRDefault="00053E70" w:rsidP="00053E70">
      <w:pPr>
        <w:numPr>
          <w:ilvl w:val="0"/>
          <w:numId w:val="17"/>
        </w:numPr>
      </w:pPr>
      <w:r w:rsidRPr="00053E70">
        <w:t>Incident Management and Reporting Policy</w:t>
      </w:r>
    </w:p>
    <w:p w14:paraId="6F30EE66" w14:textId="77777777" w:rsidR="00053E70" w:rsidRPr="00053E70" w:rsidRDefault="00053E70" w:rsidP="00053E70">
      <w:pPr>
        <w:numPr>
          <w:ilvl w:val="0"/>
          <w:numId w:val="17"/>
        </w:numPr>
      </w:pPr>
      <w:r w:rsidRPr="00053E70">
        <w:t>Consumer Rights, Dignity and Choice Policy</w:t>
      </w:r>
    </w:p>
    <w:p w14:paraId="4336A482" w14:textId="77777777" w:rsidR="00053E70" w:rsidRPr="00053E70" w:rsidRDefault="00053E70" w:rsidP="00053E70">
      <w:pPr>
        <w:numPr>
          <w:ilvl w:val="0"/>
          <w:numId w:val="17"/>
        </w:numPr>
      </w:pPr>
      <w:r w:rsidRPr="00053E70">
        <w:t>Cultural Diversity and Inclusion Policy</w:t>
      </w:r>
    </w:p>
    <w:p w14:paraId="2251E6F8" w14:textId="77777777" w:rsidR="00053E70" w:rsidRPr="00053E70" w:rsidRDefault="00053E70" w:rsidP="00053E70">
      <w:pPr>
        <w:rPr>
          <w:b/>
          <w:bCs/>
        </w:rPr>
      </w:pPr>
      <w:r w:rsidRPr="00053E70">
        <w:rPr>
          <w:b/>
          <w:bCs/>
        </w:rPr>
        <w:t>8. Relevant Legislation and Standards</w:t>
      </w:r>
    </w:p>
    <w:p w14:paraId="3B168678" w14:textId="77777777" w:rsidR="00053E70" w:rsidRPr="00053E70" w:rsidRDefault="00053E70" w:rsidP="00053E70">
      <w:pPr>
        <w:numPr>
          <w:ilvl w:val="0"/>
          <w:numId w:val="18"/>
        </w:numPr>
      </w:pPr>
      <w:r w:rsidRPr="00053E70">
        <w:t>Aged Care Act 1997 (</w:t>
      </w:r>
      <w:proofErr w:type="spellStart"/>
      <w:r w:rsidRPr="00053E70">
        <w:t>Cth</w:t>
      </w:r>
      <w:proofErr w:type="spellEnd"/>
      <w:r w:rsidRPr="00053E70">
        <w:t>)</w:t>
      </w:r>
    </w:p>
    <w:p w14:paraId="6A318348" w14:textId="77777777" w:rsidR="00053E70" w:rsidRPr="00053E70" w:rsidRDefault="00053E70" w:rsidP="00053E70">
      <w:pPr>
        <w:numPr>
          <w:ilvl w:val="0"/>
          <w:numId w:val="18"/>
        </w:numPr>
      </w:pPr>
      <w:r w:rsidRPr="00053E70">
        <w:t>Strengthened Aged Care Quality Standards — Standards 1 and 5</w:t>
      </w:r>
    </w:p>
    <w:p w14:paraId="08864B42" w14:textId="77777777" w:rsidR="00053E70" w:rsidRPr="00053E70" w:rsidRDefault="00053E70" w:rsidP="00053E70">
      <w:pPr>
        <w:numPr>
          <w:ilvl w:val="0"/>
          <w:numId w:val="18"/>
        </w:numPr>
      </w:pPr>
      <w:r w:rsidRPr="00053E70">
        <w:t>Relevant state/territory Advance Care Planning legislation</w:t>
      </w:r>
    </w:p>
    <w:p w14:paraId="2301DE3F" w14:textId="77777777" w:rsidR="00053E70" w:rsidRPr="00053E70" w:rsidRDefault="00053E70" w:rsidP="00053E70">
      <w:pPr>
        <w:numPr>
          <w:ilvl w:val="0"/>
          <w:numId w:val="18"/>
        </w:numPr>
      </w:pPr>
      <w:r w:rsidRPr="00053E70">
        <w:t>Coroners Act (state/territory applicable)</w:t>
      </w:r>
    </w:p>
    <w:p w14:paraId="19B7E45E" w14:textId="77777777" w:rsidR="00053E70" w:rsidRPr="00053E70" w:rsidRDefault="00053E70" w:rsidP="00053E70">
      <w:pPr>
        <w:numPr>
          <w:ilvl w:val="0"/>
          <w:numId w:val="18"/>
        </w:numPr>
      </w:pPr>
      <w:r w:rsidRPr="00053E70">
        <w:t>Australian Commission on Safety and Quality in Health Care — National Consensus Statement on End-of-Life Care</w:t>
      </w:r>
    </w:p>
    <w:p w14:paraId="3EC09695" w14:textId="77777777" w:rsidR="00053E70" w:rsidRPr="00053E70" w:rsidRDefault="00053E70" w:rsidP="00053E70">
      <w:pPr>
        <w:rPr>
          <w:b/>
          <w:bCs/>
        </w:rPr>
      </w:pPr>
      <w:r w:rsidRPr="00053E70">
        <w:rPr>
          <w:b/>
          <w:bCs/>
        </w:rPr>
        <w:t>9. Review and Monitoring</w:t>
      </w:r>
    </w:p>
    <w:p w14:paraId="7D5DA0F3" w14:textId="77777777" w:rsidR="00053E70" w:rsidRPr="00053E70" w:rsidRDefault="00053E70" w:rsidP="00053E70">
      <w:r w:rsidRPr="00053E70">
        <w:t>This policy will be reviewed annually or when there is a change in relevant legislation or standards. The Director of Nursing is responsible for the review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gridCol w:w="555"/>
        <w:gridCol w:w="578"/>
        <w:gridCol w:w="1120"/>
      </w:tblGrid>
      <w:tr w:rsidR="00053E70" w:rsidRPr="00053E70" w14:paraId="02822EA2" w14:textId="77777777">
        <w:trPr>
          <w:tblCellSpacing w:w="15" w:type="dxa"/>
        </w:trPr>
        <w:tc>
          <w:tcPr>
            <w:tcW w:w="0" w:type="auto"/>
            <w:vAlign w:val="center"/>
            <w:hideMark/>
          </w:tcPr>
          <w:p w14:paraId="0BF48DC8" w14:textId="77777777" w:rsidR="00053E70" w:rsidRPr="00053E70" w:rsidRDefault="00053E70" w:rsidP="00053E70">
            <w:pPr>
              <w:rPr>
                <w:b/>
                <w:bCs/>
              </w:rPr>
            </w:pPr>
            <w:r w:rsidRPr="00053E70">
              <w:rPr>
                <w:b/>
                <w:bCs/>
              </w:rPr>
              <w:t>Reviewed By</w:t>
            </w:r>
          </w:p>
        </w:tc>
        <w:tc>
          <w:tcPr>
            <w:tcW w:w="0" w:type="auto"/>
            <w:vAlign w:val="center"/>
            <w:hideMark/>
          </w:tcPr>
          <w:p w14:paraId="3FEFDCBE" w14:textId="77777777" w:rsidR="00053E70" w:rsidRPr="00053E70" w:rsidRDefault="00053E70" w:rsidP="00053E70">
            <w:pPr>
              <w:rPr>
                <w:b/>
                <w:bCs/>
              </w:rPr>
            </w:pPr>
            <w:r w:rsidRPr="00053E70">
              <w:rPr>
                <w:b/>
                <w:bCs/>
              </w:rPr>
              <w:t>Role</w:t>
            </w:r>
          </w:p>
        </w:tc>
        <w:tc>
          <w:tcPr>
            <w:tcW w:w="0" w:type="auto"/>
            <w:vAlign w:val="center"/>
            <w:hideMark/>
          </w:tcPr>
          <w:p w14:paraId="6FF42981" w14:textId="77777777" w:rsidR="00053E70" w:rsidRPr="00053E70" w:rsidRDefault="00053E70" w:rsidP="00053E70">
            <w:pPr>
              <w:rPr>
                <w:b/>
                <w:bCs/>
              </w:rPr>
            </w:pPr>
            <w:r w:rsidRPr="00053E70">
              <w:rPr>
                <w:b/>
                <w:bCs/>
              </w:rPr>
              <w:t>Date</w:t>
            </w:r>
          </w:p>
        </w:tc>
        <w:tc>
          <w:tcPr>
            <w:tcW w:w="0" w:type="auto"/>
            <w:vAlign w:val="center"/>
            <w:hideMark/>
          </w:tcPr>
          <w:p w14:paraId="04E93AD2" w14:textId="77777777" w:rsidR="00053E70" w:rsidRPr="00053E70" w:rsidRDefault="00053E70" w:rsidP="00053E70">
            <w:pPr>
              <w:rPr>
                <w:b/>
                <w:bCs/>
              </w:rPr>
            </w:pPr>
            <w:r w:rsidRPr="00053E70">
              <w:rPr>
                <w:b/>
                <w:bCs/>
              </w:rPr>
              <w:t>Signature</w:t>
            </w:r>
          </w:p>
        </w:tc>
      </w:tr>
      <w:tr w:rsidR="00053E70" w:rsidRPr="00053E70" w14:paraId="324344CB" w14:textId="77777777">
        <w:trPr>
          <w:tblCellSpacing w:w="15" w:type="dxa"/>
        </w:trPr>
        <w:tc>
          <w:tcPr>
            <w:tcW w:w="0" w:type="auto"/>
            <w:vAlign w:val="center"/>
            <w:hideMark/>
          </w:tcPr>
          <w:p w14:paraId="5743B3FF" w14:textId="77777777" w:rsidR="00053E70" w:rsidRPr="00053E70" w:rsidRDefault="00053E70" w:rsidP="00053E70">
            <w:r w:rsidRPr="00053E70">
              <w:t> </w:t>
            </w:r>
          </w:p>
        </w:tc>
        <w:tc>
          <w:tcPr>
            <w:tcW w:w="0" w:type="auto"/>
            <w:vAlign w:val="center"/>
            <w:hideMark/>
          </w:tcPr>
          <w:p w14:paraId="5B5D31DA" w14:textId="77777777" w:rsidR="00053E70" w:rsidRPr="00053E70" w:rsidRDefault="00053E70" w:rsidP="00053E70">
            <w:r w:rsidRPr="00053E70">
              <w:t> </w:t>
            </w:r>
          </w:p>
        </w:tc>
        <w:tc>
          <w:tcPr>
            <w:tcW w:w="0" w:type="auto"/>
            <w:vAlign w:val="center"/>
            <w:hideMark/>
          </w:tcPr>
          <w:p w14:paraId="214E5E7A" w14:textId="77777777" w:rsidR="00053E70" w:rsidRPr="00053E70" w:rsidRDefault="00053E70" w:rsidP="00053E70">
            <w:r w:rsidRPr="00053E70">
              <w:t> </w:t>
            </w:r>
          </w:p>
        </w:tc>
        <w:tc>
          <w:tcPr>
            <w:tcW w:w="0" w:type="auto"/>
            <w:vAlign w:val="center"/>
            <w:hideMark/>
          </w:tcPr>
          <w:p w14:paraId="568B1F79" w14:textId="77777777" w:rsidR="00053E70" w:rsidRPr="00053E70" w:rsidRDefault="00053E70" w:rsidP="00053E70">
            <w:r w:rsidRPr="00053E70">
              <w:t> </w:t>
            </w:r>
          </w:p>
        </w:tc>
      </w:tr>
      <w:tr w:rsidR="00053E70" w:rsidRPr="00053E70" w14:paraId="6257D061" w14:textId="77777777">
        <w:trPr>
          <w:tblCellSpacing w:w="15" w:type="dxa"/>
        </w:trPr>
        <w:tc>
          <w:tcPr>
            <w:tcW w:w="0" w:type="auto"/>
            <w:vAlign w:val="center"/>
            <w:hideMark/>
          </w:tcPr>
          <w:p w14:paraId="59B2DF6F" w14:textId="77777777" w:rsidR="00053E70" w:rsidRPr="00053E70" w:rsidRDefault="00053E70" w:rsidP="00053E70">
            <w:pPr>
              <w:rPr>
                <w:b/>
                <w:bCs/>
              </w:rPr>
            </w:pPr>
            <w:r w:rsidRPr="00053E70">
              <w:rPr>
                <w:b/>
                <w:bCs/>
              </w:rPr>
              <w:t>Approved By</w:t>
            </w:r>
          </w:p>
        </w:tc>
        <w:tc>
          <w:tcPr>
            <w:tcW w:w="0" w:type="auto"/>
            <w:vAlign w:val="center"/>
            <w:hideMark/>
          </w:tcPr>
          <w:p w14:paraId="3E328E4D" w14:textId="77777777" w:rsidR="00053E70" w:rsidRPr="00053E70" w:rsidRDefault="00053E70" w:rsidP="00053E70">
            <w:pPr>
              <w:rPr>
                <w:b/>
                <w:bCs/>
              </w:rPr>
            </w:pPr>
            <w:r w:rsidRPr="00053E70">
              <w:rPr>
                <w:b/>
                <w:bCs/>
              </w:rPr>
              <w:t>Role</w:t>
            </w:r>
          </w:p>
        </w:tc>
        <w:tc>
          <w:tcPr>
            <w:tcW w:w="0" w:type="auto"/>
            <w:vAlign w:val="center"/>
            <w:hideMark/>
          </w:tcPr>
          <w:p w14:paraId="3489E5CF" w14:textId="77777777" w:rsidR="00053E70" w:rsidRPr="00053E70" w:rsidRDefault="00053E70" w:rsidP="00053E70">
            <w:pPr>
              <w:rPr>
                <w:b/>
                <w:bCs/>
              </w:rPr>
            </w:pPr>
            <w:r w:rsidRPr="00053E70">
              <w:rPr>
                <w:b/>
                <w:bCs/>
              </w:rPr>
              <w:t>Date</w:t>
            </w:r>
          </w:p>
        </w:tc>
        <w:tc>
          <w:tcPr>
            <w:tcW w:w="0" w:type="auto"/>
            <w:vAlign w:val="center"/>
            <w:hideMark/>
          </w:tcPr>
          <w:p w14:paraId="2941F4C4" w14:textId="77777777" w:rsidR="00053E70" w:rsidRPr="00053E70" w:rsidRDefault="00053E70" w:rsidP="00053E70">
            <w:pPr>
              <w:rPr>
                <w:b/>
                <w:bCs/>
              </w:rPr>
            </w:pPr>
            <w:r w:rsidRPr="00053E70">
              <w:rPr>
                <w:b/>
                <w:bCs/>
              </w:rPr>
              <w:t>Signature</w:t>
            </w:r>
          </w:p>
        </w:tc>
      </w:tr>
      <w:tr w:rsidR="00053E70" w:rsidRPr="00053E70" w14:paraId="2BFF8127" w14:textId="77777777">
        <w:trPr>
          <w:tblCellSpacing w:w="15" w:type="dxa"/>
        </w:trPr>
        <w:tc>
          <w:tcPr>
            <w:tcW w:w="0" w:type="auto"/>
            <w:vAlign w:val="center"/>
            <w:hideMark/>
          </w:tcPr>
          <w:p w14:paraId="5DE1F686" w14:textId="77777777" w:rsidR="00053E70" w:rsidRPr="00053E70" w:rsidRDefault="00053E70" w:rsidP="00053E70">
            <w:r w:rsidRPr="00053E70">
              <w:t> </w:t>
            </w:r>
          </w:p>
        </w:tc>
        <w:tc>
          <w:tcPr>
            <w:tcW w:w="0" w:type="auto"/>
            <w:vAlign w:val="center"/>
            <w:hideMark/>
          </w:tcPr>
          <w:p w14:paraId="40BB51FD" w14:textId="77777777" w:rsidR="00053E70" w:rsidRPr="00053E70" w:rsidRDefault="00053E70" w:rsidP="00053E70">
            <w:r w:rsidRPr="00053E70">
              <w:t> </w:t>
            </w:r>
          </w:p>
        </w:tc>
        <w:tc>
          <w:tcPr>
            <w:tcW w:w="0" w:type="auto"/>
            <w:vAlign w:val="center"/>
            <w:hideMark/>
          </w:tcPr>
          <w:p w14:paraId="6D45328C" w14:textId="77777777" w:rsidR="00053E70" w:rsidRPr="00053E70" w:rsidRDefault="00053E70" w:rsidP="00053E70">
            <w:r w:rsidRPr="00053E70">
              <w:t> </w:t>
            </w:r>
          </w:p>
        </w:tc>
        <w:tc>
          <w:tcPr>
            <w:tcW w:w="0" w:type="auto"/>
            <w:vAlign w:val="center"/>
            <w:hideMark/>
          </w:tcPr>
          <w:p w14:paraId="12B10452" w14:textId="77777777" w:rsidR="00053E70" w:rsidRPr="00053E70" w:rsidRDefault="00053E70" w:rsidP="00053E70">
            <w:r w:rsidRPr="00053E70">
              <w:t> </w:t>
            </w:r>
          </w:p>
        </w:tc>
      </w:tr>
    </w:tbl>
    <w:p w14:paraId="7DF1002F" w14:textId="77777777" w:rsidR="00053E70" w:rsidRDefault="00053E70"/>
    <w:sectPr w:rsidR="00053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D76"/>
    <w:multiLevelType w:val="multilevel"/>
    <w:tmpl w:val="653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11F77"/>
    <w:multiLevelType w:val="multilevel"/>
    <w:tmpl w:val="9358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63115"/>
    <w:multiLevelType w:val="multilevel"/>
    <w:tmpl w:val="46F8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0276C"/>
    <w:multiLevelType w:val="multilevel"/>
    <w:tmpl w:val="327A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40975"/>
    <w:multiLevelType w:val="multilevel"/>
    <w:tmpl w:val="188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0FE4"/>
    <w:multiLevelType w:val="multilevel"/>
    <w:tmpl w:val="BBE6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57A1F"/>
    <w:multiLevelType w:val="multilevel"/>
    <w:tmpl w:val="958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869FE"/>
    <w:multiLevelType w:val="multilevel"/>
    <w:tmpl w:val="1ED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202DD"/>
    <w:multiLevelType w:val="multilevel"/>
    <w:tmpl w:val="F8AC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B0BBA"/>
    <w:multiLevelType w:val="multilevel"/>
    <w:tmpl w:val="163A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C6568"/>
    <w:multiLevelType w:val="multilevel"/>
    <w:tmpl w:val="16D4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6184C"/>
    <w:multiLevelType w:val="multilevel"/>
    <w:tmpl w:val="871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22DBE"/>
    <w:multiLevelType w:val="multilevel"/>
    <w:tmpl w:val="1378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A1D8E"/>
    <w:multiLevelType w:val="multilevel"/>
    <w:tmpl w:val="2F3C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1659E"/>
    <w:multiLevelType w:val="multilevel"/>
    <w:tmpl w:val="421C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E0C5C"/>
    <w:multiLevelType w:val="multilevel"/>
    <w:tmpl w:val="91A0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87591"/>
    <w:multiLevelType w:val="multilevel"/>
    <w:tmpl w:val="F62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02CCA"/>
    <w:multiLevelType w:val="multilevel"/>
    <w:tmpl w:val="1942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245217">
    <w:abstractNumId w:val="6"/>
  </w:num>
  <w:num w:numId="2" w16cid:durableId="2018461152">
    <w:abstractNumId w:val="0"/>
  </w:num>
  <w:num w:numId="3" w16cid:durableId="1968967141">
    <w:abstractNumId w:val="17"/>
  </w:num>
  <w:num w:numId="4" w16cid:durableId="1978217383">
    <w:abstractNumId w:val="9"/>
  </w:num>
  <w:num w:numId="5" w16cid:durableId="230628392">
    <w:abstractNumId w:val="13"/>
  </w:num>
  <w:num w:numId="6" w16cid:durableId="1928462893">
    <w:abstractNumId w:val="14"/>
  </w:num>
  <w:num w:numId="7" w16cid:durableId="1923833201">
    <w:abstractNumId w:val="4"/>
  </w:num>
  <w:num w:numId="8" w16cid:durableId="1710639759">
    <w:abstractNumId w:val="7"/>
  </w:num>
  <w:num w:numId="9" w16cid:durableId="1122765681">
    <w:abstractNumId w:val="5"/>
  </w:num>
  <w:num w:numId="10" w16cid:durableId="483817874">
    <w:abstractNumId w:val="16"/>
  </w:num>
  <w:num w:numId="11" w16cid:durableId="551386952">
    <w:abstractNumId w:val="10"/>
  </w:num>
  <w:num w:numId="12" w16cid:durableId="1467234206">
    <w:abstractNumId w:val="12"/>
  </w:num>
  <w:num w:numId="13" w16cid:durableId="1012024538">
    <w:abstractNumId w:val="15"/>
  </w:num>
  <w:num w:numId="14" w16cid:durableId="1775318851">
    <w:abstractNumId w:val="8"/>
  </w:num>
  <w:num w:numId="15" w16cid:durableId="539434345">
    <w:abstractNumId w:val="11"/>
  </w:num>
  <w:num w:numId="16" w16cid:durableId="641348043">
    <w:abstractNumId w:val="1"/>
  </w:num>
  <w:num w:numId="17" w16cid:durableId="266697923">
    <w:abstractNumId w:val="2"/>
  </w:num>
  <w:num w:numId="18" w16cid:durableId="144323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70"/>
    <w:rsid w:val="00053E70"/>
    <w:rsid w:val="00F8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C0FC"/>
  <w15:chartTrackingRefBased/>
  <w15:docId w15:val="{B18F5A83-5B01-40A4-82CC-7874B4A4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E70"/>
    <w:rPr>
      <w:rFonts w:eastAsiaTheme="majorEastAsia" w:cstheme="majorBidi"/>
      <w:color w:val="272727" w:themeColor="text1" w:themeTint="D8"/>
    </w:rPr>
  </w:style>
  <w:style w:type="paragraph" w:styleId="Title">
    <w:name w:val="Title"/>
    <w:basedOn w:val="Normal"/>
    <w:next w:val="Normal"/>
    <w:link w:val="TitleChar"/>
    <w:uiPriority w:val="10"/>
    <w:qFormat/>
    <w:rsid w:val="00053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E70"/>
    <w:pPr>
      <w:spacing w:before="160"/>
      <w:jc w:val="center"/>
    </w:pPr>
    <w:rPr>
      <w:i/>
      <w:iCs/>
      <w:color w:val="404040" w:themeColor="text1" w:themeTint="BF"/>
    </w:rPr>
  </w:style>
  <w:style w:type="character" w:customStyle="1" w:styleId="QuoteChar">
    <w:name w:val="Quote Char"/>
    <w:basedOn w:val="DefaultParagraphFont"/>
    <w:link w:val="Quote"/>
    <w:uiPriority w:val="29"/>
    <w:rsid w:val="00053E70"/>
    <w:rPr>
      <w:i/>
      <w:iCs/>
      <w:color w:val="404040" w:themeColor="text1" w:themeTint="BF"/>
    </w:rPr>
  </w:style>
  <w:style w:type="paragraph" w:styleId="ListParagraph">
    <w:name w:val="List Paragraph"/>
    <w:basedOn w:val="Normal"/>
    <w:uiPriority w:val="34"/>
    <w:qFormat/>
    <w:rsid w:val="00053E70"/>
    <w:pPr>
      <w:ind w:left="720"/>
      <w:contextualSpacing/>
    </w:pPr>
  </w:style>
  <w:style w:type="character" w:styleId="IntenseEmphasis">
    <w:name w:val="Intense Emphasis"/>
    <w:basedOn w:val="DefaultParagraphFont"/>
    <w:uiPriority w:val="21"/>
    <w:qFormat/>
    <w:rsid w:val="00053E70"/>
    <w:rPr>
      <w:i/>
      <w:iCs/>
      <w:color w:val="0F4761" w:themeColor="accent1" w:themeShade="BF"/>
    </w:rPr>
  </w:style>
  <w:style w:type="paragraph" w:styleId="IntenseQuote">
    <w:name w:val="Intense Quote"/>
    <w:basedOn w:val="Normal"/>
    <w:next w:val="Normal"/>
    <w:link w:val="IntenseQuoteChar"/>
    <w:uiPriority w:val="30"/>
    <w:qFormat/>
    <w:rsid w:val="00053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E70"/>
    <w:rPr>
      <w:i/>
      <w:iCs/>
      <w:color w:val="0F4761" w:themeColor="accent1" w:themeShade="BF"/>
    </w:rPr>
  </w:style>
  <w:style w:type="character" w:styleId="IntenseReference">
    <w:name w:val="Intense Reference"/>
    <w:basedOn w:val="DefaultParagraphFont"/>
    <w:uiPriority w:val="32"/>
    <w:qFormat/>
    <w:rsid w:val="00053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Paul</dc:creator>
  <cp:keywords/>
  <dc:description/>
  <cp:lastModifiedBy>Nathaniel Paul</cp:lastModifiedBy>
  <cp:revision>1</cp:revision>
  <dcterms:created xsi:type="dcterms:W3CDTF">2026-05-26T05:05:00Z</dcterms:created>
  <dcterms:modified xsi:type="dcterms:W3CDTF">2026-05-26T05:06:00Z</dcterms:modified>
</cp:coreProperties>
</file>