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Telehealth and Digital Health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hy89c27lp9d3"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requirements for planning, delivering, and documenting telehealth and digital health consultations at [ORGANISATION NAME]. It applies to all remote clinical consultations conducted via video or telephone, including GP visits, specialist reviews, and allied health sessions. The policy aims to protect resident safety, uphold resident rights, and meet the obligations placed on approved providers under the Aged Care Act 1997 and the Strengthened Aged Care Quality Standards. It also supports accurate and appropriate use of Medicare Benefits Schedule telehealth items.</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spyv3ez8wcvn"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clinical and care staff employed or contracted by [ORGANISATION NAME]</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Administrative and reception staff who book or coordinate telehealth appointments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Visiting medical practitioners and allied health professionals conducting telehealth consultations on behalf of residents</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Residents of [ORGANISATION NAME] and, where relevant, their families, carers, and legal representatives</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and students who may be present during or assist with telehealth sessions</w:t>
      </w:r>
    </w:p>
    <w:p w:rsidR="00000000" w:rsidDel="00000000" w:rsidP="00000000" w:rsidRDefault="00000000" w:rsidRPr="00000000" w14:paraId="0000001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r6az3xb9njyx"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0"/>
        <w:gridCol w:w="6555"/>
        <w:tblGridChange w:id="0">
          <w:tblGrid>
            <w:gridCol w:w="2190"/>
            <w:gridCol w:w="655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Telehealth</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delivery of health care services using information and communication technologies, including video conferencing and telephone consultations, where the patient and clinician are in different locations.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Videoconference consultation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real-time audio-visual consultation conducted over an approved digital platform, where both the resident and the clinician can see and hear each other.</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consultation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clinical consultation conducted by phone only, without a video component, which may attract specific MBS item numbers subject to eligibility conditions.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 clinical relationship</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relationship between a GP or specialist and a patient where the practitioner has previously seen the patient in person and holds a clinical record for that patient, as required for many MBS telehealth item numbers.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telehealth platform</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video conferencing application that meets the organisation's privacy and security requirements and has been formally approved for use by the clinical governance committee.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Attending staff member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clinical or care staff member who is physically present with the resident during a telehealth consultation to provide support, assistance with technology, and clinical observation as required.</w:t>
            </w:r>
          </w:p>
        </w:tc>
      </w:tr>
    </w:tbl>
    <w:p w:rsidR="00000000" w:rsidDel="00000000" w:rsidP="00000000" w:rsidRDefault="00000000" w:rsidRPr="00000000" w14:paraId="0000002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7vrhup8ctqex"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and must be read in conjunction with the following legislation, standards, and guidelines:</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Aged Care Act 1997 (Cth) and associated Principles</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3 (The Care and Services): residents must receive care and services that meet their needs, delivered with dignity and respect for their preferences</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5 (Clinical Care): providers must deliver safe, evidence-based clinical care including access to medical practitioners and specialists</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Medicare Benefits Schedule (MBS) telehealth items: conditions regarding existing clinical relationships, video versus telephone requirements, and eligible providers</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Act 1988 (Cth) and the Australian Privacy Principles</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My Health Records Act 2012 (Cth)</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Australian Digital Health Agency Framework for Action</w:t>
      </w:r>
    </w:p>
    <w:p w:rsidR="00000000" w:rsidDel="00000000" w:rsidP="00000000" w:rsidRDefault="00000000" w:rsidRPr="00000000" w14:paraId="0000002A">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guidance on telehealth in residential care</w:t>
      </w:r>
    </w:p>
    <w:p w:rsidR="00000000" w:rsidDel="00000000" w:rsidP="00000000" w:rsidRDefault="00000000" w:rsidRPr="00000000" w14:paraId="0000002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m21zo63yem5s"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providing residents with timely access to clinical care, including through telehealth and digital health technologies where this is appropriate, safe, and consistent with each resident's preferences. Telehealth consultations will be planned, conducted, and documented to the same standard as in-person consultations and will never be used as a substitute for care that requires physical attendance. Residents will always be given a clear choice about whether to participate in telehealth, and their decision will be respected and recorded. Staff will be trained and supported to assist residents with technology so that digital access does not become a barrier to care. All telehealth activity will be governed in line with our Clinical Governance Framework and privacy obligations.</w:t>
      </w:r>
    </w:p>
    <w:p w:rsidR="00000000" w:rsidDel="00000000" w:rsidP="00000000" w:rsidRDefault="00000000" w:rsidRPr="00000000" w14:paraId="0000002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l20hupkp33u4"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6225"/>
        <w:tblGridChange w:id="0">
          <w:tblGrid>
            <w:gridCol w:w="2535"/>
            <w:gridCol w:w="622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Clinical Lead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Oversees clinical governance of telehealth delivery; approves telehealth platforms; reviews incidents and audit outcomes; ensures the policy is current and staff are trained.</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Accountable for overall policy compliance; allocates resources for equipment and staff training; reports telehealth performance to the governing body.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Coordinates telehealth consultations for residents on their caseload; obtains and documents consent; attends or assigns a support staff member; records consultation outcomes in the care record.</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Staff (Personal Care Workers / AINs)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Assists residents with device setup and positioning; provides support during the consultation; reports technical issues or resident distress to the RN promptly.</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Schedules telehealth appointments; sends connection details to clinicians; maintains appointment logs; assists with MBS item number verification where required.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Visiting Medical Practitioners and Allied Health</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Conducts consultations in accordance with MBS requirements and professional registration standards; provides written or electronic consultation notes to the facility promptly after each session.</w:t>
            </w:r>
          </w:p>
        </w:tc>
      </w:tr>
    </w:tbl>
    <w:p w:rsidR="00000000" w:rsidDel="00000000" w:rsidP="00000000" w:rsidRDefault="00000000" w:rsidRPr="00000000" w14:paraId="0000003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3j3gizvbb4vp"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D">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Assessing suitability for telehealth.</w:t>
      </w:r>
      <w:r w:rsidDel="00000000" w:rsidR="00000000" w:rsidRPr="00000000">
        <w:rPr>
          <w:rFonts w:ascii="Times New Roman" w:cs="Times New Roman" w:eastAsia="Times New Roman" w:hAnsi="Times New Roman"/>
          <w:sz w:val="24"/>
          <w:szCs w:val="24"/>
          <w:rtl w:val="0"/>
        </w:rPr>
        <w:t xml:space="preserve"> Before booking a remote consultation, the responsible RN assesses whether telehealth is appropriate for the resident's clinical need and personal circumstances. Factors to consider include the nature of the consultation, the resident's cognitive and communication capacity, sensory impairments, and whether a physical examination is required. If the RN determines that the consultation requires in-person attendance, this must be communicated to the booking team and documented in the care record.</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Obtaining and recording consent.</w:t>
      </w:r>
      <w:r w:rsidDel="00000000" w:rsidR="00000000" w:rsidRPr="00000000">
        <w:rPr>
          <w:rFonts w:ascii="Times New Roman" w:cs="Times New Roman" w:eastAsia="Times New Roman" w:hAnsi="Times New Roman"/>
          <w:sz w:val="24"/>
          <w:szCs w:val="24"/>
          <w:rtl w:val="0"/>
        </w:rPr>
        <w:t xml:space="preserve"> The responsible RN discusses the planned telehealth consultation with the resident prior to booking. The resident's agreement to participate, or their preference for an in-person consultation, is documented in the care record. Where a resident lacks decision-making capacity, consent is sought from their legal representative in line with the organisation's consent policy. Consent is re-obtained if the nature of the telehealth service changes significantly.</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Booking the consultation.</w:t>
      </w:r>
      <w:r w:rsidDel="00000000" w:rsidR="00000000" w:rsidRPr="00000000">
        <w:rPr>
          <w:rFonts w:ascii="Times New Roman" w:cs="Times New Roman" w:eastAsia="Times New Roman" w:hAnsi="Times New Roman"/>
          <w:sz w:val="24"/>
          <w:szCs w:val="24"/>
          <w:rtl w:val="0"/>
        </w:rPr>
        <w:t xml:space="preserve"> Administration staff schedule the appointment using the facility's booking system, confirming the clinician's existing clinical relationship with the resident where required for MBS billing. Staff confirm whether the consultation will be conducted by video or phone and record the platform or phone number to be used. The booking record includes the resident's name, the clinician's details, the proposed item number (if known), and the scheduled date and time.</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Preparing the resident and environment.</w:t>
      </w:r>
      <w:r w:rsidDel="00000000" w:rsidR="00000000" w:rsidRPr="00000000">
        <w:rPr>
          <w:rFonts w:ascii="Times New Roman" w:cs="Times New Roman" w:eastAsia="Times New Roman" w:hAnsi="Times New Roman"/>
          <w:sz w:val="24"/>
          <w:szCs w:val="24"/>
          <w:rtl w:val="0"/>
        </w:rPr>
        <w:t xml:space="preserve"> At least 15 minutes before the consultation, a care staff member assists the resident to a private, well-lit space. The approved telehealth device (tablet, laptop, or telephone) is tested for connectivity and audio-visual function. The resident is positioned comfortably so the clinician has a clear view. Background noise is minimised. The attending staff member confirms they understand their role during the session.</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Conducting the consultation.</w:t>
      </w:r>
      <w:r w:rsidDel="00000000" w:rsidR="00000000" w:rsidRPr="00000000">
        <w:rPr>
          <w:rFonts w:ascii="Times New Roman" w:cs="Times New Roman" w:eastAsia="Times New Roman" w:hAnsi="Times New Roman"/>
          <w:sz w:val="24"/>
          <w:szCs w:val="24"/>
          <w:rtl w:val="0"/>
        </w:rPr>
        <w:t xml:space="preserve"> The attending staff member stays with the resident throughout the consultation unless the resident requests privacy and the clinical situation allows it. The staff member provides physical assistance as needed, including holding the device, adjusting angles, or relaying questions if the resident has difficulty hearing or communicating. If the connection fails and cannot be restored within five minutes, the attending staff member notifies the RN, who contacts the clinician to rebook or arrange an alternative consultation method.</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Documenting outcomes.</w:t>
      </w:r>
      <w:r w:rsidDel="00000000" w:rsidR="00000000" w:rsidRPr="00000000">
        <w:rPr>
          <w:rFonts w:ascii="Times New Roman" w:cs="Times New Roman" w:eastAsia="Times New Roman" w:hAnsi="Times New Roman"/>
          <w:sz w:val="24"/>
          <w:szCs w:val="24"/>
          <w:rtl w:val="0"/>
        </w:rPr>
        <w:t xml:space="preserve"> Following the consultation, the responsible RN records the date, time, clinician name, type of consultation (video or phone), clinical outcomes, and any follow-up actions in the resident's care record within four hours. Referrals, medication changes, or care plan updates arising from the consultation are acted on promptly according to their clinical priority. The RN notifies the resident's family or representative of significant clinical decisions where appropriate and in line with the resident's communication preferences.</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Reporting incidents and technical failures.</w:t>
      </w:r>
      <w:r w:rsidDel="00000000" w:rsidR="00000000" w:rsidRPr="00000000">
        <w:rPr>
          <w:rFonts w:ascii="Times New Roman" w:cs="Times New Roman" w:eastAsia="Times New Roman" w:hAnsi="Times New Roman"/>
          <w:sz w:val="24"/>
          <w:szCs w:val="24"/>
          <w:rtl w:val="0"/>
        </w:rPr>
        <w:t xml:space="preserve"> Any incident during a telehealth consultation, including connection failures that affect clinical care, resident distress, or privacy breaches, is reported through the organisation's incident management system. The RN classifies the incident, initiates any immediate care response required, and notifies the Director of Nursing. Trends in telehealth incidents are reviewed at the clinical governance meeting.</w:t>
      </w:r>
    </w:p>
    <w:p w:rsidR="00000000" w:rsidDel="00000000" w:rsidP="00000000" w:rsidRDefault="00000000" w:rsidRPr="00000000" w14:paraId="00000044">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Managing approved platforms and equipment.</w:t>
      </w:r>
      <w:r w:rsidDel="00000000" w:rsidR="00000000" w:rsidRPr="00000000">
        <w:rPr>
          <w:rFonts w:ascii="Times New Roman" w:cs="Times New Roman" w:eastAsia="Times New Roman" w:hAnsi="Times New Roman"/>
          <w:sz w:val="24"/>
          <w:szCs w:val="24"/>
          <w:rtl w:val="0"/>
        </w:rPr>
        <w:t xml:space="preserve"> The Director of Nursing maintains a list of approved telehealth platforms. New platforms must be assessed against the organisation's privacy and security requirements before use. Devices used for telehealth are managed in line with the organisation's information technology policy and are not used for personal purposes. Platform software is kept up to date by the designated IT contact or an external IT provider.</w:t>
      </w:r>
    </w:p>
    <w:p w:rsidR="00000000" w:rsidDel="00000000" w:rsidP="00000000" w:rsidRDefault="00000000" w:rsidRPr="00000000" w14:paraId="00000045">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6m3tie2eo1m8"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every two years, or sooner if there is a change to relevant legislation, MBS telehealth requirements, Aged Care Quality Standards, or following a significant incident involving a telehealth consultation.</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of Nursing is responsible for initiating and overseeing the review. The review process includes consultation with clinical staff, administration staff, and, where practicable, resident and family representatives.</w:t>
      </w:r>
    </w:p>
    <w:p w:rsidR="00000000" w:rsidDel="00000000" w:rsidP="00000000" w:rsidRDefault="00000000" w:rsidRPr="00000000" w14:paraId="000000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this policy will be monitored through: quarterly audits of telehealth consultation documentation in a sample of care records; review of telehealth-related incidents at the monthly clinical governance meeting; and staff feedback collected during annual performance reviews and team meetings.</w:t>
      </w:r>
    </w:p>
    <w:p w:rsidR="00000000" w:rsidDel="00000000" w:rsidP="00000000" w:rsidRDefault="00000000" w:rsidRPr="00000000" w14:paraId="000000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 findings are reported to the Facility Manager and, where material, to the governing body. Corrective actions arising from audits are documented, assigned to a responsible person, and tracked to completion.</w:t>
      </w:r>
    </w:p>
    <w:p w:rsidR="00000000" w:rsidDel="00000000" w:rsidP="00000000" w:rsidRDefault="00000000" w:rsidRPr="00000000" w14:paraId="0000004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4iwn866ek5u6"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B">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Clinical Governance Framework Policy</w:t>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and Confidentiality Policy</w:t>
      </w:r>
    </w:p>
    <w:p w:rsidR="00000000" w:rsidDel="00000000" w:rsidP="00000000" w:rsidRDefault="00000000" w:rsidRPr="00000000" w14:paraId="0000004D">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Consent to Care and Treatment Policy</w:t>
      </w:r>
    </w:p>
    <w:p w:rsidR="00000000" w:rsidDel="00000000" w:rsidP="00000000" w:rsidRDefault="00000000" w:rsidRPr="00000000" w14:paraId="0000004E">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Management Policy</w:t>
      </w:r>
    </w:p>
    <w:p w:rsidR="00000000" w:rsidDel="00000000" w:rsidP="00000000" w:rsidRDefault="00000000" w:rsidRPr="00000000" w14:paraId="0000004F">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Information Technology Acceptable Use Policy</w:t>
      </w:r>
    </w:p>
    <w:p w:rsidR="00000000" w:rsidDel="00000000" w:rsidP="00000000" w:rsidRDefault="00000000" w:rsidRPr="00000000" w14:paraId="0000005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Care Planning Policy</w:t>
      </w:r>
    </w:p>
    <w:p w:rsidR="00000000" w:rsidDel="00000000" w:rsidP="00000000" w:rsidRDefault="00000000" w:rsidRPr="00000000" w14:paraId="00000051">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Medication Management Policy</w:t>
      </w:r>
    </w:p>
    <w:p w:rsidR="00000000" w:rsidDel="00000000" w:rsidP="00000000" w:rsidRDefault="00000000" w:rsidRPr="00000000" w14:paraId="0000005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biyqe3hy032u"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