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Cybersecurity and Data Governance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anqug3v9d52"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obligations and expectations of [ORGANISATION NAME] in protecting personal, sensitive, and organisational information from cyber threats, unauthorised access, and data breaches. It establishes a framework for responsible data governance across all systems, devices, and processes used in the delivery of aged care services. The policy supports [ORGANISATION NAME]'s commitment to maintaining the trust and dignity of residents, families, and staff whose information is held by the organisation. It also supports compliance with applicable Commonwealth legislation and the Strengthened Aged Care Quality Standards.</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oear3thaxv47"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permanent, part-time, and casual employees of [ORGANISATION NAME]</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Contractors, consultants, and volunteers who access organisational systems or data</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Third-party service providers and vendors with access to resident or organisational information</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devices used to access organisational systems, including personal devices used for work purposes</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locations where [ORGANISATION NAME] services are delivered, including in-home care settings</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xl9m6ze0i20"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7050"/>
        <w:tblGridChange w:id="0">
          <w:tblGrid>
            <w:gridCol w:w="1695"/>
            <w:gridCol w:w="705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Information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or an opinion about an identified individual, or an individual who is reasonably identifiable, as defined under the Privacy Act 1988.</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Sensitive Information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subset of personal information including health information, racial or ethnic origin, and other categories afforded higher protection under the Australian Privacy Principles.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Breach</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Unauthorised access to, disclosure of, or loss of personal information held by the organisation, whether caused by human error, system failure, or malicious activity.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Notifiable Data Breach</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data breach that is likely to result in serious harm to one or more individuals, triggering mandatory notification obligations to the Office of the Australian Information Commissioner (OAIC) under the Privacy Act 1988.</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Incident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event that compromises or threatens to compromise the confidentiality, integrity, or availability of information systems, including phishing attacks, ransomware, and unauthorised system access.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Controls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and administrative mechanisms used to restrict access to systems and data to authorised individuals only, based on their role and the minimum level of access needed to perform their duties.</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6p5ktq1wmvu"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and must be read in conjunction with the following legislation, standards, and guidelines: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including obligations under the Notifiable Data Breaches scheme</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Privacy Principles (APPs)</w:t>
      </w:r>
      <w:r w:rsidDel="00000000" w:rsidR="00000000" w:rsidRPr="00000000">
        <w:rPr>
          <w:rFonts w:ascii="Times New Roman" w:cs="Times New Roman" w:eastAsia="Times New Roman" w:hAnsi="Times New Roman"/>
          <w:sz w:val="24"/>
          <w:szCs w:val="24"/>
          <w:rtl w:val="0"/>
        </w:rPr>
        <w:t xml:space="preserve">, in particular APP 1 (open and transparent management of personal information), APP 6 (use or disclosure of personal information), and APP 11 (security of personal information)</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2024 (Cth)</w:t>
      </w:r>
      <w:r w:rsidDel="00000000" w:rsidR="00000000" w:rsidRPr="00000000">
        <w:rPr>
          <w:rFonts w:ascii="Times New Roman" w:cs="Times New Roman" w:eastAsia="Times New Roman" w:hAnsi="Times New Roman"/>
          <w:sz w:val="24"/>
          <w:szCs w:val="24"/>
          <w:rtl w:val="0"/>
        </w:rPr>
        <w:t xml:space="preserve"> and associated rules, including obligations relating to governance, risk management, and the protection of resident rights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 2: The Organisation</w:t>
      </w:r>
      <w:r w:rsidDel="00000000" w:rsidR="00000000" w:rsidRPr="00000000">
        <w:rPr>
          <w:rFonts w:ascii="Times New Roman" w:cs="Times New Roman" w:eastAsia="Times New Roman" w:hAnsi="Times New Roman"/>
          <w:sz w:val="24"/>
          <w:szCs w:val="24"/>
          <w:rtl w:val="0"/>
        </w:rPr>
        <w:t xml:space="preserve">, which requires approved providers to have effective governance systems, including systems for managing information and cyber security risk</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My Aged Care Provider Operations</w:t>
      </w:r>
      <w:r w:rsidDel="00000000" w:rsidR="00000000" w:rsidRPr="00000000">
        <w:rPr>
          <w:rFonts w:ascii="Times New Roman" w:cs="Times New Roman" w:eastAsia="Times New Roman" w:hAnsi="Times New Roman"/>
          <w:sz w:val="24"/>
          <w:szCs w:val="24"/>
          <w:rtl w:val="0"/>
        </w:rPr>
        <w:t xml:space="preserve"> requirements relating to data integrity and system access</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Signals Directorate (ASD) Essential Eight</w:t>
      </w:r>
      <w:r w:rsidDel="00000000" w:rsidR="00000000" w:rsidRPr="00000000">
        <w:rPr>
          <w:rFonts w:ascii="Times New Roman" w:cs="Times New Roman" w:eastAsia="Times New Roman" w:hAnsi="Times New Roman"/>
          <w:sz w:val="24"/>
          <w:szCs w:val="24"/>
          <w:rtl w:val="0"/>
        </w:rPr>
        <w:t xml:space="preserve"> mitigation strategies, as best practice guidance for cyber resilience</w:t>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Health Records Act 2001</w:t>
      </w:r>
      <w:r w:rsidDel="00000000" w:rsidR="00000000" w:rsidRPr="00000000">
        <w:rPr>
          <w:rFonts w:ascii="Times New Roman" w:cs="Times New Roman" w:eastAsia="Times New Roman" w:hAnsi="Times New Roman"/>
          <w:sz w:val="24"/>
          <w:szCs w:val="24"/>
          <w:rtl w:val="0"/>
        </w:rPr>
        <w:t xml:space="preserve"> (Victoria) or equivalent state and territory health records legislation where applicable</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kbkt2s0t722"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protecting the personal and sensitive information of residents, families, staff, and other stakeholders from loss, unauthorised access, and misuse. We recognise that information security is a governance responsibility, not solely an IT function, and that accountability sits at the leadership level. All staff are responsible for following this policy and for reporting any suspected security incidents promptly. [ORGANISATION NAME] will maintain documented controls, conduct regular risk assessments, and review this policy at least annually to reflect changes in legislation, technology, and organisational risk. We will act transparently and promptly if a breach occurs, including meeting all notification obligations under the Privacy Act 1988.</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flpxtilj90i"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240"/>
        <w:tblGridChange w:id="0">
          <w:tblGrid>
            <w:gridCol w:w="2505"/>
            <w:gridCol w:w="624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Executive Director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Holds ultimate accountability for information security governance. Approves this policy and ensures adequate resources are allocated for cybersecurity risk management.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Privacy Officer / Designated Information Security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day-to-day implementation of this policy. Conducts risk assessments, coordinates incident response, and acts as the first point of contact for data breach notifications to the OAIC.</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Manager / Systems Administrator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technical security controls including firewalls, access management, software patching, and backups. Reports system vulnerabilities and cyber incidents to the Information Security Lead.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and Culture / HR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Integrates cybersecurity training into staff induction and ongoing education. Manages access revocation for departing staff and maintains records of completed training.</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 all requirements of this policy. Report suspected cyber incidents or data breaches immediately to their manager or the Information Security Lead. Complete mandatory cybersecurity training as required.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Third-Party Vendors and Contractors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Comply with the security requirements outlined in their service agreement or data sharing agreement with [ORGANISATION NAME]. Report any suspected breaches involving organisational data immediately.</w:t>
            </w:r>
          </w:p>
        </w:tc>
      </w:tr>
    </w:tbl>
    <w:p w:rsidR="00000000" w:rsidDel="00000000" w:rsidP="00000000" w:rsidRDefault="00000000" w:rsidRPr="00000000" w14:paraId="0000003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d64sbftbvi1"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C">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Access Management</w:t>
        <w:br w:type="textWrapping"/>
      </w:r>
      <w:r w:rsidDel="00000000" w:rsidR="00000000" w:rsidRPr="00000000">
        <w:rPr>
          <w:rFonts w:ascii="Times New Roman" w:cs="Times New Roman" w:eastAsia="Times New Roman" w:hAnsi="Times New Roman"/>
          <w:sz w:val="24"/>
          <w:szCs w:val="24"/>
          <w:rtl w:val="0"/>
        </w:rPr>
        <w:t xml:space="preserve">All access to organisational systems and resident records must be role-based and granted on a minimum-necessary basis. The IT Manager will maintain an access register. Access must be reviewed when a staff member changes role and revoked within 24 hours of a staff member leaving the organisation. Multi-factor authentication (MFA) is required for all systems containing personal or sensitive information.</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Password Management</w:t>
        <w:br w:type="textWrapping"/>
      </w:r>
      <w:r w:rsidDel="00000000" w:rsidR="00000000" w:rsidRPr="00000000">
        <w:rPr>
          <w:rFonts w:ascii="Times New Roman" w:cs="Times New Roman" w:eastAsia="Times New Roman" w:hAnsi="Times New Roman"/>
          <w:sz w:val="24"/>
          <w:szCs w:val="24"/>
          <w:rtl w:val="0"/>
        </w:rPr>
        <w:t xml:space="preserve">All users must create passwords that meet the organisation's minimum complexity standards (at least 12 characters, including upper and lower case, numbers, and symbols). Passwords must not be shared, written down in accessible locations, or reused across systems. Staff will be prompted to change passwords at least every 90 days, or immediately if a compromise is suspected.</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Device and Remote Access</w:t>
        <w:br w:type="textWrapping"/>
      </w:r>
      <w:r w:rsidDel="00000000" w:rsidR="00000000" w:rsidRPr="00000000">
        <w:rPr>
          <w:rFonts w:ascii="Times New Roman" w:cs="Times New Roman" w:eastAsia="Times New Roman" w:hAnsi="Times New Roman"/>
          <w:sz w:val="24"/>
          <w:szCs w:val="24"/>
          <w:rtl w:val="0"/>
        </w:rPr>
        <w:t xml:space="preserve">Organisational data must not be stored on unmanaged personal devices unless expressly approved by the IT Manager with appropriate security controls in place. All devices used to access organisational systems must have current antivirus software and operating system updates applied. Staff working remotely must connect via an approved Virtual Private Network (VPN) when accessing internal systems.</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Data Handling and Classification</w:t>
        <w:br w:type="textWrapping"/>
      </w:r>
      <w:r w:rsidDel="00000000" w:rsidR="00000000" w:rsidRPr="00000000">
        <w:rPr>
          <w:rFonts w:ascii="Times New Roman" w:cs="Times New Roman" w:eastAsia="Times New Roman" w:hAnsi="Times New Roman"/>
          <w:sz w:val="24"/>
          <w:szCs w:val="24"/>
          <w:rtl w:val="0"/>
        </w:rPr>
        <w:t xml:space="preserve">Staff must handle resident health information, financial information, and staff personal information as sensitive data at all times. Paper records containing personal information must be stored securely and disposed of through approved document destruction processes. Electronic records must not be transmitted via unsecured email. Staff should use encrypted file transfer methods for any sharing of personal information with external parties.</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Third-Party Vendor Management</w:t>
        <w:br w:type="textWrapping"/>
      </w:r>
      <w:r w:rsidDel="00000000" w:rsidR="00000000" w:rsidRPr="00000000">
        <w:rPr>
          <w:rFonts w:ascii="Times New Roman" w:cs="Times New Roman" w:eastAsia="Times New Roman" w:hAnsi="Times New Roman"/>
          <w:sz w:val="24"/>
          <w:szCs w:val="24"/>
          <w:rtl w:val="0"/>
        </w:rPr>
        <w:t xml:space="preserve">Before engaging a new vendor or supplier who will access organisational systems or resident data, the Privacy Officer must conduct a privacy impact assessment. All vendors must sign a data processing agreement that sets out their security obligations. Vendor access must be reviewed annually and revoked when the contract ends.</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Incident Detection and Reporting</w:t>
        <w:br w:type="textWrapping"/>
      </w:r>
      <w:r w:rsidDel="00000000" w:rsidR="00000000" w:rsidRPr="00000000">
        <w:rPr>
          <w:rFonts w:ascii="Times New Roman" w:cs="Times New Roman" w:eastAsia="Times New Roman" w:hAnsi="Times New Roman"/>
          <w:sz w:val="24"/>
          <w:szCs w:val="24"/>
          <w:rtl w:val="0"/>
        </w:rPr>
        <w:t xml:space="preserve">All staff must report suspected cyber incidents or data breaches to their direct manager and the Information Security Lead immediately upon discovery. The Information Security Lead will assess whether the incident constitutes a notifiable data breach within 30 days of becoming aware of the breach, as required under the Privacy Act 1988. The organisation will maintain an incident register to record all events, actions taken, and outcomes.</w:t>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Notifiable Data Breach Response</w:t>
        <w:br w:type="textWrapping"/>
      </w:r>
      <w:r w:rsidDel="00000000" w:rsidR="00000000" w:rsidRPr="00000000">
        <w:rPr>
          <w:rFonts w:ascii="Times New Roman" w:cs="Times New Roman" w:eastAsia="Times New Roman" w:hAnsi="Times New Roman"/>
          <w:sz w:val="24"/>
          <w:szCs w:val="24"/>
          <w:rtl w:val="0"/>
        </w:rPr>
        <w:t xml:space="preserve">Where a notifiable data breach is confirmed, the Privacy Officer will notify the OAIC and all affected individuals as soon as practicable. Notifications will include a description of the breach, the type of information involved, recommended steps for affected individuals, and contact details for the organisation. The incident response will be documented and reviewed to prevent recurrence.</w:t>
      </w:r>
    </w:p>
    <w:p w:rsidR="00000000" w:rsidDel="00000000" w:rsidP="00000000" w:rsidRDefault="00000000" w:rsidRPr="00000000" w14:paraId="00000043">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Training</w:t>
        <w:br w:type="textWrapping"/>
      </w:r>
      <w:r w:rsidDel="00000000" w:rsidR="00000000" w:rsidRPr="00000000">
        <w:rPr>
          <w:rFonts w:ascii="Times New Roman" w:cs="Times New Roman" w:eastAsia="Times New Roman" w:hAnsi="Times New Roman"/>
          <w:sz w:val="24"/>
          <w:szCs w:val="24"/>
          <w:rtl w:val="0"/>
        </w:rPr>
        <w:t xml:space="preserve">All staff must complete cybersecurity awareness training at induction and at least annually thereafter. Training must cover phishing identification, password hygiene, safe data handling, and the organisation's incident reporting process. Completion records will be maintained by People and Culture.</w:t>
      </w:r>
    </w:p>
    <w:p w:rsidR="00000000" w:rsidDel="00000000" w:rsidP="00000000" w:rsidRDefault="00000000" w:rsidRPr="00000000" w14:paraId="0000004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3oe064sma5i"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at least annually by the Privacy Officer in consultation with the IT Manager and executive leadership. Reviews will also be triggered by significant changes in legislation, a material cyber incident, or changes to organisational systems and structure.</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Privacy Officer will report on policy compliance and any incidents to the executive team and governing body on a quarterly basis. Internal audits of access logs, training records, and vendor agreements will be conducted at least once per year. Any identified gaps will be documented in an action register with assigned owners and target dates.</w:t>
      </w:r>
    </w:p>
    <w:p w:rsidR="00000000" w:rsidDel="00000000" w:rsidP="00000000" w:rsidRDefault="00000000" w:rsidRPr="00000000" w14:paraId="00000047">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fzlchmk1u1m7"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8">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Record Keeping Policy</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and Reporting Policy</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Risk Management Policy</w:t>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Workforce Management Policy</w:t>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Consumer Rights and Dignity Policy</w:t>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Data Processing Agreements (vendor-specific)</w:t>
      </w:r>
    </w:p>
    <w:p w:rsidR="00000000" w:rsidDel="00000000" w:rsidP="00000000" w:rsidRDefault="00000000" w:rsidRPr="00000000" w14:paraId="0000004F">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ASD Essential Eight Implementation Guidance</w:t>
      </w:r>
    </w:p>
    <w:p w:rsidR="00000000" w:rsidDel="00000000" w:rsidP="00000000" w:rsidRDefault="00000000" w:rsidRPr="00000000" w14:paraId="0000005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7wpeqf8t4af"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