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Fonts w:ascii="Times New Roman" w:cs="Times New Roman" w:eastAsia="Times New Roman" w:hAnsi="Times New Roman"/>
          <w:sz w:val="24"/>
          <w:szCs w:val="24"/>
          <w:rtl w:val="0"/>
        </w:rPr>
        <w:t xml:space="preserve"> Consumer Entry, Transition and Exit Policy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Number:</w:t>
      </w:r>
      <w:r w:rsidDel="00000000" w:rsidR="00000000" w:rsidRPr="00000000">
        <w:rPr>
          <w:rFonts w:ascii="Times New Roman" w:cs="Times New Roman" w:eastAsia="Times New Roman" w:hAnsi="Times New Roman"/>
          <w:sz w:val="24"/>
          <w:szCs w:val="24"/>
          <w:rtl w:val="0"/>
        </w:rPr>
        <w:t xml:space="preserve">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Organisation:</w:t>
      </w:r>
      <w:r w:rsidDel="00000000" w:rsidR="00000000" w:rsidRPr="00000000">
        <w:rPr>
          <w:rFonts w:ascii="Times New Roman" w:cs="Times New Roman" w:eastAsia="Times New Roman" w:hAnsi="Times New Roman"/>
          <w:sz w:val="24"/>
          <w:szCs w:val="24"/>
          <w:rtl w:val="0"/>
        </w:rPr>
        <w:t xml:space="preserve">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Approved:</w:t>
      </w:r>
      <w:r w:rsidDel="00000000" w:rsidR="00000000" w:rsidRPr="00000000">
        <w:rPr>
          <w:rFonts w:ascii="Times New Roman" w:cs="Times New Roman" w:eastAsia="Times New Roman" w:hAnsi="Times New Roman"/>
          <w:sz w:val="24"/>
          <w:szCs w:val="24"/>
          <w:rtl w:val="0"/>
        </w:rPr>
        <w:t xml:space="preserve">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Fonts w:ascii="Times New Roman" w:cs="Times New Roman" w:eastAsia="Times New Roman" w:hAnsi="Times New Roman"/>
          <w:sz w:val="24"/>
          <w:szCs w:val="24"/>
          <w:rtl w:val="0"/>
        </w:rPr>
        <w:t xml:space="preserve"> [NAME AND POSITION]</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az0otqcj4gyp" w:id="0"/>
      <w:bookmarkEnd w:id="0"/>
      <w:r w:rsidDel="00000000" w:rsidR="00000000" w:rsidRPr="00000000">
        <w:rPr>
          <w:rFonts w:ascii="Times New Roman" w:cs="Times New Roman" w:eastAsia="Times New Roman" w:hAnsi="Times New Roman"/>
          <w:b w:val="1"/>
          <w:bCs w:val="1"/>
          <w:sz w:val="34"/>
          <w:szCs w:val="34"/>
          <w:rtl w:val="0"/>
        </w:rPr>
        <w:t xml:space="preserve">1. Purpose</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sets out the procedures and responsibilities for managing consumer entry (admission), transitions within and between services, and exit (discharge) at [ORGANISATION NAME]. It is designed to protect consumer rights at every stage, support consistent practice across the organisation, and meet the obligations set by Australian aged care legislation and quality standards.</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policy applies equally to planned and unplanned transitions, including hospital transfers, moves to higher-level care, and end-of-life exits. It supports staff to act with clarity and confidence during what can be a difficult time for consumers and their families.</w:t>
      </w:r>
    </w:p>
    <w:p w:rsidR="00000000" w:rsidDel="00000000" w:rsidP="00000000" w:rsidRDefault="00000000" w:rsidRPr="00000000" w14:paraId="0000000C">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iwie46qlifj6" w:id="1"/>
      <w:bookmarkEnd w:id="1"/>
      <w:r w:rsidDel="00000000" w:rsidR="00000000" w:rsidRPr="00000000">
        <w:rPr>
          <w:rFonts w:ascii="Times New Roman" w:cs="Times New Roman" w:eastAsia="Times New Roman" w:hAnsi="Times New Roman"/>
          <w:b w:val="1"/>
          <w:bCs w:val="1"/>
          <w:sz w:val="34"/>
          <w:szCs w:val="34"/>
          <w:rtl w:val="0"/>
        </w:rPr>
        <w:t xml:space="preserve">2. Scope</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0E">
      <w:pPr>
        <w:numPr>
          <w:ilvl w:val="0"/>
          <w:numId w:val="5"/>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permanent and respite consumers of [ORGANISATION NAME]</w:t>
      </w:r>
    </w:p>
    <w:p w:rsidR="00000000" w:rsidDel="00000000" w:rsidP="00000000" w:rsidRDefault="00000000" w:rsidRPr="00000000" w14:paraId="0000000F">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staff involved in admissions, care planning, transitions, or discharge processes</w:t>
      </w:r>
    </w:p>
    <w:p w:rsidR="00000000" w:rsidDel="00000000" w:rsidP="00000000" w:rsidRDefault="00000000" w:rsidRPr="00000000" w14:paraId="00000010">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Facility managers, directors of nursing, and clinical leads with responsibility for consumer entry and exit decisions</w:t>
      </w:r>
    </w:p>
    <w:p w:rsidR="00000000" w:rsidDel="00000000" w:rsidP="00000000" w:rsidRDefault="00000000" w:rsidRPr="00000000" w14:paraId="00000011">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Contractors and allied health professionals acting on behalf of the organisation during these processes</w:t>
      </w:r>
    </w:p>
    <w:p w:rsidR="00000000" w:rsidDel="00000000" w:rsidP="00000000" w:rsidRDefault="00000000" w:rsidRPr="00000000" w14:paraId="00000012">
      <w:pPr>
        <w:numPr>
          <w:ilvl w:val="0"/>
          <w:numId w:val="5"/>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Substitute decision-makers, family members, and representatives involved in consumer entry or exit planning</w:t>
      </w:r>
    </w:p>
    <w:p w:rsidR="00000000" w:rsidDel="00000000" w:rsidP="00000000" w:rsidRDefault="00000000" w:rsidRPr="00000000" w14:paraId="00000013">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illwrlnuy6da" w:id="2"/>
      <w:bookmarkEnd w:id="2"/>
      <w:r w:rsidDel="00000000" w:rsidR="00000000" w:rsidRPr="00000000">
        <w:rPr>
          <w:rFonts w:ascii="Times New Roman" w:cs="Times New Roman" w:eastAsia="Times New Roman" w:hAnsi="Times New Roman"/>
          <w:b w:val="1"/>
          <w:bCs w:val="1"/>
          <w:sz w:val="34"/>
          <w:szCs w:val="34"/>
          <w:rtl w:val="0"/>
        </w:rPr>
        <w:t xml:space="preserve">3. Definitions</w:t>
      </w:r>
    </w:p>
    <w:tbl>
      <w:tblPr>
        <w:tblStyle w:val="Table1"/>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0"/>
        <w:gridCol w:w="6990"/>
        <w:tblGridChange w:id="0">
          <w:tblGrid>
            <w:gridCol w:w="1770"/>
            <w:gridCol w:w="699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older person receiving aged care services from [ORGANISATION NAME], as defined under the Aged Care Act 2024.</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Entry (Admission)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process by which a consumer formally commences residency or a respite stay at a facility operated by [ORGANISATION NAME], including completion of all required agreements and documentation.</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Transition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planned or unplanned change in a consumer's care setting or level of care, including internal room changes, moves between facilities, and temporary absences such as hospital stays.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Exit (Discharge)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formal process by which a consumer's residency or service agreement with [ORGANISATION NAME] ends, whether planned, unplanned, or at end of life.</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Substitute Decision-Maker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legally authorised to make decisions on behalf of a consumer who does not have capacity to make those decisions themselves, in accordance with relevant state or territory guardianship legislation.</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Residency Agreement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written agreement between [ORGANISATION NAME] and a consumer (or their representative) that sets out the terms and conditions of the consumer's residence, including fees, services, and rights, as required under the Aged Care Act 2024.</w:t>
            </w:r>
          </w:p>
        </w:tc>
      </w:tr>
    </w:tbl>
    <w:p w:rsidR="00000000" w:rsidDel="00000000" w:rsidP="00000000" w:rsidRDefault="00000000" w:rsidRPr="00000000" w14:paraId="00000022">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xxvyi1jtkhq6" w:id="3"/>
      <w:bookmarkEnd w:id="3"/>
      <w:r w:rsidDel="00000000" w:rsidR="00000000" w:rsidRPr="00000000">
        <w:rPr>
          <w:rFonts w:ascii="Times New Roman" w:cs="Times New Roman" w:eastAsia="Times New Roman" w:hAnsi="Times New Roman"/>
          <w:b w:val="1"/>
          <w:bCs w:val="1"/>
          <w:sz w:val="34"/>
          <w:szCs w:val="34"/>
          <w:rtl w:val="0"/>
        </w:rPr>
        <w:t xml:space="preserve">4. Legislative and Regulatory Framework</w:t>
      </w:r>
    </w:p>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informed by and must be read in conjunction with:</w:t>
      </w:r>
    </w:p>
    <w:p w:rsidR="00000000" w:rsidDel="00000000" w:rsidP="00000000" w:rsidRDefault="00000000" w:rsidRPr="00000000" w14:paraId="00000024">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2024</w:t>
      </w:r>
      <w:r w:rsidDel="00000000" w:rsidR="00000000" w:rsidRPr="00000000">
        <w:rPr>
          <w:rFonts w:ascii="Times New Roman" w:cs="Times New Roman" w:eastAsia="Times New Roman" w:hAnsi="Times New Roman"/>
          <w:sz w:val="24"/>
          <w:szCs w:val="24"/>
          <w:rtl w:val="0"/>
        </w:rPr>
        <w:t xml:space="preserve">, including provisions relating to consumer rights on entry and exit, residency agreements, and the obligations of approved providers</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Strengthened Aged Care Quality Standard 3: The Care and Services</w:t>
      </w:r>
      <w:r w:rsidDel="00000000" w:rsidR="00000000" w:rsidRPr="00000000">
        <w:rPr>
          <w:rFonts w:ascii="Times New Roman" w:cs="Times New Roman" w:eastAsia="Times New Roman" w:hAnsi="Times New Roman"/>
          <w:sz w:val="24"/>
          <w:szCs w:val="24"/>
          <w:rtl w:val="0"/>
        </w:rPr>
        <w:t xml:space="preserve">, which requires that care and services are planned, coordinated, and delivered in response to each consumer's individual needs, goals, and preferences throughout their time with the service</w:t>
      </w:r>
    </w:p>
    <w:p w:rsidR="00000000" w:rsidDel="00000000" w:rsidP="00000000" w:rsidRDefault="00000000" w:rsidRPr="00000000" w14:paraId="00000026">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(Transitional Provisions) Act 1997</w:t>
      </w:r>
      <w:r w:rsidDel="00000000" w:rsidR="00000000" w:rsidRPr="00000000">
        <w:rPr>
          <w:rFonts w:ascii="Times New Roman" w:cs="Times New Roman" w:eastAsia="Times New Roman" w:hAnsi="Times New Roman"/>
          <w:sz w:val="24"/>
          <w:szCs w:val="24"/>
          <w:rtl w:val="0"/>
        </w:rPr>
        <w:t xml:space="preserve"> (where applicable during the transition period)</w:t>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and Safety Commission Act 2018</w:t>
      </w:r>
    </w:p>
    <w:p w:rsidR="00000000" w:rsidDel="00000000" w:rsidP="00000000" w:rsidRDefault="00000000" w:rsidRPr="00000000" w14:paraId="00000028">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Relevant state and territory guardianship and administration legislation</w:t>
      </w:r>
    </w:p>
    <w:p w:rsidR="00000000" w:rsidDel="00000000" w:rsidP="00000000" w:rsidRDefault="00000000" w:rsidRPr="00000000" w14:paraId="00000029">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Privacy Act 1988 (Cth) and the Australian Privacy Principles</w:t>
      </w:r>
    </w:p>
    <w:p w:rsidR="00000000" w:rsidDel="00000000" w:rsidP="00000000" w:rsidRDefault="00000000" w:rsidRPr="00000000" w14:paraId="0000002A">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[ORGANISATION NAME] Complaints Management Policy</w:t>
      </w:r>
    </w:p>
    <w:p w:rsidR="00000000" w:rsidDel="00000000" w:rsidP="00000000" w:rsidRDefault="00000000" w:rsidRPr="00000000" w14:paraId="0000002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3kk1v6ewp7pl" w:id="4"/>
      <w:bookmarkEnd w:id="4"/>
      <w:r w:rsidDel="00000000" w:rsidR="00000000" w:rsidRPr="00000000">
        <w:rPr>
          <w:rFonts w:ascii="Times New Roman" w:cs="Times New Roman" w:eastAsia="Times New Roman" w:hAnsi="Times New Roman"/>
          <w:b w:val="1"/>
          <w:bCs w:val="1"/>
          <w:sz w:val="34"/>
          <w:szCs w:val="34"/>
          <w:rtl w:val="0"/>
        </w:rPr>
        <w:t xml:space="preserve">5. Policy Statement</w:t>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is committed to treating every consumer with dignity and respect throughout their admission, any period of transition, and at the time of exit from our service. We recognise that these are significant moments for consumers and their families, and we take our responsibilities seriously under the Aged Care Act 2024 and the Strengthened Aged Care Quality Standards.</w:t>
      </w:r>
    </w:p>
    <w:p w:rsidR="00000000" w:rsidDel="00000000" w:rsidP="00000000" w:rsidRDefault="00000000" w:rsidRPr="00000000" w14:paraId="0000002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consumers will be given clear, accurate information about their rights before or at the time of entry, and will have the opportunity to ask questions and seek independent advice before signing any agreement. Transitions will be managed in a planned way wherever possible, with consumers and their representatives kept informed at every step.</w:t>
      </w:r>
    </w:p>
    <w:p w:rsidR="00000000" w:rsidDel="00000000" w:rsidP="00000000" w:rsidRDefault="00000000" w:rsidRPr="00000000" w14:paraId="000000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Exits from the service will be handled in a timely, respectful, and legally compliant manner. In cases of involuntary exit, the organisation will follow all required processes and support the consumer to access review mechanisms if they wish to do so.</w:t>
      </w:r>
    </w:p>
    <w:p w:rsidR="00000000" w:rsidDel="00000000" w:rsidP="00000000" w:rsidRDefault="00000000" w:rsidRPr="00000000" w14:paraId="0000002F">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jr7e7qw5pn2b" w:id="5"/>
      <w:bookmarkEnd w:id="5"/>
      <w:r w:rsidDel="00000000" w:rsidR="00000000" w:rsidRPr="00000000">
        <w:rPr>
          <w:rFonts w:ascii="Times New Roman" w:cs="Times New Roman" w:eastAsia="Times New Roman" w:hAnsi="Times New Roman"/>
          <w:b w:val="1"/>
          <w:bCs w:val="1"/>
          <w:sz w:val="34"/>
          <w:szCs w:val="34"/>
          <w:rtl w:val="0"/>
        </w:rPr>
        <w:t xml:space="preserve">6. Roles and Responsibilities</w:t>
      </w:r>
    </w:p>
    <w:tbl>
      <w:tblPr>
        <w:tblStyle w:val="Table2"/>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60"/>
        <w:gridCol w:w="6600"/>
        <w:tblGridChange w:id="0">
          <w:tblGrid>
            <w:gridCol w:w="2160"/>
            <w:gridCol w:w="660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Oversees the implementation of this policy; approves involuntary exit decisions; signs off on residency agreements; manages escalations from families and consumers during entry or exit processes.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Nursing / Clinical Lead</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Conducts or oversees pre-admission clinical assessments; initiates and reviews care plans at entry and transition; provides clinical discharge summaries; advises on clinical aspects of exit decisions.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Admissions Coordinator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Manages the end-to-end admissions process; prepares and coordinates signing of the residency agreement; liaises with the consumer, family, and referral sources; maintains admissions documentation.</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Registered Nurses (RNs)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clinical assessments on admission; coordinate care during transitions including hospital transfers; complete transfer documentation; communicate care needs to receiving services.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 Staff</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consumers during admission and transition with orientation and emotional support; assist with packing and logistics at exit; report concerns about a consumer's wellbeing during any stage to the supervising nurse or manager.</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Finance / Administration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Prepares fee disclosure documentation at entry; processes final accounts on exit; manages return of accommodation deposits within legislated timeframes; coordinates with the finance team on billing adjustments during transitions.</w:t>
            </w:r>
          </w:p>
        </w:tc>
      </w:tr>
    </w:tbl>
    <w:p w:rsidR="00000000" w:rsidDel="00000000" w:rsidP="00000000" w:rsidRDefault="00000000" w:rsidRPr="00000000" w14:paraId="0000003E">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x63fnz9skxoq" w:id="6"/>
      <w:bookmarkEnd w:id="6"/>
      <w:r w:rsidDel="00000000" w:rsidR="00000000" w:rsidRPr="00000000">
        <w:rPr>
          <w:rFonts w:ascii="Times New Roman" w:cs="Times New Roman" w:eastAsia="Times New Roman" w:hAnsi="Times New Roman"/>
          <w:b w:val="1"/>
          <w:bCs w:val="1"/>
          <w:sz w:val="34"/>
          <w:szCs w:val="34"/>
          <w:rtl w:val="0"/>
        </w:rPr>
        <w:t xml:space="preserve">7. Procedures</w:t>
      </w:r>
    </w:p>
    <w:p w:rsidR="00000000" w:rsidDel="00000000" w:rsidP="00000000" w:rsidRDefault="00000000" w:rsidRPr="00000000" w14:paraId="0000003F">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mqusb6am8h5c" w:id="7"/>
      <w:bookmarkEnd w:id="7"/>
      <w:r w:rsidDel="00000000" w:rsidR="00000000" w:rsidRPr="00000000">
        <w:rPr>
          <w:rFonts w:ascii="Times New Roman" w:cs="Times New Roman" w:eastAsia="Times New Roman" w:hAnsi="Times New Roman"/>
          <w:b w:val="1"/>
          <w:bCs w:val="1"/>
          <w:color w:val="000000"/>
          <w:sz w:val="26"/>
          <w:szCs w:val="26"/>
          <w:rtl w:val="0"/>
        </w:rPr>
        <w:t xml:space="preserve">7.1 Consumer Entry (Admission)</w:t>
      </w:r>
    </w:p>
    <w:p w:rsidR="00000000" w:rsidDel="00000000" w:rsidP="00000000" w:rsidRDefault="00000000" w:rsidRPr="00000000" w14:paraId="00000040">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Pre-admission assessment:</w:t>
      </w:r>
      <w:r w:rsidDel="00000000" w:rsidR="00000000" w:rsidRPr="00000000">
        <w:rPr>
          <w:rFonts w:ascii="Times New Roman" w:cs="Times New Roman" w:eastAsia="Times New Roman" w:hAnsi="Times New Roman"/>
          <w:sz w:val="24"/>
          <w:szCs w:val="24"/>
          <w:rtl w:val="0"/>
        </w:rPr>
        <w:t xml:space="preserve"> Before a consumer is admitted, the Director of Nursing or a delegated Registered Nurse conducts a clinical and social assessment to confirm the service can meet the consumer's needs. This assessment must be completed and documented prior to the admission date.</w:t>
      </w:r>
    </w:p>
    <w:p w:rsidR="00000000" w:rsidDel="00000000" w:rsidP="00000000" w:rsidRDefault="00000000" w:rsidRPr="00000000" w14:paraId="00000041">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Rights and information disclosure:</w:t>
      </w:r>
      <w:r w:rsidDel="00000000" w:rsidR="00000000" w:rsidRPr="00000000">
        <w:rPr>
          <w:rFonts w:ascii="Times New Roman" w:cs="Times New Roman" w:eastAsia="Times New Roman" w:hAnsi="Times New Roman"/>
          <w:sz w:val="24"/>
          <w:szCs w:val="24"/>
          <w:rtl w:val="0"/>
        </w:rPr>
        <w:t xml:space="preserve"> The Admissions Coordinator provides the consumer (and their representative, if applicable) with a copy of the Consumer Rights Charter and a plain-language explanation of their rights under the Aged Care Act 2024. The consumer is given sufficient time to read and ask questions before signing any agreement.</w:t>
      </w:r>
    </w:p>
    <w:p w:rsidR="00000000" w:rsidDel="00000000" w:rsidP="00000000" w:rsidRDefault="00000000" w:rsidRPr="00000000" w14:paraId="00000042">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Residency agreement:</w:t>
      </w:r>
      <w:r w:rsidDel="00000000" w:rsidR="00000000" w:rsidRPr="00000000">
        <w:rPr>
          <w:rFonts w:ascii="Times New Roman" w:cs="Times New Roman" w:eastAsia="Times New Roman" w:hAnsi="Times New Roman"/>
          <w:sz w:val="24"/>
          <w:szCs w:val="24"/>
          <w:rtl w:val="0"/>
        </w:rPr>
        <w:t xml:space="preserve"> The residency agreement is prepared in line with legislative requirements. It is signed by the consumer or their authorised representative before or on the day of admission. A copy is provided to the consumer and a signed copy is retained on file.</w:t>
      </w:r>
    </w:p>
    <w:p w:rsidR="00000000" w:rsidDel="00000000" w:rsidP="00000000" w:rsidRDefault="00000000" w:rsidRPr="00000000" w14:paraId="00000043">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Care plan initiation:</w:t>
      </w:r>
      <w:r w:rsidDel="00000000" w:rsidR="00000000" w:rsidRPr="00000000">
        <w:rPr>
          <w:rFonts w:ascii="Times New Roman" w:cs="Times New Roman" w:eastAsia="Times New Roman" w:hAnsi="Times New Roman"/>
          <w:sz w:val="24"/>
          <w:szCs w:val="24"/>
          <w:rtl w:val="0"/>
        </w:rPr>
        <w:t xml:space="preserve"> A preliminary care plan is developed within [INSERT TIMEFRAME, e.g., 24-48 hours] of admission, based on the pre-admission assessment and information gathered from the consumer, family, and referral sources. The consumer is involved in setting goals and preferences.</w:t>
      </w:r>
    </w:p>
    <w:p w:rsidR="00000000" w:rsidDel="00000000" w:rsidP="00000000" w:rsidRDefault="00000000" w:rsidRPr="00000000" w14:paraId="00000044">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Orientation:</w:t>
      </w:r>
      <w:r w:rsidDel="00000000" w:rsidR="00000000" w:rsidRPr="00000000">
        <w:rPr>
          <w:rFonts w:ascii="Times New Roman" w:cs="Times New Roman" w:eastAsia="Times New Roman" w:hAnsi="Times New Roman"/>
          <w:sz w:val="24"/>
          <w:szCs w:val="24"/>
          <w:rtl w:val="0"/>
        </w:rPr>
        <w:t xml:space="preserve"> A staff member is assigned to orient the consumer to the facility, including the layout, meal times, staff contacts, complaint processes, and available activities. This is documented in the consumer's file.</w:t>
      </w:r>
    </w:p>
    <w:p w:rsidR="00000000" w:rsidDel="00000000" w:rsidP="00000000" w:rsidRDefault="00000000" w:rsidRPr="00000000" w14:paraId="00000045">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Notification of admission:</w:t>
      </w:r>
      <w:r w:rsidDel="00000000" w:rsidR="00000000" w:rsidRPr="00000000">
        <w:rPr>
          <w:rFonts w:ascii="Times New Roman" w:cs="Times New Roman" w:eastAsia="Times New Roman" w:hAnsi="Times New Roman"/>
          <w:sz w:val="24"/>
          <w:szCs w:val="24"/>
          <w:rtl w:val="0"/>
        </w:rPr>
        <w:t xml:space="preserve"> The Admissions Coordinator notifies the consumer's nominated next of kin or representative of the confirmed admission date and any relevant arrangements. The GP and any existing treating clinicians are informed as appropriate.</w:t>
      </w:r>
    </w:p>
    <w:p w:rsidR="00000000" w:rsidDel="00000000" w:rsidP="00000000" w:rsidRDefault="00000000" w:rsidRPr="00000000" w14:paraId="00000046">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skyw7y1gdiec" w:id="8"/>
      <w:bookmarkEnd w:id="8"/>
      <w:r w:rsidDel="00000000" w:rsidR="00000000" w:rsidRPr="00000000">
        <w:rPr>
          <w:rFonts w:ascii="Times New Roman" w:cs="Times New Roman" w:eastAsia="Times New Roman" w:hAnsi="Times New Roman"/>
          <w:b w:val="1"/>
          <w:bCs w:val="1"/>
          <w:color w:val="000000"/>
          <w:sz w:val="26"/>
          <w:szCs w:val="26"/>
          <w:rtl w:val="0"/>
        </w:rPr>
        <w:t xml:space="preserve">7.2 Consumer Transition</w:t>
      </w:r>
    </w:p>
    <w:p w:rsidR="00000000" w:rsidDel="00000000" w:rsidP="00000000" w:rsidRDefault="00000000" w:rsidRPr="00000000" w14:paraId="00000047">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Planned internal transitions:</w:t>
      </w:r>
      <w:r w:rsidDel="00000000" w:rsidR="00000000" w:rsidRPr="00000000">
        <w:rPr>
          <w:rFonts w:ascii="Times New Roman" w:cs="Times New Roman" w:eastAsia="Times New Roman" w:hAnsi="Times New Roman"/>
          <w:sz w:val="24"/>
          <w:szCs w:val="24"/>
          <w:rtl w:val="0"/>
        </w:rPr>
        <w:t xml:space="preserve"> Where a consumer is moving rooms or to a different care area within the facility, the consumer and their representative are consulted and informed with reasonable notice. The care plan is reviewed and updated to reflect the change.</w:t>
      </w:r>
    </w:p>
    <w:p w:rsidR="00000000" w:rsidDel="00000000" w:rsidP="00000000" w:rsidRDefault="00000000" w:rsidRPr="00000000" w14:paraId="00000048">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Hospital transfers:</w:t>
      </w:r>
      <w:r w:rsidDel="00000000" w:rsidR="00000000" w:rsidRPr="00000000">
        <w:rPr>
          <w:rFonts w:ascii="Times New Roman" w:cs="Times New Roman" w:eastAsia="Times New Roman" w:hAnsi="Times New Roman"/>
          <w:sz w:val="24"/>
          <w:szCs w:val="24"/>
          <w:rtl w:val="0"/>
        </w:rPr>
        <w:t xml:space="preserve"> When a consumer is transferred to hospital, the attending Registered Nurse prepares a transfer summary including current medications, care needs, advance care directives, and contact information. The consumer's representative is notified promptly.</w:t>
      </w:r>
    </w:p>
    <w:p w:rsidR="00000000" w:rsidDel="00000000" w:rsidP="00000000" w:rsidRDefault="00000000" w:rsidRPr="00000000" w14:paraId="00000049">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Return from hospital:</w:t>
      </w:r>
      <w:r w:rsidDel="00000000" w:rsidR="00000000" w:rsidRPr="00000000">
        <w:rPr>
          <w:rFonts w:ascii="Times New Roman" w:cs="Times New Roman" w:eastAsia="Times New Roman" w:hAnsi="Times New Roman"/>
          <w:sz w:val="24"/>
          <w:szCs w:val="24"/>
          <w:rtl w:val="0"/>
        </w:rPr>
        <w:t xml:space="preserve"> On return from hospital, a reassessment is conducted before the consumer resumes their regular care plan. Any changes to care needs are documented and the care plan is updated accordingly.</w:t>
      </w:r>
    </w:p>
    <w:p w:rsidR="00000000" w:rsidDel="00000000" w:rsidP="00000000" w:rsidRDefault="00000000" w:rsidRPr="00000000" w14:paraId="0000004A">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Transitions to other services:</w:t>
      </w:r>
      <w:r w:rsidDel="00000000" w:rsidR="00000000" w:rsidRPr="00000000">
        <w:rPr>
          <w:rFonts w:ascii="Times New Roman" w:cs="Times New Roman" w:eastAsia="Times New Roman" w:hAnsi="Times New Roman"/>
          <w:sz w:val="24"/>
          <w:szCs w:val="24"/>
          <w:rtl w:val="0"/>
        </w:rPr>
        <w:t xml:space="preserve"> Where a consumer is moving to another aged care facility or a higher level of care, [ORGANISATION NAME] coordinates with the receiving service to share relevant care documentation, subject to the consumer's consent.</w:t>
      </w:r>
    </w:p>
    <w:p w:rsidR="00000000" w:rsidDel="00000000" w:rsidP="00000000" w:rsidRDefault="00000000" w:rsidRPr="00000000" w14:paraId="0000004B">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6rwkor1n4t29" w:id="9"/>
      <w:bookmarkEnd w:id="9"/>
      <w:r w:rsidDel="00000000" w:rsidR="00000000" w:rsidRPr="00000000">
        <w:rPr>
          <w:rFonts w:ascii="Times New Roman" w:cs="Times New Roman" w:eastAsia="Times New Roman" w:hAnsi="Times New Roman"/>
          <w:b w:val="1"/>
          <w:bCs w:val="1"/>
          <w:color w:val="000000"/>
          <w:sz w:val="26"/>
          <w:szCs w:val="26"/>
          <w:rtl w:val="0"/>
        </w:rPr>
        <w:t xml:space="preserve">7.3 Consumer Exit (Discharge)</w:t>
      </w:r>
    </w:p>
    <w:p w:rsidR="00000000" w:rsidDel="00000000" w:rsidP="00000000" w:rsidRDefault="00000000" w:rsidRPr="00000000" w14:paraId="0000004C">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Planned exit:</w:t>
      </w:r>
      <w:r w:rsidDel="00000000" w:rsidR="00000000" w:rsidRPr="00000000">
        <w:rPr>
          <w:rFonts w:ascii="Times New Roman" w:cs="Times New Roman" w:eastAsia="Times New Roman" w:hAnsi="Times New Roman"/>
          <w:sz w:val="24"/>
          <w:szCs w:val="24"/>
          <w:rtl w:val="0"/>
        </w:rPr>
        <w:t xml:space="preserve"> Where a consumer or their representative gives notice of intention to leave, the Facility Manager acknowledges the notice in writing. The notice period is as specified in the residency agreement. The team begins coordinating packing, financial settlement, and care handover.</w:t>
      </w:r>
    </w:p>
    <w:p w:rsidR="00000000" w:rsidDel="00000000" w:rsidP="00000000" w:rsidRDefault="00000000" w:rsidRPr="00000000" w14:paraId="0000004D">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Exit care summary:</w:t>
      </w:r>
      <w:r w:rsidDel="00000000" w:rsidR="00000000" w:rsidRPr="00000000">
        <w:rPr>
          <w:rFonts w:ascii="Times New Roman" w:cs="Times New Roman" w:eastAsia="Times New Roman" w:hAnsi="Times New Roman"/>
          <w:sz w:val="24"/>
          <w:szCs w:val="24"/>
          <w:rtl w:val="0"/>
        </w:rPr>
        <w:t xml:space="preserve"> The Director of Nursing prepares a written care summary for the consumer's GP and any receiving service. This includes current health status, medications, care needs, and advance care directives.</w:t>
      </w:r>
    </w:p>
    <w:p w:rsidR="00000000" w:rsidDel="00000000" w:rsidP="00000000" w:rsidRDefault="00000000" w:rsidRPr="00000000" w14:paraId="0000004E">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Return of belongings and financial settlement:</w:t>
      </w:r>
      <w:r w:rsidDel="00000000" w:rsidR="00000000" w:rsidRPr="00000000">
        <w:rPr>
          <w:rFonts w:ascii="Times New Roman" w:cs="Times New Roman" w:eastAsia="Times New Roman" w:hAnsi="Times New Roman"/>
          <w:sz w:val="24"/>
          <w:szCs w:val="24"/>
          <w:rtl w:val="0"/>
        </w:rPr>
        <w:t xml:space="preserve"> Staff assist with the return of the consumer's personal belongings. Finance processes the final account and the return of any accommodation deposit within the timeframes required by legislation.</w:t>
      </w:r>
    </w:p>
    <w:p w:rsidR="00000000" w:rsidDel="00000000" w:rsidP="00000000" w:rsidRDefault="00000000" w:rsidRPr="00000000" w14:paraId="0000004F">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Involuntary exit:</w:t>
      </w:r>
      <w:r w:rsidDel="00000000" w:rsidR="00000000" w:rsidRPr="00000000">
        <w:rPr>
          <w:rFonts w:ascii="Times New Roman" w:cs="Times New Roman" w:eastAsia="Times New Roman" w:hAnsi="Times New Roman"/>
          <w:sz w:val="24"/>
          <w:szCs w:val="24"/>
          <w:rtl w:val="0"/>
        </w:rPr>
        <w:t xml:space="preserve"> An involuntary exit may only be initiated in circumstances permitted under the Aged Care Act 2024 and the residency agreement. The Facility Manager must approve the decision, provide written notice to the consumer and their representative, and inform them of their right to seek review through the Aged Care Quality and Safety Commission or other relevant body.</w:t>
      </w:r>
    </w:p>
    <w:p w:rsidR="00000000" w:rsidDel="00000000" w:rsidP="00000000" w:rsidRDefault="00000000" w:rsidRPr="00000000" w14:paraId="00000050">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Exit at end of life:</w:t>
      </w:r>
      <w:r w:rsidDel="00000000" w:rsidR="00000000" w:rsidRPr="00000000">
        <w:rPr>
          <w:rFonts w:ascii="Times New Roman" w:cs="Times New Roman" w:eastAsia="Times New Roman" w:hAnsi="Times New Roman"/>
          <w:sz w:val="24"/>
          <w:szCs w:val="24"/>
          <w:rtl w:val="0"/>
        </w:rPr>
        <w:t xml:space="preserve"> Where a consumer passes away at the facility, staff follow the organisation's end-of-life care procedures. The family is supported with compassion. Personal belongings are returned within an agreed timeframe and the file is closed in line with record-keeping requirements.</w:t>
      </w:r>
    </w:p>
    <w:p w:rsidR="00000000" w:rsidDel="00000000" w:rsidP="00000000" w:rsidRDefault="00000000" w:rsidRPr="00000000" w14:paraId="00000051">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2lfholiibdwy" w:id="10"/>
      <w:bookmarkEnd w:id="10"/>
      <w:r w:rsidDel="00000000" w:rsidR="00000000" w:rsidRPr="00000000">
        <w:rPr>
          <w:rFonts w:ascii="Times New Roman" w:cs="Times New Roman" w:eastAsia="Times New Roman" w:hAnsi="Times New Roman"/>
          <w:b w:val="1"/>
          <w:bCs w:val="1"/>
          <w:sz w:val="34"/>
          <w:szCs w:val="34"/>
          <w:rtl w:val="0"/>
        </w:rPr>
        <w:t xml:space="preserve">8. Monitoring and Review</w:t>
      </w:r>
    </w:p>
    <w:p w:rsidR="00000000" w:rsidDel="00000000" w:rsidP="00000000" w:rsidRDefault="00000000" w:rsidRPr="00000000" w14:paraId="0000005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at least every two years, or earlier if there is a change in relevant legislation, quality standards, or organisational practice. The review will be conducted by the Director of Nursing in consultation with the Facility Manager and relevant clinical staff.</w:t>
      </w:r>
    </w:p>
    <w:p w:rsidR="00000000" w:rsidDel="00000000" w:rsidP="00000000" w:rsidRDefault="00000000" w:rsidRPr="00000000" w14:paraId="0000005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Compliance with this policy will be monitored through regular audits of admission and discharge documentation, consumer and family feedback, and incident reporting. Any identified gaps will be addressed through staff education or procedural updates.</w:t>
      </w:r>
    </w:p>
    <w:p w:rsidR="00000000" w:rsidDel="00000000" w:rsidP="00000000" w:rsidRDefault="00000000" w:rsidRPr="00000000" w14:paraId="0000005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Facility Manager is responsible for approving any amendments to this policy and for communicating changes to all relevant staff.</w:t>
      </w:r>
    </w:p>
    <w:p w:rsidR="00000000" w:rsidDel="00000000" w:rsidP="00000000" w:rsidRDefault="00000000" w:rsidRPr="00000000" w14:paraId="00000055">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s6ck6c1r0w0" w:id="11"/>
      <w:bookmarkEnd w:id="11"/>
      <w:r w:rsidDel="00000000" w:rsidR="00000000" w:rsidRPr="00000000">
        <w:rPr>
          <w:rFonts w:ascii="Times New Roman" w:cs="Times New Roman" w:eastAsia="Times New Roman" w:hAnsi="Times New Roman"/>
          <w:b w:val="1"/>
          <w:bCs w:val="1"/>
          <w:sz w:val="34"/>
          <w:szCs w:val="34"/>
          <w:rtl w:val="0"/>
        </w:rPr>
        <w:t xml:space="preserve">9. Related Policies and Documents</w:t>
      </w:r>
    </w:p>
    <w:p w:rsidR="00000000" w:rsidDel="00000000" w:rsidP="00000000" w:rsidRDefault="00000000" w:rsidRPr="00000000" w14:paraId="00000056">
      <w:pPr>
        <w:numPr>
          <w:ilvl w:val="0"/>
          <w:numId w:val="6"/>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Consumer Rights, Dignity and Choice Policy</w:t>
      </w:r>
    </w:p>
    <w:p w:rsidR="00000000" w:rsidDel="00000000" w:rsidP="00000000" w:rsidRDefault="00000000" w:rsidRPr="00000000" w14:paraId="00000057">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Advance Care Planning Policy</w:t>
      </w:r>
    </w:p>
    <w:p w:rsidR="00000000" w:rsidDel="00000000" w:rsidP="00000000" w:rsidRDefault="00000000" w:rsidRPr="00000000" w14:paraId="00000058">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Complaints and Feedback Management Policy</w:t>
      </w:r>
    </w:p>
    <w:p w:rsidR="00000000" w:rsidDel="00000000" w:rsidP="00000000" w:rsidRDefault="00000000" w:rsidRPr="00000000" w14:paraId="00000059">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Medication Management Policy</w:t>
      </w:r>
    </w:p>
    <w:p w:rsidR="00000000" w:rsidDel="00000000" w:rsidP="00000000" w:rsidRDefault="00000000" w:rsidRPr="00000000" w14:paraId="0000005A">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Privacy and Confidentiality Policy</w:t>
      </w:r>
    </w:p>
    <w:p w:rsidR="00000000" w:rsidDel="00000000" w:rsidP="00000000" w:rsidRDefault="00000000" w:rsidRPr="00000000" w14:paraId="0000005B">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End of Life Care Policy</w:t>
      </w:r>
    </w:p>
    <w:p w:rsidR="00000000" w:rsidDel="00000000" w:rsidP="00000000" w:rsidRDefault="00000000" w:rsidRPr="00000000" w14:paraId="0000005C">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Residency Agreement Template</w:t>
      </w:r>
    </w:p>
    <w:p w:rsidR="00000000" w:rsidDel="00000000" w:rsidP="00000000" w:rsidRDefault="00000000" w:rsidRPr="00000000" w14:paraId="0000005D">
      <w:pPr>
        <w:numPr>
          <w:ilvl w:val="0"/>
          <w:numId w:val="6"/>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Consumer Rights Charter</w:t>
      </w:r>
    </w:p>
    <w:p w:rsidR="00000000" w:rsidDel="00000000" w:rsidP="00000000" w:rsidRDefault="00000000" w:rsidRPr="00000000" w14:paraId="0000005E">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kh2zwejay8ox" w:id="12"/>
      <w:bookmarkEnd w:id="12"/>
      <w:r w:rsidDel="00000000" w:rsidR="00000000" w:rsidRPr="00000000">
        <w:rPr>
          <w:rFonts w:ascii="Times New Roman" w:cs="Times New Roman" w:eastAsia="Times New Roman" w:hAnsi="Times New Roman"/>
          <w:b w:val="1"/>
          <w:bCs w:val="1"/>
          <w:sz w:val="34"/>
          <w:szCs w:val="34"/>
          <w:rtl w:val="0"/>
        </w:rPr>
        <w:t xml:space="preserve">10. Document Control</w:t>
      </w:r>
    </w:p>
    <w:tbl>
      <w:tblPr>
        <w:tblStyle w:val="Table3"/>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890"/>
        <w:gridCol w:w="2055"/>
        <w:gridCol w:w="2925"/>
        <w:tblGridChange w:id="0">
          <w:tblGrid>
            <w:gridCol w:w="1890"/>
            <w:gridCol w:w="1890"/>
            <w:gridCol w:w="2055"/>
            <w:gridCol w:w="292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Changes</w:t>
            </w:r>
            <w:r w:rsidDel="00000000" w:rsidR="00000000" w:rsidRPr="00000000">
              <w:rPr>
                <w:rtl w:val="0"/>
              </w:rPr>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r>
      <w:tr>
        <w:trPr>
          <w:cantSplit w:val="0"/>
          <w:trHeight w:val="25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