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Social Connectedness and Isolation Prevention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ozw0toqxly46"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sets out the obligations and procedures that [ORGANISATION NAME] will follow to support the social connectedness of all residents and to identify, prevent, and respond to social isolation and loneliness. The organisation recognises that meaningful social participation is central to a resident's quality of life, dignity, and overall wellbeing. This policy supports residents' rights under the Aged Care Act and the Strengthened Aged Care Quality Standards to be treated as individuals and to remain connected to people and communities that matter to them. All staff are responsible for contributing to a residential community where belonging and connection are actively supported.</w:t>
      </w:r>
    </w:p>
    <w:p w:rsidR="00000000" w:rsidDel="00000000" w:rsidP="00000000" w:rsidRDefault="00000000" w:rsidRPr="00000000" w14:paraId="0000000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v0f8vakaocxc"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0D">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residents living at [ORGANISATION NAME] facilities</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employees, contractors, and volunteers who interact with residents in a care or support capacity</w:t>
      </w:r>
    </w:p>
    <w:p w:rsidR="00000000" w:rsidDel="00000000" w:rsidP="00000000" w:rsidRDefault="00000000" w:rsidRPr="00000000" w14:paraId="0000000F">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Lifestyle, nursing, personal care, and allied health staff involved in care planning</w:t>
      </w:r>
    </w:p>
    <w:p w:rsidR="00000000" w:rsidDel="00000000" w:rsidP="00000000" w:rsidRDefault="00000000" w:rsidRPr="00000000" w14:paraId="00000010">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Management staff with responsibility for the residential living environment</w:t>
      </w:r>
    </w:p>
    <w:p w:rsidR="00000000" w:rsidDel="00000000" w:rsidP="00000000" w:rsidRDefault="00000000" w:rsidRPr="00000000" w14:paraId="00000011">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Family members and representatives, to the extent they are involved in care planning</w:t>
      </w:r>
    </w:p>
    <w:p w:rsidR="00000000" w:rsidDel="00000000" w:rsidP="00000000" w:rsidRDefault="00000000" w:rsidRPr="00000000" w14:paraId="00000012">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w32kwuvkrbzw"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80"/>
        <w:gridCol w:w="6765"/>
        <w:tblGridChange w:id="0">
          <w:tblGrid>
            <w:gridCol w:w="1980"/>
            <w:gridCol w:w="676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Isolation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objective state in which a person has limited or no meaningful contact with others, whether by circumstance, reduced mobility, cognitive decline, or other factors.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Loneliness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subjective experience of distress resulting from a perceived gap between desired and actual social connection. A resident can be lonely while in regular contact with others.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Connectedness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degree to which a resident feels a sense of belonging, maintains relationships, and participates in activities or interactions that are meaningful to them.</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Voluntary Solitude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deliberate, resident-led choice to spend time alone that reflects personal preference rather than unmet social need or withdrawal due to distress.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 Planning Review</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scheduled or needs-triggered reassessment of a resident's care goals and interventions, conducted with the resident and, where appropriate, their representative.</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Community</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collective living environment of residents within the facility, including shared spaces, group activities, and the interpersonal culture that exists among residents and staff.</w:t>
            </w:r>
          </w:p>
        </w:tc>
      </w:tr>
    </w:tbl>
    <w:p w:rsidR="00000000" w:rsidDel="00000000" w:rsidP="00000000" w:rsidRDefault="00000000" w:rsidRPr="00000000" w14:paraId="00000021">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ax9ef63azcbm"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informed by the following legislation, standards, and guidelines:</w:t>
      </w:r>
    </w:p>
    <w:p w:rsidR="00000000" w:rsidDel="00000000" w:rsidP="00000000" w:rsidRDefault="00000000" w:rsidRPr="00000000" w14:paraId="00000023">
      <w:pPr>
        <w:numPr>
          <w:ilvl w:val="0"/>
          <w:numId w:val="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Aged Care Act 1997 (Cth) and the Aged Care Act 2024 (Cth) upon commencement, including the Statement of Rights</w:t>
      </w:r>
    </w:p>
    <w:p w:rsidR="00000000" w:rsidDel="00000000" w:rsidP="00000000" w:rsidRDefault="00000000" w:rsidRPr="00000000" w14:paraId="00000024">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Strengthened Aged Care Quality Standards, Standard 1: The Person (requirements relating to individuality, identity, relationships, and participation)</w:t>
      </w:r>
    </w:p>
    <w:p w:rsidR="00000000" w:rsidDel="00000000" w:rsidP="00000000" w:rsidRDefault="00000000" w:rsidRPr="00000000" w14:paraId="00000025">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Strengthened Aged Care Quality Standards, Standard 7: Residential Community (requirements relating to a living environment that supports belonging, connection, and participation)</w:t>
      </w:r>
    </w:p>
    <w:p w:rsidR="00000000" w:rsidDel="00000000" w:rsidP="00000000" w:rsidRDefault="00000000" w:rsidRPr="00000000" w14:paraId="00000026">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Aged Care Quality and Safety Commission Act 2018 (Cth)</w:t>
      </w:r>
    </w:p>
    <w:p w:rsidR="00000000" w:rsidDel="00000000" w:rsidP="00000000" w:rsidRDefault="00000000" w:rsidRPr="00000000" w14:paraId="00000027">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Charter of Aged Care Rights</w:t>
      </w:r>
    </w:p>
    <w:p w:rsidR="00000000" w:rsidDel="00000000" w:rsidP="00000000" w:rsidRDefault="00000000" w:rsidRPr="00000000" w14:paraId="00000028">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National Aged Care Mandatory Quality Indicator Program (QI Program) requirements relating to resident experience</w:t>
      </w:r>
    </w:p>
    <w:p w:rsidR="00000000" w:rsidDel="00000000" w:rsidP="00000000" w:rsidRDefault="00000000" w:rsidRPr="00000000" w14:paraId="00000029">
      <w:pPr>
        <w:numPr>
          <w:ilvl w:val="0"/>
          <w:numId w:val="5"/>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Relevant state and territory mental health and guardianship legislation where applicable</w:t>
      </w:r>
    </w:p>
    <w:p w:rsidR="00000000" w:rsidDel="00000000" w:rsidP="00000000" w:rsidRDefault="00000000" w:rsidRPr="00000000" w14:paraId="0000002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8rhen3isjhg2"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supporting every resident's right to a social life that reflects their values, history, preferences, and relationships. We recognise that social isolation and loneliness carry serious risks to physical and mental health, and that preventing isolation is as much a care responsibility as managing clinical conditions. Our approach to social connectedness is person-centred: we begin by listening to what connection means to each resident and then take practical steps to support it. We will not treat participation in group activities as the only measure of social wellbeing. Where a resident shows signs of withdrawal or distress, staff will respond promptly and in accordance with the procedures set out in this policy.</w:t>
      </w:r>
    </w:p>
    <w:p w:rsidR="00000000" w:rsidDel="00000000" w:rsidP="00000000" w:rsidRDefault="00000000" w:rsidRPr="00000000" w14:paraId="0000002C">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h3tbuce8loze"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85"/>
        <w:gridCol w:w="6675"/>
        <w:tblGridChange w:id="0">
          <w:tblGrid>
            <w:gridCol w:w="2085"/>
            <w:gridCol w:w="667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Manager / Director of Nursing</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 and review this policy; allocate resources to support social connectedness programs; monitor compliance with procedures through quality reporting; escalate systemic issues to the governing body.</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Lifestyle Coordinator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social needs assessments at admission and review; design and schedule activities that reflect resident interests; maintain participation records; identify residents with declining engagement and communicate these observations to the care team.</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Registered Nurses and Care Coordinators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Incorporate social connectedness goals into individual care plans; document changes in social behaviour in clinical notes; initiate referrals to allied health or psychology services when clinical concern is identified; lead or participate in care planning reviews.</w:t>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Care Workers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Observe and report changes in a resident's mood, withdrawal behaviours, or social participation during daily care interactions; maintain respectful, warm communication with residents; report concerns to the supervising nurse or lifestyle coordinator promptly.</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Allied Health Staff</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 the impact of physical, cognitive, or sensory conditions on a resident's ability to participate socially; recommend and implement strategies to reduce barriers to connection; contribute to care planning discussions relating to social wellbeing.</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Volunteers and Visitor Support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companionship and social interaction in accordance with their role description and relevant agreements; report any concerns about a resident's wellbeing to the lifestyle coordinator or duty nurse.</w:t>
            </w:r>
          </w:p>
        </w:tc>
      </w:tr>
    </w:tbl>
    <w:p w:rsidR="00000000" w:rsidDel="00000000" w:rsidP="00000000" w:rsidRDefault="00000000" w:rsidRPr="00000000" w14:paraId="0000003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3puhyhgpanbf"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C">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Admission social assessment.</w:t>
      </w:r>
      <w:r w:rsidDel="00000000" w:rsidR="00000000" w:rsidRPr="00000000">
        <w:rPr>
          <w:rFonts w:ascii="Times New Roman" w:cs="Times New Roman" w:eastAsia="Times New Roman" w:hAnsi="Times New Roman"/>
          <w:sz w:val="24"/>
          <w:szCs w:val="24"/>
          <w:rtl w:val="0"/>
        </w:rPr>
        <w:t xml:space="preserve"> Within five business days of a resident's admission, the lifestyle coordinator or a designated care staff member will conduct a social connectedness assessment. This assessment will document the resident's significant relationships, preferred social activities, cultural background, communication needs, history of volunteering or community involvement, and any known risk factors for isolation such as recent bereavement, limited family contact, or cognitive impairment. The resident's own words and preferences must be recorded, with the assistance of an interpreter or communication aid where required.</w:t>
      </w:r>
    </w:p>
    <w:p w:rsidR="00000000" w:rsidDel="00000000" w:rsidP="00000000" w:rsidRDefault="00000000" w:rsidRPr="00000000" w14:paraId="0000003D">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Care plan integration.</w:t>
      </w:r>
      <w:r w:rsidDel="00000000" w:rsidR="00000000" w:rsidRPr="00000000">
        <w:rPr>
          <w:rFonts w:ascii="Times New Roman" w:cs="Times New Roman" w:eastAsia="Times New Roman" w:hAnsi="Times New Roman"/>
          <w:sz w:val="24"/>
          <w:szCs w:val="24"/>
          <w:rtl w:val="0"/>
        </w:rPr>
        <w:t xml:space="preserve"> The outcomes of the social assessment will be incorporated into the resident's individual care plan within 14 days of admission. The care plan must include at least one goal relating to social connectedness, stated in terms meaningful to the resident. The plan should specify the types of social interaction the resident values, the frequency of intended engagement, and the staff member or team responsible for supporting each goal.</w:t>
      </w:r>
    </w:p>
    <w:p w:rsidR="00000000" w:rsidDel="00000000" w:rsidP="00000000" w:rsidRDefault="00000000" w:rsidRPr="00000000" w14:paraId="0000003E">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Ongoing monitoring of participation.</w:t>
      </w:r>
      <w:r w:rsidDel="00000000" w:rsidR="00000000" w:rsidRPr="00000000">
        <w:rPr>
          <w:rFonts w:ascii="Times New Roman" w:cs="Times New Roman" w:eastAsia="Times New Roman" w:hAnsi="Times New Roman"/>
          <w:sz w:val="24"/>
          <w:szCs w:val="24"/>
          <w:rtl w:val="0"/>
        </w:rPr>
        <w:t xml:space="preserve"> Lifestyle and personal care staff will record resident participation in activities and social interactions at a frequency consistent with each resident's care needs and risk profile. For residents identified as higher risk for isolation, participation will be reviewed at a minimum of fortnightly. Changes in a resident's usual level of engagement, including withdrawal from previously enjoyed activities, increased time spent alone in their room, or expressed feelings of loneliness, will be documented in the resident's care record on the day they are observed.</w:t>
      </w:r>
    </w:p>
    <w:p w:rsidR="00000000" w:rsidDel="00000000" w:rsidP="00000000" w:rsidRDefault="00000000" w:rsidRPr="00000000" w14:paraId="0000003F">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Response to identified isolation or withdrawal.</w:t>
      </w:r>
      <w:r w:rsidDel="00000000" w:rsidR="00000000" w:rsidRPr="00000000">
        <w:rPr>
          <w:rFonts w:ascii="Times New Roman" w:cs="Times New Roman" w:eastAsia="Times New Roman" w:hAnsi="Times New Roman"/>
          <w:sz w:val="24"/>
          <w:szCs w:val="24"/>
          <w:rtl w:val="0"/>
        </w:rPr>
        <w:t xml:space="preserve"> When a staff member documents a change in social engagement, the supervising nurse or lifestyle coordinator will review the record within two business days and determine whether a formal response is required. If isolation or loneliness is confirmed or suspected, a care team discussion will be initiated and additional strategies will be documented in the care plan. These may include one-on-one visits from lifestyle staff or volunteers, referral to psychology or social work, adjustment of room placement, technology-assisted contact with family, or connection to community or religious groups relevant to the resident's background.</w:t>
      </w:r>
    </w:p>
    <w:p w:rsidR="00000000" w:rsidDel="00000000" w:rsidP="00000000" w:rsidRDefault="00000000" w:rsidRPr="00000000" w14:paraId="00000040">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Resident and family involvement.</w:t>
      </w:r>
      <w:r w:rsidDel="00000000" w:rsidR="00000000" w:rsidRPr="00000000">
        <w:rPr>
          <w:rFonts w:ascii="Times New Roman" w:cs="Times New Roman" w:eastAsia="Times New Roman" w:hAnsi="Times New Roman"/>
          <w:sz w:val="24"/>
          <w:szCs w:val="24"/>
          <w:rtl w:val="0"/>
        </w:rPr>
        <w:t xml:space="preserve"> At each scheduled care plan review, the resident will be asked directly about their social wellbeing and whether their current goals reflect what they want. Where a resident lacks capacity to express this, their representative will be consulted. Staff will document the resident's or representative's feedback and any agreed changes to the care plan. Family members and representatives are encouraged to be active partners in supporting social connection, and the facility will provide information about visiting, video calling, and participation in activities.</w:t>
      </w:r>
    </w:p>
    <w:p w:rsidR="00000000" w:rsidDel="00000000" w:rsidP="00000000" w:rsidRDefault="00000000" w:rsidRPr="00000000" w14:paraId="00000041">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Distinguishing voluntary solitude from clinical isolation.</w:t>
      </w:r>
      <w:r w:rsidDel="00000000" w:rsidR="00000000" w:rsidRPr="00000000">
        <w:rPr>
          <w:rFonts w:ascii="Times New Roman" w:cs="Times New Roman" w:eastAsia="Times New Roman" w:hAnsi="Times New Roman"/>
          <w:sz w:val="24"/>
          <w:szCs w:val="24"/>
          <w:rtl w:val="0"/>
        </w:rPr>
        <w:t xml:space="preserve"> Staff will not treat a preference for quiet or solitary time as automatically requiring intervention. Where a resident consistently declines activities or contact, staff will have a private conversation with the resident to understand their preference and document the outcome. If there is clinical concern, such as signs of depression, grief, or cognitive change, the matter will be escalated to the registered nurse for assessment and, if appropriate, referral to a general practitioner or mental health professional.</w:t>
      </w:r>
    </w:p>
    <w:p w:rsidR="00000000" w:rsidDel="00000000" w:rsidP="00000000" w:rsidRDefault="00000000" w:rsidRPr="00000000" w14:paraId="00000042">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Environmental and community considerations.</w:t>
      </w:r>
      <w:r w:rsidDel="00000000" w:rsidR="00000000" w:rsidRPr="00000000">
        <w:rPr>
          <w:rFonts w:ascii="Times New Roman" w:cs="Times New Roman" w:eastAsia="Times New Roman" w:hAnsi="Times New Roman"/>
          <w:sz w:val="24"/>
          <w:szCs w:val="24"/>
          <w:rtl w:val="0"/>
        </w:rPr>
        <w:t xml:space="preserve"> The facility will maintain communal areas that are welcoming, accessible, and designed to support informal social interaction. The activities program will reflect the cultural, linguistic, and personal diversity of the resident group. Residents will be given accessible information about available activities and social opportunities in formats appropriate to their communication needs.</w:t>
      </w:r>
    </w:p>
    <w:p w:rsidR="00000000" w:rsidDel="00000000" w:rsidP="00000000" w:rsidRDefault="00000000" w:rsidRPr="00000000" w14:paraId="00000043">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Documentation and record-keeping.</w:t>
      </w:r>
      <w:r w:rsidDel="00000000" w:rsidR="00000000" w:rsidRPr="00000000">
        <w:rPr>
          <w:rFonts w:ascii="Times New Roman" w:cs="Times New Roman" w:eastAsia="Times New Roman" w:hAnsi="Times New Roman"/>
          <w:sz w:val="24"/>
          <w:szCs w:val="24"/>
          <w:rtl w:val="0"/>
        </w:rPr>
        <w:t xml:space="preserve"> All assessments, care plan entries, participation records, and response actions under this policy will be recorded in the resident's care management system. Records must be sufficiently detailed to demonstrate to the Aged Care Quality and Safety Commission that the organisation has taken a proactive and individualised approach to social connectedness.</w:t>
      </w:r>
    </w:p>
    <w:p w:rsidR="00000000" w:rsidDel="00000000" w:rsidP="00000000" w:rsidRDefault="00000000" w:rsidRPr="00000000" w14:paraId="00000044">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vr2o1cjv3rd8" w:id="7"/>
      <w:bookmarkEnd w:id="7"/>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4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at least every two years, or earlier if there is a change in relevant legislation, standards, or organisational structure. The Director of Nursing or a designated compliance officer is responsible for initiating the review. The review process will include consideration of resident experience data, any non-compliance findings, staff feedback, and changes to the Strengthened Aged Care Quality Standards. The outcomes of the review will be reported to the facility's governance body. Staff will be informed of any changes to this policy within 30 days of approval.</w:t>
      </w:r>
    </w:p>
    <w:p w:rsidR="00000000" w:rsidDel="00000000" w:rsidP="00000000" w:rsidRDefault="00000000" w:rsidRPr="00000000" w14:paraId="0000004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Compliance with this policy will be monitored through:</w:t>
      </w:r>
    </w:p>
    <w:p w:rsidR="00000000" w:rsidDel="00000000" w:rsidP="00000000" w:rsidRDefault="00000000" w:rsidRPr="00000000" w14:paraId="00000047">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Quarterly audits of care plan documentation for social connectedness goals</w:t>
      </w:r>
    </w:p>
    <w:p w:rsidR="00000000" w:rsidDel="00000000" w:rsidP="00000000" w:rsidRDefault="00000000" w:rsidRPr="00000000" w14:paraId="00000048">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Review of participation records and response timelines for identified isolation cases</w:t>
      </w:r>
    </w:p>
    <w:p w:rsidR="00000000" w:rsidDel="00000000" w:rsidP="00000000" w:rsidRDefault="00000000" w:rsidRPr="00000000" w14:paraId="00000049">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Inclusion of social wellbeing as a standing item in resident experience surveys</w:t>
      </w:r>
    </w:p>
    <w:p w:rsidR="00000000" w:rsidDel="00000000" w:rsidP="00000000" w:rsidRDefault="00000000" w:rsidRPr="00000000" w14:paraId="0000004A">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Review of any complaints or incidents relating to social isolation or loneliness</w:t>
      </w:r>
    </w:p>
    <w:p w:rsidR="00000000" w:rsidDel="00000000" w:rsidP="00000000" w:rsidRDefault="00000000" w:rsidRPr="00000000" w14:paraId="0000004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evhw9z9pf5fd" w:id="8"/>
      <w:bookmarkEnd w:id="8"/>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4C">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Lifestyle and Recreational Activities Policy</w:t>
      </w:r>
    </w:p>
    <w:p w:rsidR="00000000" w:rsidDel="00000000" w:rsidP="00000000" w:rsidRDefault="00000000" w:rsidRPr="00000000" w14:paraId="0000004D">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Mental Health and Wellbeing Policy (Residents)</w:t>
      </w:r>
    </w:p>
    <w:p w:rsidR="00000000" w:rsidDel="00000000" w:rsidP="00000000" w:rsidRDefault="00000000" w:rsidRPr="00000000" w14:paraId="0000004E">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Person-Centred Care Policy</w:t>
      </w:r>
    </w:p>
    <w:p w:rsidR="00000000" w:rsidDel="00000000" w:rsidP="00000000" w:rsidRDefault="00000000" w:rsidRPr="00000000" w14:paraId="0000004F">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 Rights and Charter of Aged Care Rights Policy</w:t>
      </w:r>
    </w:p>
    <w:p w:rsidR="00000000" w:rsidDel="00000000" w:rsidP="00000000" w:rsidRDefault="00000000" w:rsidRPr="00000000" w14:paraId="00000050">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Behavioural Support and Responsive Behaviours Policy</w:t>
      </w:r>
    </w:p>
    <w:p w:rsidR="00000000" w:rsidDel="00000000" w:rsidP="00000000" w:rsidRDefault="00000000" w:rsidRPr="00000000" w14:paraId="00000051">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Volunteers Policy</w:t>
      </w:r>
    </w:p>
    <w:p w:rsidR="00000000" w:rsidDel="00000000" w:rsidP="00000000" w:rsidRDefault="00000000" w:rsidRPr="00000000" w14:paraId="00000052">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Complaints Management Policy</w:t>
      </w:r>
    </w:p>
    <w:p w:rsidR="00000000" w:rsidDel="00000000" w:rsidP="00000000" w:rsidRDefault="00000000" w:rsidRPr="00000000" w14:paraId="00000053">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Individual Care Planning Procedure</w:t>
      </w:r>
    </w:p>
    <w:p w:rsidR="00000000" w:rsidDel="00000000" w:rsidP="00000000" w:rsidRDefault="00000000" w:rsidRPr="00000000" w14:paraId="00000054">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bremcjw7w15p" w:id="9"/>
      <w:bookmarkEnd w:id="9"/>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r>
        <w:trPr>
          <w:cantSplit w:val="0"/>
          <w:trHeight w:val="25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