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Lifestyle and Recreational Activities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teappwp22r5"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[Organisation Name]'s approach to planning, delivering, and reviewing lifestyle and recreational activities for residents in its residential aged care service. The purpose is to support each resident's wellbeing, sense of identity, and right to participate in meaningful activities that reflect their personal interests, values, and cultural background. This policy supports the organisation's commitment to person-centred care and compliance with the Strengthened Aged Care Quality Standards. It applies across all stages of a resident's stay, from admission through to ongoing care planning reviews.</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adj20j8gqzh"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lifestyle and activities staff, including coordinators and assistants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staff involved in supporting resident participation in daily activities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who assist with or lead activity programs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Management and leadership responsible for program oversight and resourcing</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contributing to residents' activity and wellbeing goals</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residents of [Organisation Name]'s residential aged care facility or facilities</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54sg3hqv53"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6930"/>
        <w:tblGridChange w:id="0">
          <w:tblGrid>
            <w:gridCol w:w="1830"/>
            <w:gridCol w:w="693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program</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planned schedule of group and individual activities offered to residents to support their physical, social, emotional, cognitive, and spiritual wellbeing.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Recreational activity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structured or unstructured activity undertaken for enjoyment, engagement, relaxation, or social connection, including hobbies, outings, games, arts, and cultural events.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Person-centred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approach to care that places the individual resident at the centre of decisions, respects their identity and preferences, and supports their goals and choices.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assessment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process of gathering information about a resident's interests, hobbies, past occupations, cultural background, and activity preferences to inform individualised program planning.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Meaningful engagement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activities that are personally significant to the resident, aligned with their values and interests, and that contribute to their sense of purpose and quality of life.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community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environment of the residential aged care facility, including the relationships, shared spaces, routines, and connections that residents experience as part of daily life.</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e4ff3c3cvq5"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alongside the following legislation, standards, and guidelines:</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1: The Person</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7: Residential Community</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 (Cth)</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Charter of Aged Care Rights (2019)</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Disability Discrimination Act 1992 (Cth), where applicable</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[Organisation Name]'s Consumer Rights, Dignity and Choice Policy</w:t>
      </w:r>
    </w:p>
    <w:p w:rsidR="00000000" w:rsidDel="00000000" w:rsidP="00000000" w:rsidRDefault="00000000" w:rsidRPr="00000000" w14:paraId="0000002B">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[Organisation Name]'s Social Connectedness and Isolation Prevention Policy</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1ttoqiv7jj0"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providing a lifestyle program that reflects the individuality of each resident and supports their right to live a meaningful, engaged, and socially connected life. We recognise that recreational and lifestyle activities are not an optional add-on to care; they are a core component of residents' wellbeing and dignity. Our programs are developed with residents and their families or representatives, and are regularly reviewed to reflect changing needs and preferences. We will resource the lifestyle program appropriately and ensure that staff have the training and support they need to deliver activities that make a real difference to residents' quality of life. No resident will be excluded from activity participation on the basis of cognitive status, mobility, communication ability, or cultural background.</w:t>
      </w:r>
    </w:p>
    <w:p w:rsidR="00000000" w:rsidDel="00000000" w:rsidP="00000000" w:rsidRDefault="00000000" w:rsidRPr="00000000" w14:paraId="0000002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umd903y3idzm"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6405"/>
        <w:tblGridChange w:id="0">
          <w:tblGrid>
            <w:gridCol w:w="2355"/>
            <w:gridCol w:w="64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and resources the lifestyle program; ensures sufficient staffing and budget; oversees policy review and compliance with aged care standards.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lifestyle assessments for all new residents; designs and coordinates the weekly activity program; monitors participation and outcomes; liaises with residents, families, and allied health staff.</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residents to attend and participate in activities; communicates changes in resident interest or capacity to the lifestyle team; assists with activity delivery as required.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Professionals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input into activity planning for residents with specific health, mobility, or cognitive needs; collaborates with the lifestyle team to align activities with therapeutic goals.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Assists with activity delivery under the supervision of the lifestyle coordinator; maintains appropriate boundaries; follows all organisational policies and resident privacy requirements.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and Representatives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Participates in lifestyle assessments and care plan reviews; provides feedback on the program; raises concerns or suggestions through the facility's feedback process.</w:t>
            </w:r>
          </w:p>
        </w:tc>
      </w:tr>
    </w:tbl>
    <w:p w:rsidR="00000000" w:rsidDel="00000000" w:rsidP="00000000" w:rsidRDefault="00000000" w:rsidRPr="00000000" w14:paraId="0000003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gtd8gamb9hn"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E">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 a lifestyle assessment at admission.</w:t>
      </w:r>
      <w:r w:rsidDel="00000000" w:rsidR="00000000" w:rsidRPr="00000000">
        <w:rPr>
          <w:rFonts w:ascii="Times New Roman" w:cs="Times New Roman" w:eastAsia="Times New Roman" w:hAnsi="Times New Roman"/>
          <w:sz w:val="24"/>
          <w:szCs w:val="24"/>
          <w:rtl w:val="0"/>
        </w:rPr>
        <w:t xml:space="preserve"> The lifestyle coordinator must complete a lifestyle assessment for each new resident within five business days of admission. The assessment must cover the resident's interests, hobbies, past occupations, cultural and spiritual background, social preferences, and any physical or cognitive considerations affecting participation. Assessment findings must be documented in the resident's care plan.</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Develop an individualised activity plan.</w:t>
      </w:r>
      <w:r w:rsidDel="00000000" w:rsidR="00000000" w:rsidRPr="00000000">
        <w:rPr>
          <w:rFonts w:ascii="Times New Roman" w:cs="Times New Roman" w:eastAsia="Times New Roman" w:hAnsi="Times New Roman"/>
          <w:sz w:val="24"/>
          <w:szCs w:val="24"/>
          <w:rtl w:val="0"/>
        </w:rPr>
        <w:t xml:space="preserve"> Based on the assessment, the lifestyle coordinator creates an individualised activity plan for each resident. The plan identifies preferred activities, preferred times, any support needs, and short-term goals related to wellbeing and engagement. The plan must be agreed with the resident and, where appropriate, their representative.</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Design and publish the weekly activity program.</w:t>
      </w:r>
      <w:r w:rsidDel="00000000" w:rsidR="00000000" w:rsidRPr="00000000">
        <w:rPr>
          <w:rFonts w:ascii="Times New Roman" w:cs="Times New Roman" w:eastAsia="Times New Roman" w:hAnsi="Times New Roman"/>
          <w:sz w:val="24"/>
          <w:szCs w:val="24"/>
          <w:rtl w:val="0"/>
        </w:rPr>
        <w:t xml:space="preserve"> The lifestyle coordinator produces a weekly schedule of group and individual activities that reflects the collective interests of current residents. The schedule must include a range of activity types: physical, creative, social, cognitive, cultural, and spiritual. The program must be displayed in common areas and distributed to residents and families.</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Deliver activities with adequate staffing and resources.</w:t>
      </w:r>
      <w:r w:rsidDel="00000000" w:rsidR="00000000" w:rsidRPr="00000000">
        <w:rPr>
          <w:rFonts w:ascii="Times New Roman" w:cs="Times New Roman" w:eastAsia="Times New Roman" w:hAnsi="Times New Roman"/>
          <w:sz w:val="24"/>
          <w:szCs w:val="24"/>
          <w:rtl w:val="0"/>
        </w:rPr>
        <w:t xml:space="preserve"> Activities must be staffed at a level that allows all participating residents to engage safely and meaningfully. The lifestyle coordinator is responsible for confirming staffing, equipment, and any transport or external venue arrangements in advance. Risk assessments must be completed for any off-site or higher-risk activities.</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 participation and monitor engagement.</w:t>
      </w:r>
      <w:r w:rsidDel="00000000" w:rsidR="00000000" w:rsidRPr="00000000">
        <w:rPr>
          <w:rFonts w:ascii="Times New Roman" w:cs="Times New Roman" w:eastAsia="Times New Roman" w:hAnsi="Times New Roman"/>
          <w:sz w:val="24"/>
          <w:szCs w:val="24"/>
          <w:rtl w:val="0"/>
        </w:rPr>
        <w:t xml:space="preserve"> Staff must record resident participation in activities after each session. The lifestyle coordinator reviews participation data monthly to identify residents with low engagement, those who have declined involvement, or those whose needs may have changed. Follow-up actions must be documented.</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Respond to residents at risk of isolation or withdrawal.</w:t>
      </w:r>
      <w:r w:rsidDel="00000000" w:rsidR="00000000" w:rsidRPr="00000000">
        <w:rPr>
          <w:rFonts w:ascii="Times New Roman" w:cs="Times New Roman" w:eastAsia="Times New Roman" w:hAnsi="Times New Roman"/>
          <w:sz w:val="24"/>
          <w:szCs w:val="24"/>
          <w:rtl w:val="0"/>
        </w:rPr>
        <w:t xml:space="preserve"> Where participation data or staff observations indicate a resident is withdrawing from activities or showing signs of social isolation, the lifestyle coordinator must initiate a review within five business days. This may involve a one-on-one conversation with the resident, a referral to allied health, or a reassessment of the activity plan. Refer to the organisation's Social Connectedness and Isolation Prevention Policy for further guidance.</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Involve residents in program feedback and planning.</w:t>
      </w:r>
      <w:r w:rsidDel="00000000" w:rsidR="00000000" w:rsidRPr="00000000">
        <w:rPr>
          <w:rFonts w:ascii="Times New Roman" w:cs="Times New Roman" w:eastAsia="Times New Roman" w:hAnsi="Times New Roman"/>
          <w:sz w:val="24"/>
          <w:szCs w:val="24"/>
          <w:rtl w:val="0"/>
        </w:rPr>
        <w:t xml:space="preserve"> The lifestyle coordinator must seek resident input on the program at least quarterly, through resident meetings, surveys, or individual conversations. Feedback must be documented and considered in the next program cycle. Changes made in response to feedback must be communicated to residents.</w:t>
      </w:r>
    </w:p>
    <w:p w:rsidR="00000000" w:rsidDel="00000000" w:rsidP="00000000" w:rsidRDefault="00000000" w:rsidRPr="00000000" w14:paraId="00000045">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individual activity plans at care plan review.</w:t>
      </w:r>
      <w:r w:rsidDel="00000000" w:rsidR="00000000" w:rsidRPr="00000000">
        <w:rPr>
          <w:rFonts w:ascii="Times New Roman" w:cs="Times New Roman" w:eastAsia="Times New Roman" w:hAnsi="Times New Roman"/>
          <w:sz w:val="24"/>
          <w:szCs w:val="24"/>
          <w:rtl w:val="0"/>
        </w:rPr>
        <w:t xml:space="preserve"> Each resident's individualised activity plan must be reviewed at their scheduled care plan review, or sooner if there is a significant change in their health or wellbeing. Updates must be documented, agreed with the resident, and communicated to relevant staff.</w:t>
      </w:r>
    </w:p>
    <w:p w:rsidR="00000000" w:rsidDel="00000000" w:rsidP="00000000" w:rsidRDefault="00000000" w:rsidRPr="00000000" w14:paraId="000000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p8wc3opmss1"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Manager is responsible for overseeing compliance with this policy. The lifestyle coordinator provides a monthly report to management that includes participation data, feedback received, any incidents or concerns related to activities, and program changes made.</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sooner if there is a change in legislation, a relevant adverse event, or a significant change in the resident population. The review will be conducted by the Facility Manager in consultation with the lifestyle team and, where possible, resident representatives.</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included in the organisation's internal audit schedule and assessed against the Strengthened Aged Care Quality Standards during both internal reviews and external assessments.</w:t>
      </w:r>
    </w:p>
    <w:p w:rsidR="00000000" w:rsidDel="00000000" w:rsidP="00000000" w:rsidRDefault="00000000" w:rsidRPr="00000000" w14:paraId="0000004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iimrvdgh70u"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Social Connectedness and Isolation Prevention Policy</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Planning Policy</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 Management Policy</w:t>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and Feedback Management Policy</w:t>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Risk Management Policy</w:t>
      </w:r>
    </w:p>
    <w:p w:rsidR="00000000" w:rsidDel="00000000" w:rsidP="00000000" w:rsidRDefault="00000000" w:rsidRPr="00000000" w14:paraId="00000051">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Admission and Orientation Policy</w:t>
      </w:r>
    </w:p>
    <w:p w:rsidR="00000000" w:rsidDel="00000000" w:rsidP="00000000" w:rsidRDefault="00000000" w:rsidRPr="00000000" w14:paraId="0000005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74p0w7yfuii"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