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Sexuality and Intimacy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9onjkys6axb9"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how [ORGANISATION NAME] recognises and supports the rights of residents to express their sexuality, form intimate relationships, and maintain their personal identity. It provides clear guidance for staff on responding to intimate expressions with respect, sensitivity, and appropriate professional boundaries. The policy aims to balance individual rights with the safety and wellbeing of all residents, including those with cognitive impairment. It reflects [ORGANISATION NAME]'s commitment to person-centred care under Australian aged care legislation and the Strengthened Aged Care Quality Standards.</w:t>
      </w:r>
    </w:p>
    <w:p w:rsidR="00000000" w:rsidDel="00000000" w:rsidP="00000000" w:rsidRDefault="00000000" w:rsidRPr="00000000" w14:paraId="0000000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uzdizp528lo"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staff employed or engaged by [ORGANISATION NAME], including permanent, casual, agency, and volunteer workers. It covers all residents living in [ORGANISATION NAME] facilities, including those in residential aged care and memory support units. It also applies to situations involving residents and their partners, family members, or other residents. All contractors and visiting health professionals working within the facility are expected to be aware of and act in accordance with this policy.</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o193x3u1o1cn"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7095"/>
        <w:tblGridChange w:id="0">
          <w:tblGrid>
            <w:gridCol w:w="1665"/>
            <w:gridCol w:w="709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broad term encompassing a person's sexual orientation, gender identity, sexual feelings, and how they express themselves in relation to others. It is a normal and lifelong aspect of human identity.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Intimacy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personal connection between individuals that may be emotional, physical, or sexual in nature. Intimacy does not always involve sexual activity and includes affectionate touch, companionship, and emotional closeness.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Voluntary, informed, and ongoing agreement to participate in an activity. Consent must be freely given, can be withdrawn at any time, and must be assessed carefully where a resident has cognitive impairment.</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person's ability to understand information relevant to a decision, appreciate the consequences, and communicate their choice. Capacity can fluctuate and should be assessed in relation to the specific decision being made.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Impairment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condition such as dementia or acquired brain injury that affects memory, reasoning, or judgment. Cognitive impairment does not automatically remove a person's right to intimate relationships, but it requires additional care in assessing consent and capacity.</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LGBTQIA+</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acronym referring to people who identify as lesbian, gay, bisexual, transgender, queer or questioning, intersex, asexual, and other diverse sexual and gender identities. Providers are required to support the identity and wellbeing of LGBTQIA+ residents.</w:t>
            </w:r>
          </w:p>
        </w:tc>
      </w:tr>
    </w:tbl>
    <w:p w:rsidR="00000000" w:rsidDel="00000000" w:rsidP="00000000" w:rsidRDefault="00000000" w:rsidRPr="00000000" w14:paraId="0000001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eaptuvdxmx6"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and must be read in conjunction with the following legislation, standards, and frameworks:</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2024 and its rights-based framework, which positions older people as rights holders entitled to dignity, autonomy, and self-determination</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 1 (The Person), which requires providers to support each resident's identity, values, culture, and right to self-expression including in intimate relationships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Charter of Aged Care Rights, which gives every resident the right to be treated with dignity and respect, and to have their identity and personal values recognised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Act 2018</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Act 2011 (as applicable in relevant state or territory)</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the Australian Privacy Principles</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State and territory guardianship and administration legislation relevant to consent and decision-making</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Anti-Discrimination Act (as applicable in relevant state or territory)</w:t>
      </w:r>
    </w:p>
    <w:p w:rsidR="00000000" w:rsidDel="00000000" w:rsidP="00000000" w:rsidRDefault="00000000" w:rsidRPr="00000000" w14:paraId="0000002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84ynuzd3fhcq"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recognises that sexuality and intimacy are natural and important parts of human life at every age. All residents have the right to express their sexuality, form meaningful relationships, and experience intimacy in a safe and supportive environment. Staff are expected to respect and support these rights without judgment, and to respond to intimate expressions with sensitivity and professionalism. Where a resident's capacity to consent requires assessment, [ORGANISATION NAME] will approach this in a person-centred way that prioritises the resident's wellbeing, dignity, and autonomy. This organisation is committed to creating an inclusive environment where residents of all sexual orientations and gender identities are welcomed and respected.</w:t>
      </w:r>
    </w:p>
    <w:p w:rsidR="00000000" w:rsidDel="00000000" w:rsidP="00000000" w:rsidRDefault="00000000" w:rsidRPr="00000000" w14:paraId="0000002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97tdtzcsqty"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6525"/>
        <w:tblGridChange w:id="0">
          <w:tblGrid>
            <w:gridCol w:w="2220"/>
            <w:gridCol w:w="652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Facility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Approves and reviews this policy. Ensures sufficient resources and training are in place. Accountable for the organisation's overall compliance with resident rights obligations.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Lead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implementation of this policy. Leads staff education and clinical decision-making on consent and capacity assessments. Manages escalations and complex situations.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 and document capacity to consent where required. Support person-centred care planning that includes residents' relationship and intimacy needs. Escalate concerns to the Director of Nursing.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 / Support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 to intimate expressions in a calm, respectful, and non-judgmental manner. Maintain resident privacy. Report concerns or incidents to their supervisor promptly.</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and Social Support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residents' social connections and relationship opportunities. Advocate for inclusive programming that recognises diverse relationships and identities.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Compliance Officer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Monitors policy alignment with current legislation and standards. Coordinates scheduled reviews and records all amendments in the document control register.</w:t>
            </w:r>
          </w:p>
        </w:tc>
      </w:tr>
    </w:tbl>
    <w:p w:rsidR="00000000" w:rsidDel="00000000" w:rsidP="00000000" w:rsidRDefault="00000000" w:rsidRPr="00000000" w14:paraId="00000036">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k8r9hlz1etde"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7">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Incorporate sexuality and intimacy into care planning.</w:t>
      </w:r>
      <w:r w:rsidDel="00000000" w:rsidR="00000000" w:rsidRPr="00000000">
        <w:rPr>
          <w:rFonts w:ascii="Times New Roman" w:cs="Times New Roman" w:eastAsia="Times New Roman" w:hAnsi="Times New Roman"/>
          <w:sz w:val="24"/>
          <w:szCs w:val="24"/>
          <w:rtl w:val="0"/>
        </w:rPr>
        <w:t xml:space="preserve"> At the time of admission, and as part of ongoing care planning, staff will have respectful conversations with residents about their relationship needs, personal values, and preferences regarding intimacy. This information will be recorded in the resident's care plan with appropriate privacy protections. Care plans will be updated as circumstances or preferences change.</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Assess consent and capacity when required.</w:t>
      </w:r>
      <w:r w:rsidDel="00000000" w:rsidR="00000000" w:rsidRPr="00000000">
        <w:rPr>
          <w:rFonts w:ascii="Times New Roman" w:cs="Times New Roman" w:eastAsia="Times New Roman" w:hAnsi="Times New Roman"/>
          <w:sz w:val="24"/>
          <w:szCs w:val="24"/>
          <w:rtl w:val="0"/>
        </w:rPr>
        <w:t xml:space="preserve"> When a resident wishes to engage in sexual activity or intimate contact, and there is any uncertainty about their capacity to consent, the treating registered nurse will conduct and document a capacity assessment. The assessment will consider the specific activity, the resident's current cognitive state, and whether consent is freely given and ongoing. Where capacity is uncertain or a resident has dementia, the clinical lead must be involved. Legal guardians or administrators may be consulted in accordance with applicable state or territory legislation, but family members do not have authority to restrict a resident's intimate relationships solely on personal or cultural grounds.</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Provide private space for intimate expression.</w:t>
      </w:r>
      <w:r w:rsidDel="00000000" w:rsidR="00000000" w:rsidRPr="00000000">
        <w:rPr>
          <w:rFonts w:ascii="Times New Roman" w:cs="Times New Roman" w:eastAsia="Times New Roman" w:hAnsi="Times New Roman"/>
          <w:sz w:val="24"/>
          <w:szCs w:val="24"/>
          <w:rtl w:val="0"/>
        </w:rPr>
        <w:t xml:space="preserve"> Residents have the right to privacy for intimate activities. Staff will respect closed doors and use appropriate knocking and entry procedures at all times. Where residents share a room, staff will work with residents to arrange private time where possible. The facility will consider the availability of suitable private spaces as part of its physical environment planning.</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Respond to intimate expressions in communal areas.</w:t>
      </w:r>
      <w:r w:rsidDel="00000000" w:rsidR="00000000" w:rsidRPr="00000000">
        <w:rPr>
          <w:rFonts w:ascii="Times New Roman" w:cs="Times New Roman" w:eastAsia="Times New Roman" w:hAnsi="Times New Roman"/>
          <w:sz w:val="24"/>
          <w:szCs w:val="24"/>
          <w:rtl w:val="0"/>
        </w:rPr>
        <w:t xml:space="preserve"> If intimate expressions occur in shared or communal spaces in a way that may cause discomfort to other residents, staff will respond calmly, respectfully, and without shaming the resident. Staff may gently redirect the resident or offer a more private space. The response must always prioritise the dignity of all residents involved. Incidents of this nature will be documented and reviewed to identify any care planning or environmental adjustments needed.</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Support LGBTQIA+ residents.</w:t>
      </w:r>
      <w:r w:rsidDel="00000000" w:rsidR="00000000" w:rsidRPr="00000000">
        <w:rPr>
          <w:rFonts w:ascii="Times New Roman" w:cs="Times New Roman" w:eastAsia="Times New Roman" w:hAnsi="Times New Roman"/>
          <w:sz w:val="24"/>
          <w:szCs w:val="24"/>
          <w:rtl w:val="0"/>
        </w:rPr>
        <w:t xml:space="preserve"> Staff will use residents' preferred names, pronouns, and relationship terminology at all times. Care planning will be inclusive of same-sex partners and non-binary identities. Staff will not make assumptions about residents' relationships or identities based on appearance or prior history. Concerns about discrimination or disrespectful treatment of LGBTQIA+ residents will be treated as a serious incident and investigated accordingly.</w:t>
      </w:r>
    </w:p>
    <w:p w:rsidR="00000000" w:rsidDel="00000000" w:rsidP="00000000" w:rsidRDefault="00000000" w:rsidRPr="00000000" w14:paraId="0000003C">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Identify and respond to concerns about exploitation or harm.</w:t>
      </w:r>
      <w:r w:rsidDel="00000000" w:rsidR="00000000" w:rsidRPr="00000000">
        <w:rPr>
          <w:rFonts w:ascii="Times New Roman" w:cs="Times New Roman" w:eastAsia="Times New Roman" w:hAnsi="Times New Roman"/>
          <w:sz w:val="24"/>
          <w:szCs w:val="24"/>
          <w:rtl w:val="0"/>
        </w:rPr>
        <w:t xml:space="preserve"> Staff must distinguish between consensual intimate expression and situations where a resident may be at risk. Signs of potential exploitation, coercion, or non-consensual contact must be reported immediately to the supervisor and the Director of Nursing. This policy works in conjunction with the organisation's Abuse and Neglect Prevention Policy. All concerns will be documented and managed through the incident management system, including mandatory reporting obligations where applicable under the Aged Care Act 2024.</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Provide staff training and support.</w:t>
      </w:r>
      <w:r w:rsidDel="00000000" w:rsidR="00000000" w:rsidRPr="00000000">
        <w:rPr>
          <w:rFonts w:ascii="Times New Roman" w:cs="Times New Roman" w:eastAsia="Times New Roman" w:hAnsi="Times New Roman"/>
          <w:sz w:val="24"/>
          <w:szCs w:val="24"/>
          <w:rtl w:val="0"/>
        </w:rPr>
        <w:t xml:space="preserve"> All staff will receive training on this policy at induction and at least every two years thereafter. Training will cover consent and capacity, respectful communication, LGBTQIA+ inclusion, and the organisation's values and obligations. Staff who experience distress or uncertainty in relation to resident sexuality and intimacy situations will have access to supervision and debriefing support.</w:t>
      </w:r>
    </w:p>
    <w:p w:rsidR="00000000" w:rsidDel="00000000" w:rsidP="00000000" w:rsidRDefault="00000000" w:rsidRPr="00000000" w14:paraId="0000003E">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Document and manage incidents.</w:t>
      </w:r>
      <w:r w:rsidDel="00000000" w:rsidR="00000000" w:rsidRPr="00000000">
        <w:rPr>
          <w:rFonts w:ascii="Times New Roman" w:cs="Times New Roman" w:eastAsia="Times New Roman" w:hAnsi="Times New Roman"/>
          <w:sz w:val="24"/>
          <w:szCs w:val="24"/>
          <w:rtl w:val="0"/>
        </w:rPr>
        <w:t xml:space="preserve"> Any incident, concern, or complaint relating to resident sexuality or intimacy will be recorded in the incident management system using the appropriate categories. Incidents will be reviewed for patterns and contributing factors. Findings from incident reviews will be used to update staff training, care plans, or environmental conditions as needed.</w:t>
      </w:r>
    </w:p>
    <w:p w:rsidR="00000000" w:rsidDel="00000000" w:rsidP="00000000" w:rsidRDefault="00000000" w:rsidRPr="00000000" w14:paraId="0000003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uryfwr605o1"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at least every two years or sooner if required by changes to legislation, standards, or significant incidents. The Compliance Officer is responsible for scheduling and coordinating the review. The review process will include input from the Director of Nursing, relevant clinical staff, and where appropriate, resident and family feedback. All amendments will be recorded in the Document Control table below and communicated to staff before the updated policy takes effect.</w:t>
      </w:r>
    </w:p>
    <w:p w:rsidR="00000000" w:rsidDel="00000000" w:rsidP="00000000" w:rsidRDefault="00000000" w:rsidRPr="00000000" w14:paraId="0000004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c1wn6993fb5"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2">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Consumer Rights, Dignity and Choice Policy</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Abuse and Neglect Prevention Policy</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Policy</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and Confidentiality Policy</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Dementia Care Policy</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Complaints Management Policy</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Mandatory Reporting Policy</w:t>
      </w:r>
    </w:p>
    <w:p w:rsidR="00000000" w:rsidDel="00000000" w:rsidP="00000000" w:rsidRDefault="00000000" w:rsidRPr="00000000" w14:paraId="00000049">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Workforce Code of Conduct</w:t>
      </w:r>
    </w:p>
    <w:p w:rsidR="00000000" w:rsidDel="00000000" w:rsidP="00000000" w:rsidRDefault="00000000" w:rsidRPr="00000000" w14:paraId="0000004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ekhcz7y2vm6"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0"/>
        <w:gridCol w:w="1890"/>
        <w:gridCol w:w="2055"/>
        <w:gridCol w:w="2925"/>
        <w:tblGridChange w:id="0">
          <w:tblGrid>
            <w:gridCol w:w="1890"/>
            <w:gridCol w:w="1890"/>
            <w:gridCol w:w="2055"/>
            <w:gridCol w:w="292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