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Rehabilitation and Restorative Care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9ssigln2mkty"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approach taken by [ORGANISATION NAME] to plan, deliver, and review rehabilitation and restorative care for all residents. It aims to support residents in maintaining or regaining functional independence in ways that reflect their individual goals and preferences. The policy establishes clear responsibilities for clinical and allied health staff and describes how services are coordinated across disciplines. It applies across all care settings operated by [ORGANISATION NAME].</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wwgcud1f8y9w"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residents receiving care at [ORGANISATION NAME] facilities</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Nursing and personal care staff involved in delivering or supporting restorative care</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Allied health professionals including physiotherapists, occupational therapists, speech pathologists, and podiatrists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General practitioners and nurse practitioners involved in care planning</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Facility managers, clinical leads, and directors of nursing responsible for oversight of care quality</w:t>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Contractors and visiting practitioners providing allied health services under agreement</w:t>
      </w:r>
    </w:p>
    <w:p w:rsidR="00000000" w:rsidDel="00000000" w:rsidP="00000000" w:rsidRDefault="00000000" w:rsidRPr="00000000" w14:paraId="00000013">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317zzsusjq3l"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6795"/>
        <w:tblGridChange w:id="0">
          <w:tblGrid>
            <w:gridCol w:w="1950"/>
            <w:gridCol w:w="679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Rehabilitation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goal-directed process aimed at helping a resident recover or improve physical, cognitive, or functional capacity following illness, injury, surgery, or a period of decline.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Restorative care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ongoing approach to care that supports residents to maintain their current level of function and independence through consistent, person-centred practice embedded in daily routines.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Allied health professional</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regulated health professional other than a medical practitioner or nurse, including but not limited to physiotherapists, occupational therapists, speech pathologists, dietitians, and podiatrists.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 assessment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structured evaluation of a resident's physical, cognitive, and functional abilities, used to identify rehabilitation needs and set measurable goals.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plan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documented, individualised plan that records a resident's assessed needs, goals, preferences, and the agreed interventions and services to be provided.</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Restorative aide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trained care worker who assists in delivering restorative activities as directed by an allied health professional, supporting residents with mobility, self-care, and daily living tasks.</w:t>
            </w:r>
          </w:p>
        </w:tc>
      </w:tr>
    </w:tbl>
    <w:p w:rsidR="00000000" w:rsidDel="00000000" w:rsidP="00000000" w:rsidRDefault="00000000" w:rsidRPr="00000000" w14:paraId="0000002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b2hd0yiuzf9f"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guided by the following legislation, standards, and guidelines:</w:t>
      </w:r>
    </w:p>
    <w:p w:rsidR="00000000" w:rsidDel="00000000" w:rsidP="00000000" w:rsidRDefault="00000000" w:rsidRPr="00000000" w14:paraId="00000024">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Aged Care Act 2024, including allied health obligations for approved providers</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3: The Care and Services</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Act 2018</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Australian Commission on Safety and Quality in Health Care: Principles for Rehabilitation and Restorative Care</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 Health and Safety Act 2011 (Cth) and relevant state and territory equivalents</w:t>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Act 1988 (Cth) and Australian Privacy Principles</w:t>
      </w:r>
    </w:p>
    <w:p w:rsidR="00000000" w:rsidDel="00000000" w:rsidP="00000000" w:rsidRDefault="00000000" w:rsidRPr="00000000" w14:paraId="0000002A">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[ORGANISATION NAME] Clinical Governance Framework Policy</w:t>
      </w:r>
    </w:p>
    <w:p w:rsidR="00000000" w:rsidDel="00000000" w:rsidP="00000000" w:rsidRDefault="00000000" w:rsidRPr="00000000" w14:paraId="0000002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uiv831nhu4pl"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delivering rehabilitation and restorative care that supports each resident's right to maintain or improve their functional independence. We take a person-centred approach, working with residents, their families, and allied health professionals to set goals that are meaningful to the individual. Our care staff are trained and supported to apply restorative approaches in daily interactions, not only in formal therapy sessions. We will plan, deliver, document, and review rehabilitation care in line with current legislative requirements and best practice guidelines. Where a resident chooses not to participate in a rehabilitation or restorative program, this decision will be respected, documented, and revisited at regular intervals.</w:t>
      </w:r>
    </w:p>
    <w:p w:rsidR="00000000" w:rsidDel="00000000" w:rsidP="00000000" w:rsidRDefault="00000000" w:rsidRPr="00000000" w14:paraId="0000002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m6ljo84d94b0"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5"/>
        <w:gridCol w:w="6405"/>
        <w:tblGridChange w:id="0">
          <w:tblGrid>
            <w:gridCol w:w="2355"/>
            <w:gridCol w:w="640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Clinical Lead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Holds overall clinical accountability for rehabilitation and restorative care delivery. Reviews outcomes data, manages allied health contracts, and escalates concerns to facility management.</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 (Care Coordinator)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Coordinates referrals to allied health, ensures rehabilitation goals are reflected in the care plan, and conducts regular reassessments. Acts as the primary contact for the resident and family regarding progress.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Allied Health Professionals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functional assessments, develop and deliver discipline-specific rehabilitation programs, document progress in the clinical record, and provide guidance to care staff on restorative techniques.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Care Workers / Restorative Aides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restorative care approaches during daily living activities as directed by allied health professionals. Report changes in a resident's function or behaviour to the registered nurse promptly.</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Allocates resources to support rehabilitation programs, reviews policy compliance during internal audits, and reports outcomes to the governing body as required.</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 and Family / Representative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Participates in goal-setting discussions, provides feedback on the care experience, and is kept informed of progress and any changes to the rehabilitation program.</w:t>
            </w:r>
          </w:p>
        </w:tc>
      </w:tr>
    </w:tbl>
    <w:p w:rsidR="00000000" w:rsidDel="00000000" w:rsidP="00000000" w:rsidRDefault="00000000" w:rsidRPr="00000000" w14:paraId="0000003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9ht6mo8fbf17"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D">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Initial Assessment on Admission:</w:t>
      </w:r>
      <w:r w:rsidDel="00000000" w:rsidR="00000000" w:rsidRPr="00000000">
        <w:rPr>
          <w:rFonts w:ascii="Times New Roman" w:cs="Times New Roman" w:eastAsia="Times New Roman" w:hAnsi="Times New Roman"/>
          <w:sz w:val="24"/>
          <w:szCs w:val="24"/>
          <w:rtl w:val="0"/>
        </w:rPr>
        <w:t xml:space="preserve"> A functional assessment is completed within 14 days of a resident's admission, or sooner if clinical indicators suggest an urgent rehabilitation need. The assessing registered nurse screens for mobility, activities of daily living, cognitive function, and communication, and identifies whether an allied health referral is required.</w:t>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Allied Health Referral:</w:t>
      </w:r>
      <w:r w:rsidDel="00000000" w:rsidR="00000000" w:rsidRPr="00000000">
        <w:rPr>
          <w:rFonts w:ascii="Times New Roman" w:cs="Times New Roman" w:eastAsia="Times New Roman" w:hAnsi="Times New Roman"/>
          <w:sz w:val="24"/>
          <w:szCs w:val="24"/>
          <w:rtl w:val="0"/>
        </w:rPr>
        <w:t xml:space="preserve"> Where an assessment indicates rehabilitation needs, a referral is made to the relevant allied health professional within five business days. Referrals are documented in the clinical management system and tracked by the care coordinator. Urgent referrals are flagged to the Director of Nursing and actioned within 48 hours.</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Goal Setting with the Resident:</w:t>
      </w:r>
      <w:r w:rsidDel="00000000" w:rsidR="00000000" w:rsidRPr="00000000">
        <w:rPr>
          <w:rFonts w:ascii="Times New Roman" w:cs="Times New Roman" w:eastAsia="Times New Roman" w:hAnsi="Times New Roman"/>
          <w:sz w:val="24"/>
          <w:szCs w:val="24"/>
          <w:rtl w:val="0"/>
        </w:rPr>
        <w:t xml:space="preserve"> The allied health professional meets with the resident, and their family or representative if appropriate, to agree on rehabilitation goals. Goals are written in plain language, are measurable, and reflect what matters to the resident. Goals are recorded in the care plan and communicated to all relevant staff.</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Delivering the Rehabilitation Program:</w:t>
      </w:r>
      <w:r w:rsidDel="00000000" w:rsidR="00000000" w:rsidRPr="00000000">
        <w:rPr>
          <w:rFonts w:ascii="Times New Roman" w:cs="Times New Roman" w:eastAsia="Times New Roman" w:hAnsi="Times New Roman"/>
          <w:sz w:val="24"/>
          <w:szCs w:val="24"/>
          <w:rtl w:val="0"/>
        </w:rPr>
        <w:t xml:space="preserve"> Allied health professionals deliver discipline-specific programs in line with the agreed goals. Care staff apply restorative approaches during daily routines, including assisting residents to complete self-care tasks at their own pace rather than completing tasks for them. Equipment prescribed by an allied health professional is provided, maintained in working order, and used consistently.</w:t>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Progress Monitoring:</w:t>
      </w:r>
      <w:r w:rsidDel="00000000" w:rsidR="00000000" w:rsidRPr="00000000">
        <w:rPr>
          <w:rFonts w:ascii="Times New Roman" w:cs="Times New Roman" w:eastAsia="Times New Roman" w:hAnsi="Times New Roman"/>
          <w:sz w:val="24"/>
          <w:szCs w:val="24"/>
          <w:rtl w:val="0"/>
        </w:rPr>
        <w:t xml:space="preserve"> The allied health professional reviews progress at agreed intervals, which are a minimum of four-weekly for active rehabilitation programs. Progress notes are recorded in the clinical record after each session. Any decline in function, refusal of therapy, or safety concern is reported to the registered nurse and documented promptly.</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Care Plan Review:</w:t>
      </w:r>
      <w:r w:rsidDel="00000000" w:rsidR="00000000" w:rsidRPr="00000000">
        <w:rPr>
          <w:rFonts w:ascii="Times New Roman" w:cs="Times New Roman" w:eastAsia="Times New Roman" w:hAnsi="Times New Roman"/>
          <w:sz w:val="24"/>
          <w:szCs w:val="24"/>
          <w:rtl w:val="0"/>
        </w:rPr>
        <w:t xml:space="preserve"> The care plan is reviewed at least every three months, or following a significant change in the resident's condition, a fall, a hospitalisation, or a change in the resident's goals. The review involves the resident, care coordinator, and relevant allied health professionals. Outcomes are documented and, where goals have been met, new goals are agreed upon or the care plan is updated to reflect a restorative maintenance approach.</w:t>
      </w:r>
    </w:p>
    <w:p w:rsidR="00000000" w:rsidDel="00000000" w:rsidP="00000000" w:rsidRDefault="00000000" w:rsidRPr="00000000" w14:paraId="00000043">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Declining Participation:</w:t>
      </w:r>
      <w:r w:rsidDel="00000000" w:rsidR="00000000" w:rsidRPr="00000000">
        <w:rPr>
          <w:rFonts w:ascii="Times New Roman" w:cs="Times New Roman" w:eastAsia="Times New Roman" w:hAnsi="Times New Roman"/>
          <w:sz w:val="24"/>
          <w:szCs w:val="24"/>
          <w:rtl w:val="0"/>
        </w:rPr>
        <w:t xml:space="preserve"> If a resident declines to participate in a recommended rehabilitation program, this decision is documented in the clinical record along with the information provided to the resident. Staff continue to offer support and the matter is revisited at the next care plan review or when the resident's preferences change.</w:t>
      </w:r>
    </w:p>
    <w:p w:rsidR="00000000" w:rsidDel="00000000" w:rsidP="00000000" w:rsidRDefault="00000000" w:rsidRPr="00000000" w14:paraId="00000044">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Discharge from a Rehabilitation Program:</w:t>
      </w:r>
      <w:r w:rsidDel="00000000" w:rsidR="00000000" w:rsidRPr="00000000">
        <w:rPr>
          <w:rFonts w:ascii="Times New Roman" w:cs="Times New Roman" w:eastAsia="Times New Roman" w:hAnsi="Times New Roman"/>
          <w:sz w:val="24"/>
          <w:szCs w:val="24"/>
          <w:rtl w:val="0"/>
        </w:rPr>
        <w:t xml:space="preserve"> When a resident has met their goals or reached a plateau, the allied health professional documents a discharge summary and recommends a maintenance plan. The care plan is updated to reflect the maintenance approach, and the restorative aide program is adjusted accordingly. Discharge from a program does not remove access to re-referral if the resident's needs change.</w:t>
      </w:r>
    </w:p>
    <w:p w:rsidR="00000000" w:rsidDel="00000000" w:rsidP="00000000" w:rsidRDefault="00000000" w:rsidRPr="00000000" w14:paraId="00000045">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tph9ijdx5liq"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of Nursing is responsible for monitoring compliance with this policy. Monitoring activities include:</w:t>
      </w:r>
    </w:p>
    <w:p w:rsidR="00000000" w:rsidDel="00000000" w:rsidP="00000000" w:rsidRDefault="00000000" w:rsidRPr="00000000" w14:paraId="00000047">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Quarterly audits of care plans to confirm rehabilitation goals are documented and current</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Review of allied health referral timeframes against the targets set in Section 7</w:t>
      </w:r>
    </w:p>
    <w:p w:rsidR="00000000" w:rsidDel="00000000" w:rsidP="00000000" w:rsidRDefault="00000000" w:rsidRPr="00000000" w14:paraId="00000049">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Analysis of incident data related to falls, mobility decline, or functional deterioration</w:t>
      </w:r>
    </w:p>
    <w:p w:rsidR="00000000" w:rsidDel="00000000" w:rsidP="00000000" w:rsidRDefault="00000000" w:rsidRPr="00000000" w14:paraId="0000004A">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and family feedback gathered through surveys and care conferences</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reviewed every two years, or earlier in the following circumstances:</w:t>
      </w:r>
    </w:p>
    <w:p w:rsidR="00000000" w:rsidDel="00000000" w:rsidP="00000000" w:rsidRDefault="00000000" w:rsidRPr="00000000" w14:paraId="0000004C">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 change to the Aged Care Act 2024 or the Strengthened Aged Care Quality Standards</w:t>
      </w:r>
    </w:p>
    <w:p w:rsidR="00000000" w:rsidDel="00000000" w:rsidP="00000000" w:rsidRDefault="00000000" w:rsidRPr="00000000" w14:paraId="0000004D">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critical incident linked to rehabilitation or restorative care</w:t>
      </w:r>
    </w:p>
    <w:p w:rsidR="00000000" w:rsidDel="00000000" w:rsidP="00000000" w:rsidRDefault="00000000" w:rsidRPr="00000000" w14:paraId="0000004E">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recommendation from the Aged Care Quality and Safety Commission</w:t>
      </w:r>
    </w:p>
    <w:p w:rsidR="00000000" w:rsidDel="00000000" w:rsidP="00000000" w:rsidRDefault="00000000" w:rsidRPr="00000000" w14:paraId="0000004F">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significant change in the organisation's care model or staffing</w:t>
      </w:r>
    </w:p>
    <w:p w:rsidR="00000000" w:rsidDel="00000000" w:rsidP="00000000" w:rsidRDefault="00000000" w:rsidRPr="00000000" w14:paraId="000000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findings are presented to the Clinical Governance Committee and any updates are approved by [NAME AND POSITION] before implementation.</w:t>
      </w:r>
    </w:p>
    <w:p w:rsidR="00000000" w:rsidDel="00000000" w:rsidP="00000000" w:rsidRDefault="00000000" w:rsidRPr="00000000" w14:paraId="0000005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dxo8h8gwlbl7"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52">
      <w:pPr>
        <w:numPr>
          <w:ilvl w:val="0"/>
          <w:numId w:val="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Clinical Governance Framework Policy</w:t>
      </w:r>
    </w:p>
    <w:p w:rsidR="00000000" w:rsidDel="00000000" w:rsidP="00000000" w:rsidRDefault="00000000" w:rsidRPr="00000000" w14:paraId="00000053">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Falls Prevention and Management Policy</w:t>
      </w:r>
    </w:p>
    <w:p w:rsidR="00000000" w:rsidDel="00000000" w:rsidP="00000000" w:rsidRDefault="00000000" w:rsidRPr="00000000" w14:paraId="00000054">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Pain Assessment and Management Policy</w:t>
      </w:r>
    </w:p>
    <w:p w:rsidR="00000000" w:rsidDel="00000000" w:rsidP="00000000" w:rsidRDefault="00000000" w:rsidRPr="00000000" w14:paraId="00000055">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Wound Prevention and Management Policy</w:t>
      </w:r>
    </w:p>
    <w:p w:rsidR="00000000" w:rsidDel="00000000" w:rsidP="00000000" w:rsidRDefault="00000000" w:rsidRPr="00000000" w14:paraId="00000056">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Continence Management Policy</w:t>
      </w:r>
    </w:p>
    <w:p w:rsidR="00000000" w:rsidDel="00000000" w:rsidP="00000000" w:rsidRDefault="00000000" w:rsidRPr="00000000" w14:paraId="00000057">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Behaviour Support Policy</w:t>
      </w:r>
    </w:p>
    <w:p w:rsidR="00000000" w:rsidDel="00000000" w:rsidP="00000000" w:rsidRDefault="00000000" w:rsidRPr="00000000" w14:paraId="00000058">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Infection Prevention and Control Policy</w:t>
      </w:r>
    </w:p>
    <w:p w:rsidR="00000000" w:rsidDel="00000000" w:rsidP="00000000" w:rsidRDefault="00000000" w:rsidRPr="00000000" w14:paraId="00000059">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Rights and Dignity Policy</w:t>
      </w:r>
    </w:p>
    <w:p w:rsidR="00000000" w:rsidDel="00000000" w:rsidP="00000000" w:rsidRDefault="00000000" w:rsidRPr="00000000" w14:paraId="0000005A">
      <w:pPr>
        <w:numPr>
          <w:ilvl w:val="0"/>
          <w:numId w:val="6"/>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Allied Health Services Agreement (refer to relevant service contract)</w:t>
      </w:r>
    </w:p>
    <w:p w:rsidR="00000000" w:rsidDel="00000000" w:rsidP="00000000" w:rsidRDefault="00000000" w:rsidRPr="00000000" w14:paraId="0000005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howj6ulwruzi"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6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