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Oral Health Care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fom6x56ubbhd"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the obligations and procedures for [ORGANISATION NAME] in relation to the oral health care of all residents. It aims to protect residents from preventable oral disease, pain, and infection by establishing consistent assessment, care delivery, and referral practices across the service. The policy supports staff to deliver safe, respectful, and person-centred mouth care as part of each resident's overall care plan. It also forms part of the organisation's commitment to meeting its obligations under the Strengthened Aged Care Quality Standards.</w:t>
      </w:r>
    </w:p>
    <w:p w:rsidR="00000000" w:rsidDel="00000000" w:rsidP="00000000" w:rsidRDefault="00000000" w:rsidRPr="00000000" w14:paraId="0000000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kamy48ba3jb0"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employees, contractors, agency staff, and volunteers of [ORGANISATION NAME] who are involved in the direct care of residents, the planning of care, or the management of clinical services. It applies across all residential aged care sites operated by [ORGANISATION NAME]. Visiting dental professionals engaged by the organisation are expected to be aware of this policy and to work within its intent.</w:t>
      </w:r>
    </w:p>
    <w:p w:rsidR="00000000" w:rsidDel="00000000" w:rsidP="00000000" w:rsidRDefault="00000000" w:rsidRPr="00000000" w14:paraId="0000000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8a5blxnr5gov"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6480"/>
        <w:tblGridChange w:id="0">
          <w:tblGrid>
            <w:gridCol w:w="2265"/>
            <w:gridCol w:w="648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Oral health</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condition of the mouth, teeth, gums, and related structures, including the absence of pain, infection, and disease that impairs function, comfort, or wellbeing.</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Oral Health Assessment Tool (OHAT)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validated screening tool used in aged care to assess eight oral health domains and identify residents who require dental referral or changes to their care plan.</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Denture care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daily cleaning, storage, and maintenance of partial or full dentures to prevent plaque accumulation, stomatitis, and tissue irritation.</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Aspiration pneumonia</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lung infection caused by inhaling bacteria from the mouth or throat, which is a known risk when oral hygiene is poor in older adults.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Substitute decision-maker (SDM)</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legally authorised to make decisions on behalf of a resident who lacks the capacity to make those decisions themselves.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Xerostomia</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clinical term for dry mouth, a common condition in older adults that increases the risk of tooth decay, oral infections, and difficulty swallowing.</w:t>
            </w:r>
          </w:p>
        </w:tc>
      </w:tr>
    </w:tbl>
    <w:p w:rsidR="00000000" w:rsidDel="00000000" w:rsidP="00000000" w:rsidRDefault="00000000" w:rsidRPr="00000000" w14:paraId="0000001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7clchccnbopj"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has been developed in accordance with the following legislation, standards, and guidance:</w:t>
      </w:r>
    </w:p>
    <w:p w:rsidR="00000000" w:rsidDel="00000000" w:rsidP="00000000" w:rsidRDefault="00000000" w:rsidRPr="00000000" w14:paraId="0000001D">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 3: The Care and Services (effective from 1 July 2024)</w:t>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Aged Care Quality and Safety Commission guidance on oral health care in residential aged care</w:t>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Aged Care Act 1997 (Cth) and the Aged Care (Quality of Care) Principles 2014</w:t>
      </w:r>
    </w:p>
    <w:p w:rsidR="00000000" w:rsidDel="00000000" w:rsidP="00000000" w:rsidRDefault="00000000" w:rsidRPr="00000000" w14:paraId="00000020">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National Aged Care Mandatory Quality Indicator Programme (QI Programme)</w:t>
      </w:r>
    </w:p>
    <w:p w:rsidR="00000000" w:rsidDel="00000000" w:rsidP="00000000" w:rsidRDefault="00000000" w:rsidRPr="00000000" w14:paraId="00000021">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Australian Guidelines for the Prevention and Control of Infection in Healthcare (NHMRC, 2019)</w:t>
      </w:r>
    </w:p>
    <w:p w:rsidR="00000000" w:rsidDel="00000000" w:rsidP="00000000" w:rsidRDefault="00000000" w:rsidRPr="00000000" w14:paraId="00000022">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State and territory public dental service guidelines applicable to aged care residents</w:t>
      </w:r>
    </w:p>
    <w:p w:rsidR="00000000" w:rsidDel="00000000" w:rsidP="00000000" w:rsidRDefault="00000000" w:rsidRPr="00000000" w14:paraId="00000023">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w8ag8feiudx0"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protecting and maintaining the oral health of every resident in our care. We recognise that oral health is integral to a person's overall health, dignity, and quality of life, and that residents have the right to receive timely, respectful, and evidence-based oral health care. Our staff will assess each resident's oral health needs on admission and at regular intervals throughout their stay, and will act promptly when concerns are identified. We will support residents to exercise choice and control over their oral health care to the greatest extent possible, including through informed consent and involvement of substitute decision-makers where required. This organisation will maintain the staffing skills, equipment, and referral pathways needed to meet this commitment.</w:t>
      </w:r>
    </w:p>
    <w:p w:rsidR="00000000" w:rsidDel="00000000" w:rsidP="00000000" w:rsidRDefault="00000000" w:rsidRPr="00000000" w14:paraId="00000025">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6xpv7urpqdex"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315"/>
        <w:tblGridChange w:id="0">
          <w:tblGrid>
            <w:gridCol w:w="2445"/>
            <w:gridCol w:w="631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Nursing / Clinical Lead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Oversees implementation of this policy; reviews audit results; approves updates; addresses systemic gaps identified through monitoring.</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Nurses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oral health assessments using the OHAT on admission and at review; update care plans; make referrals to dental services; supervise and support personal care workers.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Care Workers / Assistants in Nursing</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 daily oral hygiene care as documented in each resident's care plan; report concerns to the registered nurse; complete required training.</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 Coordinator / Case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Coordinates dental appointments and transport; liaises with families and substitute decision-makers regarding oral health care decisions; documents follow-up actions.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for ensuring adequate supplies, equipment, and staffing to support safe oral health care delivery; supports policy compliance across the service.</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Visiting Dental Professionals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specialist oral health assessment and treatment; communicate findings and recommendations to the care team in writing; participate in care planning where appropriate.</w:t>
            </w:r>
          </w:p>
        </w:tc>
      </w:tr>
    </w:tbl>
    <w:p w:rsidR="00000000" w:rsidDel="00000000" w:rsidP="00000000" w:rsidRDefault="00000000" w:rsidRPr="00000000" w14:paraId="00000034">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xlrnpzjpcwap"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5">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Admission oral health assessment.</w:t>
      </w:r>
      <w:r w:rsidDel="00000000" w:rsidR="00000000" w:rsidRPr="00000000">
        <w:rPr>
          <w:rFonts w:ascii="Times New Roman" w:cs="Times New Roman" w:eastAsia="Times New Roman" w:hAnsi="Times New Roman"/>
          <w:sz w:val="24"/>
          <w:szCs w:val="24"/>
          <w:rtl w:val="0"/>
        </w:rPr>
        <w:t xml:space="preserve"> Within 48 hours of admission, the admitting registered nurse will complete an OHAT assessment for the resident. Findings will be recorded in the resident's clinical record and used to develop or update the oral health component of their care plan. If the assessment identifies a score indicating possible oral health problems, a referral to a dental professional will be initiated within 14 days.</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Care plan development.</w:t>
      </w:r>
      <w:r w:rsidDel="00000000" w:rsidR="00000000" w:rsidRPr="00000000">
        <w:rPr>
          <w:rFonts w:ascii="Times New Roman" w:cs="Times New Roman" w:eastAsia="Times New Roman" w:hAnsi="Times New Roman"/>
          <w:sz w:val="24"/>
          <w:szCs w:val="24"/>
          <w:rtl w:val="0"/>
        </w:rPr>
        <w:t xml:space="preserve"> Based on the OHAT assessment, the registered nurse will document specific oral health goals, daily care routines, and equipment needs in the resident's care plan. Care plans must be written in plain language that personal care workers can follow independently. The resident and, where appropriate, their substitute decision-maker will be consulted in care plan development.</w:t>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Daily oral hygiene care.</w:t>
      </w:r>
      <w:r w:rsidDel="00000000" w:rsidR="00000000" w:rsidRPr="00000000">
        <w:rPr>
          <w:rFonts w:ascii="Times New Roman" w:cs="Times New Roman" w:eastAsia="Times New Roman" w:hAnsi="Times New Roman"/>
          <w:sz w:val="24"/>
          <w:szCs w:val="24"/>
          <w:rtl w:val="0"/>
        </w:rPr>
        <w:t xml:space="preserve"> Personal care workers will deliver oral hygiene care at least twice daily, in line with each resident's care plan. This includes toothbrushing with fluoride toothpaste, denture cleaning and overnight storage in clean water, oral rinse where indicated, and lip moisture application as needed. Staff will use gloves and follow standard infection control precautions for all oral care activities.</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Managing residents who decline or resist care.</w:t>
      </w:r>
      <w:r w:rsidDel="00000000" w:rsidR="00000000" w:rsidRPr="00000000">
        <w:rPr>
          <w:rFonts w:ascii="Times New Roman" w:cs="Times New Roman" w:eastAsia="Times New Roman" w:hAnsi="Times New Roman"/>
          <w:sz w:val="24"/>
          <w:szCs w:val="24"/>
          <w:rtl w:val="0"/>
        </w:rPr>
        <w:t xml:space="preserve"> Where a resident declines oral care, the personal care worker will offer care at a different time, adjust technique or equipment, and document the refusal in the resident's record. Persistent refusal or distress during care will be escalated to the registered nurse, who will review the care plan and consider alternative strategies or referral for specialist input. Refusal will never result in oral care being permanently discontinued without a formal clinical review.</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Ongoing assessment and review.</w:t>
      </w:r>
      <w:r w:rsidDel="00000000" w:rsidR="00000000" w:rsidRPr="00000000">
        <w:rPr>
          <w:rFonts w:ascii="Times New Roman" w:cs="Times New Roman" w:eastAsia="Times New Roman" w:hAnsi="Times New Roman"/>
          <w:sz w:val="24"/>
          <w:szCs w:val="24"/>
          <w:rtl w:val="0"/>
        </w:rPr>
        <w:t xml:space="preserve"> Oral health assessments will be repeated every six months for all residents, or sooner following hospitalisation, a significant change in health status, commencement of new medications with oral side effects (such as xerostomia-causing drugs), or at the resident's or family's request. Updated OHAT scores will be compared against previous results and care plans adjusted accordingly.</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Dental referral and access.</w:t>
      </w:r>
      <w:r w:rsidDel="00000000" w:rsidR="00000000" w:rsidRPr="00000000">
        <w:rPr>
          <w:rFonts w:ascii="Times New Roman" w:cs="Times New Roman" w:eastAsia="Times New Roman" w:hAnsi="Times New Roman"/>
          <w:sz w:val="24"/>
          <w:szCs w:val="24"/>
          <w:rtl w:val="0"/>
        </w:rPr>
        <w:t xml:space="preserve"> Residents will have access to routine dental services at least annually. The care coordinator will arrange appointments with the facility's preferred dental provider or support the resident to access their own dentist. Emergency dental referrals will be arranged within 24 hours of a concern being identified. All dental appointment outcomes and recommendations will be documented in the clinical record and acted on within the timeframes specified by the dental professional.</w:t>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Infection control and equipment management.</w:t>
      </w:r>
      <w:r w:rsidDel="00000000" w:rsidR="00000000" w:rsidRPr="00000000">
        <w:rPr>
          <w:rFonts w:ascii="Times New Roman" w:cs="Times New Roman" w:eastAsia="Times New Roman" w:hAnsi="Times New Roman"/>
          <w:sz w:val="24"/>
          <w:szCs w:val="24"/>
          <w:rtl w:val="0"/>
        </w:rPr>
        <w:t xml:space="preserve"> All oral care equipment, including toothbrushes, denture containers, and suction devices, will be labelled with the resident's name and stored hygienically. Toothbrushes will be replaced at least every three months or following illness. Shared equipment will not be used between residents. Staff will follow the facility's infection control policy for all oral health care activities.</w:t>
      </w:r>
    </w:p>
    <w:p w:rsidR="00000000" w:rsidDel="00000000" w:rsidP="00000000" w:rsidRDefault="00000000" w:rsidRPr="00000000" w14:paraId="0000003C">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Staff training and competency.</w:t>
      </w:r>
      <w:r w:rsidDel="00000000" w:rsidR="00000000" w:rsidRPr="00000000">
        <w:rPr>
          <w:rFonts w:ascii="Times New Roman" w:cs="Times New Roman" w:eastAsia="Times New Roman" w:hAnsi="Times New Roman"/>
          <w:sz w:val="24"/>
          <w:szCs w:val="24"/>
          <w:rtl w:val="0"/>
        </w:rPr>
        <w:t xml:space="preserve"> All new staff who provide personal care will complete oral health care training as part of their induction. Annual refresher training will be provided to all relevant staff. Training records will be maintained and reviewed by the Director of Nursing as part of the annual clinical governance review cycle.</w:t>
      </w:r>
    </w:p>
    <w:p w:rsidR="00000000" w:rsidDel="00000000" w:rsidP="00000000" w:rsidRDefault="00000000" w:rsidRPr="00000000" w14:paraId="0000003D">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l2nrx8nb62nx"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3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every two years, or earlier if there are changes to relevant legislation, quality standards, or ACQSC guidance. The Director of Nursing is responsible for initiating and overseeing the review process.</w:t>
      </w:r>
    </w:p>
    <w:p w:rsidR="00000000" w:rsidDel="00000000" w:rsidP="00000000" w:rsidRDefault="00000000" w:rsidRPr="00000000" w14:paraId="0000003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with this policy will be monitored through the following activities:</w:t>
      </w:r>
    </w:p>
    <w:p w:rsidR="00000000" w:rsidDel="00000000" w:rsidP="00000000" w:rsidRDefault="00000000" w:rsidRPr="00000000" w14:paraId="00000040">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Quarterly clinical audits of oral health assessment completion rates and care plan currency</w:t>
      </w:r>
    </w:p>
    <w:p w:rsidR="00000000" w:rsidDel="00000000" w:rsidP="00000000" w:rsidRDefault="00000000" w:rsidRPr="00000000" w14:paraId="00000041">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Review of incident and near-miss reports related to oral health</w:t>
      </w:r>
    </w:p>
    <w:p w:rsidR="00000000" w:rsidDel="00000000" w:rsidP="00000000" w:rsidRDefault="00000000" w:rsidRPr="00000000" w14:paraId="00000042">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training compliance reports reviewed at least annually</w:t>
      </w:r>
    </w:p>
    <w:p w:rsidR="00000000" w:rsidDel="00000000" w:rsidP="00000000" w:rsidRDefault="00000000" w:rsidRPr="00000000" w14:paraId="00000043">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 and family satisfaction feedback collected through the organisation's standard feedback processes</w:t>
      </w:r>
    </w:p>
    <w:p w:rsidR="00000000" w:rsidDel="00000000" w:rsidP="00000000" w:rsidRDefault="00000000" w:rsidRPr="00000000" w14:paraId="00000044">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Annual review of dental referral records to confirm residents are receiving routine dental care</w:t>
      </w:r>
    </w:p>
    <w:p w:rsidR="00000000" w:rsidDel="00000000" w:rsidP="00000000" w:rsidRDefault="00000000" w:rsidRPr="00000000" w14:paraId="000000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 findings will be reported to the clinical governance committee and any identified gaps will be addressed through a documented improvement plan.</w:t>
      </w:r>
    </w:p>
    <w:p w:rsidR="00000000" w:rsidDel="00000000" w:rsidP="00000000" w:rsidRDefault="00000000" w:rsidRPr="00000000" w14:paraId="00000046">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jm7wh2602bxg"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7">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Nutrition and Hydration Policy</w:t>
      </w:r>
    </w:p>
    <w:p w:rsidR="00000000" w:rsidDel="00000000" w:rsidP="00000000" w:rsidRDefault="00000000" w:rsidRPr="00000000" w14:paraId="00000048">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Clinical Governance Framework Policy</w:t>
      </w:r>
    </w:p>
    <w:p w:rsidR="00000000" w:rsidDel="00000000" w:rsidP="00000000" w:rsidRDefault="00000000" w:rsidRPr="00000000" w14:paraId="00000049">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Infection Prevention and Control Policy</w:t>
      </w:r>
    </w:p>
    <w:p w:rsidR="00000000" w:rsidDel="00000000" w:rsidP="00000000" w:rsidRDefault="00000000" w:rsidRPr="00000000" w14:paraId="0000004A">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Medication Management Policy</w:t>
      </w:r>
    </w:p>
    <w:p w:rsidR="00000000" w:rsidDel="00000000" w:rsidP="00000000" w:rsidRDefault="00000000" w:rsidRPr="00000000" w14:paraId="0000004B">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Consent and Decision-Making Policy</w:t>
      </w:r>
    </w:p>
    <w:p w:rsidR="00000000" w:rsidDel="00000000" w:rsidP="00000000" w:rsidRDefault="00000000" w:rsidRPr="00000000" w14:paraId="0000004C">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Incident Management and Reporting Policy</w:t>
      </w:r>
    </w:p>
    <w:p w:rsidR="00000000" w:rsidDel="00000000" w:rsidP="00000000" w:rsidRDefault="00000000" w:rsidRPr="00000000" w14:paraId="0000004D">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Oral Health Assessment Tool (OHAT) Procedure Guide</w:t>
      </w:r>
    </w:p>
    <w:p w:rsidR="00000000" w:rsidDel="00000000" w:rsidP="00000000" w:rsidRDefault="00000000" w:rsidRPr="00000000" w14:paraId="0000004E">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uqw20devmfyb"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25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