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Third-Party and Subcontractor Management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yn6gfj6o1iqe"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requirements for selecting, engaging, monitoring, and reviewing third-party providers and subcontractors who deliver services on behalf of [ORGANISATION NAME]. It supports the organisation's obligation to maintain accountability for all services provided to aged care recipients, regardless of whether those services are delivered directly or through an external party.</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policy gives staff, managers, and the governing body a consistent framework for contractor governance. It connects contractor oversight to the organisation's broader risk management, incident management, and governance processes.</w:t>
      </w:r>
    </w:p>
    <w:p w:rsidR="00000000" w:rsidDel="00000000" w:rsidP="00000000" w:rsidRDefault="00000000" w:rsidRPr="00000000" w14:paraId="0000000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q8qubevgw12q"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0E">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employees with responsibility for engaging, managing, or reviewing third-party providers or subcontractors</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external organisations and individuals engaged under a contract, service agreement, or subcontract to deliver services on behalf of [ORGANISATION NAME]</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service types, including but not limited to: cleaning, catering, laundry, maintenance, allied health, nursing agency staff, transport, IT services, and security</w:t>
      </w:r>
    </w:p>
    <w:p w:rsidR="00000000" w:rsidDel="00000000" w:rsidP="00000000" w:rsidRDefault="00000000" w:rsidRPr="00000000" w14:paraId="00000011">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Both ongoing and short-term contractor arrangements</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across all facilities and service delivery locations operated by [ORGANISATION NAME].</w:t>
      </w:r>
    </w:p>
    <w:p w:rsidR="00000000" w:rsidDel="00000000" w:rsidP="00000000" w:rsidRDefault="00000000" w:rsidRPr="00000000" w14:paraId="00000013">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55vhsjmfauwr"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55"/>
        <w:gridCol w:w="6990"/>
        <w:tblGridChange w:id="0">
          <w:tblGrid>
            <w:gridCol w:w="1755"/>
            <w:gridCol w:w="699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Third-party provider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external organisation or individual engaged by [ORGANISATION NAME] to supply goods or services that support care delivery or business operations, but who is not directly employed by the organisation.</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Subcontractor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organisation or individual engaged by [ORGANISATION NAME] to perform a specific component of a service that the organisation is responsible for delivering under its approval or funding agreement.</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diligence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of assessing a prospective contractor's qualifications, registrations, insurance, compliance history, and suitability before engagement.</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agreement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written document that outlines the terms of engagement between [ORGANISATION NAME] and a third-party provider, including scope of services, performance expectations, reporting obligations, and termination conditions.</w:t>
            </w:r>
          </w:p>
        </w:tc>
      </w:tr>
      <w:tr>
        <w:trPr>
          <w:cantSplit w:val="0"/>
          <w:trHeight w:val="75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Approved provider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organisation approved by the Australian Government to deliver aged care services under the Aged Care Act 2024.</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review</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structured assessment of a contractor's performance against agreed standards, conducted at regular intervals or in response to a specific concern or incident.</w:t>
            </w:r>
          </w:p>
        </w:tc>
      </w:tr>
    </w:tbl>
    <w:p w:rsidR="00000000" w:rsidDel="00000000" w:rsidP="00000000" w:rsidRDefault="00000000" w:rsidRPr="00000000" w14:paraId="0000002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52erfkhq7za4"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reflects the obligations set out in the following legislation, standards, and guidelines:</w:t>
      </w:r>
    </w:p>
    <w:p w:rsidR="00000000" w:rsidDel="00000000" w:rsidP="00000000" w:rsidRDefault="00000000" w:rsidRPr="00000000" w14:paraId="00000024">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2024</w:t>
      </w:r>
      <w:r w:rsidDel="00000000" w:rsidR="00000000" w:rsidRPr="00000000">
        <w:rPr>
          <w:rFonts w:ascii="Times New Roman" w:cs="Times New Roman" w:eastAsia="Times New Roman" w:hAnsi="Times New Roman"/>
          <w:sz w:val="24"/>
          <w:szCs w:val="24"/>
          <w:rtl w:val="0"/>
        </w:rPr>
        <w:t xml:space="preserve">: Places responsibility on approved providers for all services delivered under their approval, including those delivered by third parties or subcontractors. Includes partner and contractor oversight requirements under the provider obligations framework.</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Strengthened Aged Care Quality Standard 2 (The Organisation)</w:t>
      </w:r>
      <w:r w:rsidDel="00000000" w:rsidR="00000000" w:rsidRPr="00000000">
        <w:rPr>
          <w:rFonts w:ascii="Times New Roman" w:cs="Times New Roman" w:eastAsia="Times New Roman" w:hAnsi="Times New Roman"/>
          <w:sz w:val="24"/>
          <w:szCs w:val="24"/>
          <w:rtl w:val="0"/>
        </w:rPr>
        <w:t xml:space="preserve">: Requires governing bodies to exercise oversight of all service delivery arrangements, including contracts with external parties, and to demonstrate accountability for quality and safety outcomes.</w:t>
      </w:r>
    </w:p>
    <w:p w:rsidR="00000000" w:rsidDel="00000000" w:rsidP="00000000" w:rsidRDefault="00000000" w:rsidRPr="00000000" w14:paraId="00000026">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Work Health and Safety Act 2011 (Cth) and applicable state/territory legislation</w:t>
      </w:r>
      <w:r w:rsidDel="00000000" w:rsidR="00000000" w:rsidRPr="00000000">
        <w:rPr>
          <w:rFonts w:ascii="Times New Roman" w:cs="Times New Roman" w:eastAsia="Times New Roman" w:hAnsi="Times New Roman"/>
          <w:sz w:val="24"/>
          <w:szCs w:val="24"/>
          <w:rtl w:val="0"/>
        </w:rPr>
        <w:t xml:space="preserve">: Requires organisations to manage WHS risks associated with contractors working on-site.</w:t>
      </w:r>
    </w:p>
    <w:p w:rsidR="00000000" w:rsidDel="00000000" w:rsidP="00000000" w:rsidRDefault="00000000" w:rsidRPr="00000000" w14:paraId="00000027">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Privacy Act 1988 (Cth)</w:t>
      </w:r>
      <w:r w:rsidDel="00000000" w:rsidR="00000000" w:rsidRPr="00000000">
        <w:rPr>
          <w:rFonts w:ascii="Times New Roman" w:cs="Times New Roman" w:eastAsia="Times New Roman" w:hAnsi="Times New Roman"/>
          <w:sz w:val="24"/>
          <w:szCs w:val="24"/>
          <w:rtl w:val="0"/>
        </w:rPr>
        <w:t xml:space="preserve">: Requires that any contractor handling personal or health information of care recipients does so in compliance with the Australian Privacy Principles.</w:t>
      </w:r>
    </w:p>
    <w:p w:rsidR="00000000" w:rsidDel="00000000" w:rsidP="00000000" w:rsidRDefault="00000000" w:rsidRPr="00000000" w14:paraId="00000028">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National Disability Insurance Scheme Act 2013</w:t>
      </w:r>
      <w:r w:rsidDel="00000000" w:rsidR="00000000" w:rsidRPr="00000000">
        <w:rPr>
          <w:rFonts w:ascii="Times New Roman" w:cs="Times New Roman" w:eastAsia="Times New Roman" w:hAnsi="Times New Roman"/>
          <w:sz w:val="24"/>
          <w:szCs w:val="24"/>
          <w:rtl w:val="0"/>
        </w:rPr>
        <w:t xml:space="preserve">: Where applicable to dual-registered providers.</w:t>
      </w:r>
    </w:p>
    <w:p w:rsidR="00000000" w:rsidDel="00000000" w:rsidP="00000000" w:rsidRDefault="00000000" w:rsidRPr="00000000" w14:paraId="00000029">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and Safety Commission Act 2018</w:t>
      </w:r>
      <w:r w:rsidDel="00000000" w:rsidR="00000000" w:rsidRPr="00000000">
        <w:rPr>
          <w:rFonts w:ascii="Times New Roman" w:cs="Times New Roman" w:eastAsia="Times New Roman" w:hAnsi="Times New Roman"/>
          <w:sz w:val="24"/>
          <w:szCs w:val="24"/>
          <w:rtl w:val="0"/>
        </w:rPr>
        <w:t xml:space="preserve">: Provides the regulatory framework under which compliance with quality standards is assessed and enforced.</w:t>
      </w:r>
    </w:p>
    <w:p w:rsidR="00000000" w:rsidDel="00000000" w:rsidP="00000000" w:rsidRDefault="00000000" w:rsidRPr="00000000" w14:paraId="0000002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xb27sa8n44y"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maintaining full accountability for the quality and safety of all services delivered to aged care recipients, including those delivered through third-party providers and subcontractors. We acknowledge that engaging external parties does not reduce our obligations under the Aged Care Act 2024 or the Strengthened Aged Care Quality Standards.</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contractors engaged by [ORGANISATION NAME] must meet the same standards of conduct, competence, and care that apply to direct employees. We will apply consistent due diligence processes before engagement and maintain active oversight throughout the life of each contractor relationship.</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governing body of [ORGANISATION NAME] is accountable for approving the organisation's approach to contractor management and for receiving regular reports on contractor performance as part of its governance responsibilities. Any contractor performance issues that affect resident safety or care quality will be escalated promptly and managed in accordance with our incident management and risk management frameworks.</w:t>
      </w:r>
    </w:p>
    <w:p w:rsidR="00000000" w:rsidDel="00000000" w:rsidP="00000000" w:rsidRDefault="00000000" w:rsidRPr="00000000" w14:paraId="0000002E">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dskii0gzopui"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05"/>
        <w:gridCol w:w="6555"/>
        <w:tblGridChange w:id="0">
          <w:tblGrid>
            <w:gridCol w:w="2205"/>
            <w:gridCol w:w="655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Governing Body / Board</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Approves this policy and the organisation's overall approach to third-party management. Receives regular reporting on contractor performance and any significant non-compliance issues. Holds executive leadership accountable for contractor oversight arrangements.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Executive Officer / General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Responsible for implementing this policy across the organisation. Approves high-value or high-risk contractor engagements. Reports contractor performance matters to the governing body as required.</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Officer / Quality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Maintains the contractor register. Coordinates due diligence processes for new engagements. Monitors contractor performance data and escalates concerns. Manages this policy's review cycle.</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Nursing / Care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Oversees contractors delivering clinical or care-related services. Reports incidents or performance issues involving contractors. Participates in contractor performance reviews as required.</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 Operations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Manages day-to-day contractor relationships for facilities and hotel services. Conducts routine monitoring of contractor performance. Maintains site-level contractor documentation including inductions and access records.</w:t>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Third-Party Providers and Subcontractors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Comply with all terms of their service agreement. Maintain current licences, registrations, and insurances. Report incidents, near misses, or concerns to their [ORGANISATION NAME] contact without delay. Cooperate with performance monitoring and audit processes.</w:t>
            </w:r>
          </w:p>
        </w:tc>
      </w:tr>
    </w:tbl>
    <w:p w:rsidR="00000000" w:rsidDel="00000000" w:rsidP="00000000" w:rsidRDefault="00000000" w:rsidRPr="00000000" w14:paraId="0000003D">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avsawwbgsqpd"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E">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Identify the need and assess risk.</w:t>
      </w:r>
      <w:r w:rsidDel="00000000" w:rsidR="00000000" w:rsidRPr="00000000">
        <w:rPr>
          <w:rFonts w:ascii="Times New Roman" w:cs="Times New Roman" w:eastAsia="Times New Roman" w:hAnsi="Times New Roman"/>
          <w:sz w:val="24"/>
          <w:szCs w:val="24"/>
          <w:rtl w:val="0"/>
        </w:rPr>
        <w:t xml:space="preserve"> Before engaging any third-party provider or subcontractor, the responsible manager must document the service need and assess the associated risks, including risks to resident safety, information privacy, WHS, and continuity of care. High-risk engagements require approval from the CEO or General Manager before proceeding.</w:t>
      </w:r>
    </w:p>
    <w:p w:rsidR="00000000" w:rsidDel="00000000" w:rsidP="00000000" w:rsidRDefault="00000000" w:rsidRPr="00000000" w14:paraId="0000003F">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Conduct due diligence on prospective contractors.</w:t>
      </w:r>
      <w:r w:rsidDel="00000000" w:rsidR="00000000" w:rsidRPr="00000000">
        <w:rPr>
          <w:rFonts w:ascii="Times New Roman" w:cs="Times New Roman" w:eastAsia="Times New Roman" w:hAnsi="Times New Roman"/>
          <w:sz w:val="24"/>
          <w:szCs w:val="24"/>
          <w:rtl w:val="0"/>
        </w:rPr>
        <w:t xml:space="preserve"> The Compliance Officer or responsible manager must verify each prospective contractor's relevant licences and registrations, public liability and professional indemnity insurance, police checks or Working With Vulnerable People checks where applicable, compliance history, and references from other aged care or health sector clients. Outcomes of due diligence must be documented and kept on the contractor's file.</w:t>
      </w:r>
    </w:p>
    <w:p w:rsidR="00000000" w:rsidDel="00000000" w:rsidP="00000000" w:rsidRDefault="00000000" w:rsidRPr="00000000" w14:paraId="00000040">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Prepare and execute a written service agreement.</w:t>
      </w:r>
      <w:r w:rsidDel="00000000" w:rsidR="00000000" w:rsidRPr="00000000">
        <w:rPr>
          <w:rFonts w:ascii="Times New Roman" w:cs="Times New Roman" w:eastAsia="Times New Roman" w:hAnsi="Times New Roman"/>
          <w:sz w:val="24"/>
          <w:szCs w:val="24"/>
          <w:rtl w:val="0"/>
        </w:rPr>
        <w:t xml:space="preserve"> All contractor engagements must be documented in a signed service agreement before work commences. The agreement must specify the scope of services, performance standards and key performance indicators, confidentiality and privacy obligations, incident reporting requirements, the contractor's obligation to comply with aged care legislation and quality standards, and the termination and exit process.</w:t>
      </w:r>
    </w:p>
    <w:p w:rsidR="00000000" w:rsidDel="00000000" w:rsidP="00000000" w:rsidRDefault="00000000" w:rsidRPr="00000000" w14:paraId="00000041">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Complete contractor induction.</w:t>
      </w:r>
      <w:r w:rsidDel="00000000" w:rsidR="00000000" w:rsidRPr="00000000">
        <w:rPr>
          <w:rFonts w:ascii="Times New Roman" w:cs="Times New Roman" w:eastAsia="Times New Roman" w:hAnsi="Times New Roman"/>
          <w:sz w:val="24"/>
          <w:szCs w:val="24"/>
          <w:rtl w:val="0"/>
        </w:rPr>
        <w:t xml:space="preserve"> Before a contractor begins on-site or service-delivery work, the responsible manager must provide an induction covering the organisation's policies relevant to their role, emergency procedures, infection control requirements, resident rights and dignity obligations, and the process for reporting incidents or concerns.</w:t>
      </w:r>
    </w:p>
    <w:p w:rsidR="00000000" w:rsidDel="00000000" w:rsidP="00000000" w:rsidRDefault="00000000" w:rsidRPr="00000000" w14:paraId="00000042">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Add the contractor to the contractor register.</w:t>
      </w:r>
      <w:r w:rsidDel="00000000" w:rsidR="00000000" w:rsidRPr="00000000">
        <w:rPr>
          <w:rFonts w:ascii="Times New Roman" w:cs="Times New Roman" w:eastAsia="Times New Roman" w:hAnsi="Times New Roman"/>
          <w:sz w:val="24"/>
          <w:szCs w:val="24"/>
          <w:rtl w:val="0"/>
        </w:rPr>
        <w:t xml:space="preserve"> The Compliance Officer must record all active contractors in the central contractor register, including contact details, service type, agreement start and end dates, insurance expiry dates, and the next scheduled performance review date. The register must be reviewed at least quarterly to confirm all insurances and registrations remain current.</w:t>
      </w:r>
    </w:p>
    <w:p w:rsidR="00000000" w:rsidDel="00000000" w:rsidP="00000000" w:rsidRDefault="00000000" w:rsidRPr="00000000" w14:paraId="00000043">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Monitor performance on an ongoing basis.</w:t>
      </w:r>
      <w:r w:rsidDel="00000000" w:rsidR="00000000" w:rsidRPr="00000000">
        <w:rPr>
          <w:rFonts w:ascii="Times New Roman" w:cs="Times New Roman" w:eastAsia="Times New Roman" w:hAnsi="Times New Roman"/>
          <w:sz w:val="24"/>
          <w:szCs w:val="24"/>
          <w:rtl w:val="0"/>
        </w:rPr>
        <w:t xml:space="preserve"> The responsible manager must conduct regular performance monitoring throughout the contractor engagement. This includes reviewing service delivery against agreed standards, collecting feedback from residents and staff, and documenting any concerns or incidents involving the contractor. Performance issues must be raised with the contractor in writing and a record kept of any corrective actions agreed.</w:t>
      </w:r>
    </w:p>
    <w:p w:rsidR="00000000" w:rsidDel="00000000" w:rsidP="00000000" w:rsidRDefault="00000000" w:rsidRPr="00000000" w14:paraId="00000044">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Conduct formal performance reviews.</w:t>
      </w:r>
      <w:r w:rsidDel="00000000" w:rsidR="00000000" w:rsidRPr="00000000">
        <w:rPr>
          <w:rFonts w:ascii="Times New Roman" w:cs="Times New Roman" w:eastAsia="Times New Roman" w:hAnsi="Times New Roman"/>
          <w:sz w:val="24"/>
          <w:szCs w:val="24"/>
          <w:rtl w:val="0"/>
        </w:rPr>
        <w:t xml:space="preserve"> A structured performance review must be conducted at least annually for all ongoing contractors, or more frequently for high-risk engagements. Review outcomes must be documented and escalated to the Compliance Officer and, where significant, to the CEO or governing body.</w:t>
      </w:r>
    </w:p>
    <w:p w:rsidR="00000000" w:rsidDel="00000000" w:rsidP="00000000" w:rsidRDefault="00000000" w:rsidRPr="00000000" w14:paraId="00000045">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Manage contractor exit or termination.</w:t>
      </w:r>
      <w:r w:rsidDel="00000000" w:rsidR="00000000" w:rsidRPr="00000000">
        <w:rPr>
          <w:rFonts w:ascii="Times New Roman" w:cs="Times New Roman" w:eastAsia="Times New Roman" w:hAnsi="Times New Roman"/>
          <w:sz w:val="24"/>
          <w:szCs w:val="24"/>
          <w:rtl w:val="0"/>
        </w:rPr>
        <w:t xml:space="preserve"> When a contractor engagement ends, the responsible manager must confirm that all resident data and confidential information held by the contractor is returned or destroyed in accordance with privacy obligations, that access to premises and systems is revoked, and that a transition plan is in place to avoid any gap in service delivery. Exit documentation must be retained on the contractor's file.</w:t>
      </w:r>
    </w:p>
    <w:p w:rsidR="00000000" w:rsidDel="00000000" w:rsidP="00000000" w:rsidRDefault="00000000" w:rsidRPr="00000000" w14:paraId="00000046">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b7z2bunw3nc6"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every 12 months or sooner if there is a relevant change in legislation, standards, or the organisation's service delivery model. The Compliance Officer is responsible for coordinating the review and presenting any proposed changes to the CEO and governing body for approval.</w:t>
      </w:r>
    </w:p>
    <w:p w:rsidR="00000000" w:rsidDel="00000000" w:rsidP="00000000" w:rsidRDefault="00000000" w:rsidRPr="00000000" w14:paraId="0000004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 compliance will be monitored through quarterly contractor register audits, incident reports involving contractors, and feedback gathered through resident and staff surveys. Any systemic issues identified through monitoring will be incorporated into the next policy review cycle.</w:t>
      </w:r>
    </w:p>
    <w:p w:rsidR="00000000" w:rsidDel="00000000" w:rsidP="00000000" w:rsidRDefault="00000000" w:rsidRPr="00000000" w14:paraId="0000004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vr56pid3l1wy"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A">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Risk Management Policy</w:t>
      </w:r>
    </w:p>
    <w:p w:rsidR="00000000" w:rsidDel="00000000" w:rsidP="00000000" w:rsidRDefault="00000000" w:rsidRPr="00000000" w14:paraId="0000004B">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Governance and Board Accountability Policy</w:t>
      </w:r>
    </w:p>
    <w:p w:rsidR="00000000" w:rsidDel="00000000" w:rsidP="00000000" w:rsidRDefault="00000000" w:rsidRPr="00000000" w14:paraId="0000004C">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Incident and Accident Management Policy</w:t>
      </w:r>
    </w:p>
    <w:p w:rsidR="00000000" w:rsidDel="00000000" w:rsidP="00000000" w:rsidRDefault="00000000" w:rsidRPr="00000000" w14:paraId="0000004D">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Privacy and Confidentiality Policy</w:t>
      </w:r>
    </w:p>
    <w:p w:rsidR="00000000" w:rsidDel="00000000" w:rsidP="00000000" w:rsidRDefault="00000000" w:rsidRPr="00000000" w14:paraId="0000004E">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Work Health and Safety Policy</w:t>
      </w:r>
    </w:p>
    <w:p w:rsidR="00000000" w:rsidDel="00000000" w:rsidP="00000000" w:rsidRDefault="00000000" w:rsidRPr="00000000" w14:paraId="0000004F">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Contractor Induction Checklist [FORM NUMBER]</w:t>
      </w:r>
    </w:p>
    <w:p w:rsidR="00000000" w:rsidDel="00000000" w:rsidP="00000000" w:rsidRDefault="00000000" w:rsidRPr="00000000" w14:paraId="00000050">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Contractor Register [DOCUMENT NUMBER]</w:t>
      </w:r>
    </w:p>
    <w:p w:rsidR="00000000" w:rsidDel="00000000" w:rsidP="00000000" w:rsidRDefault="00000000" w:rsidRPr="00000000" w14:paraId="00000051">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Service Agreement Template [DOCUMENT NUMBER]</w:t>
      </w:r>
    </w:p>
    <w:p w:rsidR="00000000" w:rsidDel="00000000" w:rsidP="00000000" w:rsidRDefault="00000000" w:rsidRPr="00000000" w14:paraId="0000005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xc6zlunbcy1c"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25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