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Conflict of Interest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adc3ps6n2bp"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for identifying, disclosing, and managing conflicts of interest within [ORGANISATION NAME]. It sets clear expectations for all staff, volunteers, contractors, and governing body members to act with integrity and in the best interests of residents at all times. The policy supports the organisation's obligations under the Aged Care Act 2024 and the Strengthened Aged Care Quality Standards by maintaining transparent and accountable governance. It also protects individuals from allegations of impropriety by providing a structured process for managing situations where personal and professional interests may intersect.</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23yn4wmbxtvn"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persons associated with [ORGANISATION NAME], including:</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Members of the governing body (board directors, trustees, or committee members)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Chief Executive Officer and executive leadership team</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paid employees, regardless of employment type or hours worked</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 placements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consultants, and third-party service providers engaged by the organisation</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conflicts arising in the course of work duties, during decision-making processes, and in relation to procurement, recruitment, or resource allocation.</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8vr3bc18sga"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6855"/>
        <w:tblGridChange w:id="0">
          <w:tblGrid>
            <w:gridCol w:w="1890"/>
            <w:gridCol w:w="685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of Interest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situation in which a person's private interests (financial, personal, or professional) could improperly influence, or appear to influence, the performance of their duties to the organisation or to residents.</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 Conflict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conflict that currently exists, where a person's private interests directly conflict with their professional responsibilities.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Perceived Conflict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situation that a reasonable person could consider to be a conflict of interest, even if the person involved does not believe their judgement would be affected.</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Conflict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situation that may develop into a conflict of interest in the future, based on current or anticipated circumstances.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Conflicts of Interest Register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record maintained by the organisation documenting all disclosed conflicts, the decisions made in response, and any management actions taken.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Person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defined under the Aged Care Act 2024, a person who is a director, board member, chief executive, or other person responsible for the management or control of an approved provider.</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10movq40hik"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in accordance with the following legislation, regulations, and standards:</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(Cth), including governance obligations for approved providers and responsible persons</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2: The Organisation, which requires governing bodies to demonstrate integrity, manage organisational risk, and maintain systems for ethical decision-making</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 (Cth)</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Rules 2018</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Institute of Company Directors (AICD) Governance Principles for Not-for-Profit Organisations (where applicable)</w:t>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State and territory incorporated associations legislation (where applicable to the organisation's legal structure)</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f3xvoe48j03"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maintaining a culture of transparency, honesty, and accountability in all decision-making processes. All staff, volunteers, contractors, and governing body members are expected to act in the best interests of residents and the organisation, and to avoid situations where personal interests could compromise that commitment. When a conflict of interest arises, the organisation expects timely and honest disclosure so that it can be properly managed. The organisation will not tolerate undisclosed conflicts that affect, or could reasonably be perceived to affect, decisions about resident care, resource allocation, procurement, or employment. All disclosures will be handled with respect and without adverse consequence for the person making the disclosure in good faith.</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pj8z2btgtli"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6720"/>
        <w:tblGridChange w:id="0">
          <w:tblGrid>
            <w:gridCol w:w="2025"/>
            <w:gridCol w:w="672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Governing Body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and periodically reviews this policy. Discloses conflicts at board or committee meetings. Reviews the conflicts register at least annually. Sets the tone for ethical governance across the organisation.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oversight of the conflicts register. Receives disclosures from management and senior staff. Escalates material or unresolved conflicts to the governing body. Leads by example in making timely disclosures.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and Team Leaders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Receives and records disclosures from direct reports. Refers disclosures to the CEO or nominated officer as required. Monitors their team for situations that may give rise to a conflict. Completes training on identifying and managing conflicts.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and Volunteers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Discloses any actual, potential, or perceived conflicts as soon as they become apparent. Does not participate in decisions where a conflict exists until the conflict has been reviewed and a management decision made. Completes mandatory training on this policy.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Officer (or nominated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and updates the conflicts of interest register. Provides guidance on whether a situation constitutes a conflict. Coordinates the annual review of the register with the CEO and governing body. Reports trends or systemic issues to leadership.</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Contractors and Consultants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Discloses any conflicts at the commencement of engagement and promptly as new conflicts arise. Acknowledges this policy as part of their engagement agreement with the organisation.</w:t>
            </w:r>
          </w:p>
        </w:tc>
      </w:tr>
    </w:tbl>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5w1ozilugwm"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the conflict.</w:t>
      </w:r>
      <w:r w:rsidDel="00000000" w:rsidR="00000000" w:rsidRPr="00000000">
        <w:rPr>
          <w:rFonts w:ascii="Times New Roman" w:cs="Times New Roman" w:eastAsia="Times New Roman" w:hAnsi="Times New Roman"/>
          <w:sz w:val="24"/>
          <w:szCs w:val="24"/>
          <w:rtl w:val="0"/>
        </w:rPr>
        <w:t xml:space="preserve"> Any person covered by this policy who becomes aware of an actual, potential, or perceived conflict of interest must consider whether that situation could reasonably affect their professional judgement or decisions, or be seen to do so by others.</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Make a disclosure.</w:t>
      </w:r>
      <w:r w:rsidDel="00000000" w:rsidR="00000000" w:rsidRPr="00000000">
        <w:rPr>
          <w:rFonts w:ascii="Times New Roman" w:cs="Times New Roman" w:eastAsia="Times New Roman" w:hAnsi="Times New Roman"/>
          <w:sz w:val="24"/>
          <w:szCs w:val="24"/>
          <w:rtl w:val="0"/>
        </w:rPr>
        <w:t xml:space="preserve"> The person must disclose the conflict to their direct manager, or to the CEO if the conflict involves a manager. Governing body members must disclose conflicts at the start of the relevant meeting, or in writing to the Chair prior to the meeting. Disclosures should be made as soon as the conflict is identified and must not be delayed until a decision is already underway.</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 the disclosure.</w:t>
      </w:r>
      <w:r w:rsidDel="00000000" w:rsidR="00000000" w:rsidRPr="00000000">
        <w:rPr>
          <w:rFonts w:ascii="Times New Roman" w:cs="Times New Roman" w:eastAsia="Times New Roman" w:hAnsi="Times New Roman"/>
          <w:sz w:val="24"/>
          <w:szCs w:val="24"/>
          <w:rtl w:val="0"/>
        </w:rPr>
        <w:t xml:space="preserve"> The manager or nominated officer receiving the disclosure must record it in the Conflicts of Interest Register within two business days. The record must include the name and role of the person disclosing, the nature of the conflict, the date of disclosure, and any related decisions or actions.</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 and determine a management response.</w:t>
      </w:r>
      <w:r w:rsidDel="00000000" w:rsidR="00000000" w:rsidRPr="00000000">
        <w:rPr>
          <w:rFonts w:ascii="Times New Roman" w:cs="Times New Roman" w:eastAsia="Times New Roman" w:hAnsi="Times New Roman"/>
          <w:sz w:val="24"/>
          <w:szCs w:val="24"/>
          <w:rtl w:val="0"/>
        </w:rPr>
        <w:t xml:space="preserve"> The CEO or nominated officer must review the disclosure and determine the appropriate response. Options include: noting the conflict with no further action required; requiring the person to absent themselves from relevant discussions or decisions; reassigning the task or responsibility to another person; or, in serious cases, referring the matter to the governing body for a decision.</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Implement the management decision.</w:t>
      </w:r>
      <w:r w:rsidDel="00000000" w:rsidR="00000000" w:rsidRPr="00000000">
        <w:rPr>
          <w:rFonts w:ascii="Times New Roman" w:cs="Times New Roman" w:eastAsia="Times New Roman" w:hAnsi="Times New Roman"/>
          <w:sz w:val="24"/>
          <w:szCs w:val="24"/>
          <w:rtl w:val="0"/>
        </w:rPr>
        <w:t xml:space="preserve"> The agreed management action must be implemented promptly. If the person is required to step back from a decision-making process, this must be documented in meeting minutes or the relevant file. The person disclosing the conflict must not seek to influence the outcome of the relevant decision through informal channels.</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ongoing conflicts.</w:t>
      </w:r>
      <w:r w:rsidDel="00000000" w:rsidR="00000000" w:rsidRPr="00000000">
        <w:rPr>
          <w:rFonts w:ascii="Times New Roman" w:cs="Times New Roman" w:eastAsia="Times New Roman" w:hAnsi="Times New Roman"/>
          <w:sz w:val="24"/>
          <w:szCs w:val="24"/>
          <w:rtl w:val="0"/>
        </w:rPr>
        <w:t xml:space="preserve"> Where a conflict is ongoing, the manager or compliance officer must review the management action at intervals of no more than three months to confirm that the agreed approach remains appropriate. Changes to the nature of the conflict or the person's role may require the management response to be updated.</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Handle non-disclosure.</w:t>
      </w:r>
      <w:r w:rsidDel="00000000" w:rsidR="00000000" w:rsidRPr="00000000">
        <w:rPr>
          <w:rFonts w:ascii="Times New Roman" w:cs="Times New Roman" w:eastAsia="Times New Roman" w:hAnsi="Times New Roman"/>
          <w:sz w:val="24"/>
          <w:szCs w:val="24"/>
          <w:rtl w:val="0"/>
        </w:rPr>
        <w:t xml:space="preserve"> If a manager becomes aware that a person has failed to disclose a known conflict, this must be raised as a conduct matter in accordance with the organisation's disciplinary procedures. The conflict must still be recorded in the register, and the governing body must be informed if the non-disclosure involves a responsible person or has affected a significant decision.</w:t>
      </w:r>
    </w:p>
    <w:p w:rsidR="00000000" w:rsidDel="00000000" w:rsidP="00000000" w:rsidRDefault="00000000" w:rsidRPr="00000000" w14:paraId="00000043">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Annual declaration.</w:t>
      </w:r>
      <w:r w:rsidDel="00000000" w:rsidR="00000000" w:rsidRPr="00000000">
        <w:rPr>
          <w:rFonts w:ascii="Times New Roman" w:cs="Times New Roman" w:eastAsia="Times New Roman" w:hAnsi="Times New Roman"/>
          <w:sz w:val="24"/>
          <w:szCs w:val="24"/>
          <w:rtl w:val="0"/>
        </w:rPr>
        <w:t xml:space="preserve"> All staff in management roles, all governing body members, and all contractors with ongoing engagement must complete an annual conflict of interest declaration form, confirming whether any conflicts exist or have arisen in the past 12 months. The compliance officer will coordinate this process and file completed declarations securely.</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6bntbbjzfho"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Conflicts of Interest Register will be reviewed by the compliance officer on a quarterly basis and reported to the CEO. A summary report, including the number of disclosures, the types of conflicts identified, and any management actions taken, will be provided to the governing body at least annually.</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earlier if there is a material change to relevant legislation, the organisation's structure, or a significant incident involving a conflict of interest. The compliance officer is responsible for initiating the review and presenting proposed changes to the CEO and governing body for approval.</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will be notified of any material changes to this policy within 30 days of approval.</w:t>
      </w:r>
    </w:p>
    <w:p w:rsidR="00000000" w:rsidDel="00000000" w:rsidP="00000000" w:rsidRDefault="00000000" w:rsidRPr="00000000" w14:paraId="0000004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r0x19a88kc4"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9">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Code of Conduct and Ethics Policy</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Whistleblower Policy</w:t>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Recruitment and Selection Policy</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Procurement and Purchasing Policy</w:t>
      </w:r>
    </w:p>
    <w:p w:rsidR="00000000" w:rsidDel="00000000" w:rsidP="00000000" w:rsidRDefault="00000000" w:rsidRPr="00000000" w14:paraId="0000004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Gifts, Benefits, and Hospitality Policy</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Governance Framework</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Conflicts of Interest Register [separate document]</w:t>
      </w:r>
    </w:p>
    <w:p w:rsidR="00000000" w:rsidDel="00000000" w:rsidP="00000000" w:rsidRDefault="00000000" w:rsidRPr="00000000" w14:paraId="00000050">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Annual Conflict of Interest Declaration Form [separate document]</w:t>
      </w:r>
    </w:p>
    <w:p w:rsidR="00000000" w:rsidDel="00000000" w:rsidP="00000000" w:rsidRDefault="00000000" w:rsidRPr="00000000" w14:paraId="0000005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rha938j7jiq"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bl>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