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Policy Title:</w:t>
      </w:r>
      <w:r w:rsidDel="00000000" w:rsidR="00000000" w:rsidRPr="00000000">
        <w:rPr>
          <w:rFonts w:ascii="Poppins" w:cs="Poppins" w:eastAsia="Poppins" w:hAnsi="Poppins"/>
          <w:sz w:val="24"/>
          <w:szCs w:val="24"/>
          <w:rtl w:val="0"/>
        </w:rPr>
        <w:t xml:space="preserve"> Governance and Board Accountability Policy</w:t>
      </w:r>
    </w:p>
    <w:p w:rsidR="00000000" w:rsidDel="00000000" w:rsidP="00000000" w:rsidRDefault="00000000" w:rsidRPr="00000000" w14:paraId="00000002">
      <w:pPr>
        <w:spacing w:after="240" w:before="240" w:lineRule="auto"/>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Policy Number:</w:t>
      </w:r>
      <w:r w:rsidDel="00000000" w:rsidR="00000000" w:rsidRPr="00000000">
        <w:rPr>
          <w:rFonts w:ascii="Poppins" w:cs="Poppins" w:eastAsia="Poppins" w:hAnsi="Poppins"/>
          <w:sz w:val="24"/>
          <w:szCs w:val="24"/>
          <w:rtl w:val="0"/>
        </w:rPr>
        <w:t xml:space="preserve"> [POLICY NUMBER]</w:t>
      </w:r>
    </w:p>
    <w:p w:rsidR="00000000" w:rsidDel="00000000" w:rsidP="00000000" w:rsidRDefault="00000000" w:rsidRPr="00000000" w14:paraId="00000003">
      <w:pPr>
        <w:spacing w:after="240" w:before="240" w:lineRule="auto"/>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Organisation:</w:t>
      </w:r>
      <w:r w:rsidDel="00000000" w:rsidR="00000000" w:rsidRPr="00000000">
        <w:rPr>
          <w:rFonts w:ascii="Poppins" w:cs="Poppins" w:eastAsia="Poppins" w:hAnsi="Poppins"/>
          <w:sz w:val="24"/>
          <w:szCs w:val="24"/>
          <w:rtl w:val="0"/>
        </w:rPr>
        <w:t xml:space="preserve"> [ORGANISATION NAME]</w:t>
      </w:r>
    </w:p>
    <w:p w:rsidR="00000000" w:rsidDel="00000000" w:rsidP="00000000" w:rsidRDefault="00000000" w:rsidRPr="00000000" w14:paraId="00000004">
      <w:pPr>
        <w:spacing w:after="240" w:before="240" w:lineRule="auto"/>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Version:</w:t>
      </w:r>
      <w:r w:rsidDel="00000000" w:rsidR="00000000" w:rsidRPr="00000000">
        <w:rPr>
          <w:rFonts w:ascii="Poppins" w:cs="Poppins" w:eastAsia="Poppins" w:hAnsi="Poppins"/>
          <w:sz w:val="24"/>
          <w:szCs w:val="24"/>
          <w:rtl w:val="0"/>
        </w:rPr>
        <w:t xml:space="preserve"> 1.0</w:t>
      </w:r>
    </w:p>
    <w:p w:rsidR="00000000" w:rsidDel="00000000" w:rsidP="00000000" w:rsidRDefault="00000000" w:rsidRPr="00000000" w14:paraId="00000005">
      <w:pPr>
        <w:spacing w:after="240" w:before="240" w:lineRule="auto"/>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Date Approved:</w:t>
      </w:r>
      <w:r w:rsidDel="00000000" w:rsidR="00000000" w:rsidRPr="00000000">
        <w:rPr>
          <w:rFonts w:ascii="Poppins" w:cs="Poppins" w:eastAsia="Poppins" w:hAnsi="Poppins"/>
          <w:sz w:val="24"/>
          <w:szCs w:val="24"/>
          <w:rtl w:val="0"/>
        </w:rPr>
        <w:t xml:space="preserve"> [DATE]</w:t>
      </w:r>
    </w:p>
    <w:p w:rsidR="00000000" w:rsidDel="00000000" w:rsidP="00000000" w:rsidRDefault="00000000" w:rsidRPr="00000000" w14:paraId="00000006">
      <w:pPr>
        <w:spacing w:after="240" w:before="240" w:lineRule="auto"/>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Review Date:</w:t>
      </w:r>
      <w:r w:rsidDel="00000000" w:rsidR="00000000" w:rsidRPr="00000000">
        <w:rPr>
          <w:rFonts w:ascii="Poppins" w:cs="Poppins" w:eastAsia="Poppins" w:hAnsi="Poppins"/>
          <w:sz w:val="24"/>
          <w:szCs w:val="24"/>
          <w:rtl w:val="0"/>
        </w:rPr>
        <w:t xml:space="preserve"> [REVIEW DATE]</w:t>
      </w:r>
    </w:p>
    <w:p w:rsidR="00000000" w:rsidDel="00000000" w:rsidP="00000000" w:rsidRDefault="00000000" w:rsidRPr="00000000" w14:paraId="00000007">
      <w:pPr>
        <w:spacing w:after="240" w:before="240" w:lineRule="auto"/>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Approved By:</w:t>
      </w:r>
      <w:r w:rsidDel="00000000" w:rsidR="00000000" w:rsidRPr="00000000">
        <w:rPr>
          <w:rFonts w:ascii="Poppins" w:cs="Poppins" w:eastAsia="Poppins" w:hAnsi="Poppins"/>
          <w:sz w:val="24"/>
          <w:szCs w:val="24"/>
          <w:rtl w:val="0"/>
        </w:rPr>
        <w:t xml:space="preserve"> [NAME AND POSITION]</w:t>
      </w:r>
    </w:p>
    <w:p w:rsidR="00000000" w:rsidDel="00000000" w:rsidP="00000000" w:rsidRDefault="00000000" w:rsidRPr="00000000" w14:paraId="00000008">
      <w:pPr>
        <w:rPr>
          <w:rFonts w:ascii="Poppins" w:cs="Poppins" w:eastAsia="Poppins" w:hAnsi="Poppi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Poppins" w:cs="Poppins" w:eastAsia="Poppins" w:hAnsi="Poppins"/>
          <w:b w:val="1"/>
          <w:bCs w:val="1"/>
          <w:sz w:val="34"/>
          <w:szCs w:val="34"/>
        </w:rPr>
      </w:pPr>
      <w:bookmarkStart w:colFirst="0" w:colLast="0" w:name="_4p7venfodigs" w:id="0"/>
      <w:bookmarkEnd w:id="0"/>
      <w:r w:rsidDel="00000000" w:rsidR="00000000" w:rsidRPr="00000000">
        <w:rPr>
          <w:rFonts w:ascii="Poppins" w:cs="Poppins" w:eastAsia="Poppins" w:hAnsi="Poppins"/>
          <w:b w:val="1"/>
          <w:bCs w:val="1"/>
          <w:sz w:val="34"/>
          <w:szCs w:val="34"/>
          <w:rtl w:val="0"/>
        </w:rPr>
        <w:t xml:space="preserve">1. Purpose</w:t>
      </w:r>
    </w:p>
    <w:p w:rsidR="00000000" w:rsidDel="00000000" w:rsidP="00000000" w:rsidRDefault="00000000" w:rsidRPr="00000000" w14:paraId="0000000A">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policy sets out the governance obligations of [ORGANISATION NAME] and defines how the governing body fulfils its accountability responsibilities under the Aged Care Act 2024 and the Strengthened Aged Care Quality Standards. It describes the structures, processes, and conduct standards that support sound decision-making and transparent oversight of the organisation's aged care services. The policy applies to all registered provider activities and is intended to give confidence to residents, families, staff, and regulators that leadership at every level is responsible and accountable. Regular application of this policy supports the organisation's commitment to safe, respectful, and high-quality care.</w:t>
      </w:r>
    </w:p>
    <w:p w:rsidR="00000000" w:rsidDel="00000000" w:rsidP="00000000" w:rsidRDefault="00000000" w:rsidRPr="00000000" w14:paraId="0000000B">
      <w:pPr>
        <w:pStyle w:val="Heading2"/>
        <w:keepNext w:val="0"/>
        <w:keepLines w:val="0"/>
        <w:spacing w:after="80" w:lineRule="auto"/>
        <w:rPr>
          <w:rFonts w:ascii="Poppins" w:cs="Poppins" w:eastAsia="Poppins" w:hAnsi="Poppins"/>
          <w:b w:val="1"/>
          <w:bCs w:val="1"/>
          <w:sz w:val="34"/>
          <w:szCs w:val="34"/>
        </w:rPr>
      </w:pPr>
      <w:bookmarkStart w:colFirst="0" w:colLast="0" w:name="_7sbgdntre22y" w:id="1"/>
      <w:bookmarkEnd w:id="1"/>
      <w:r w:rsidDel="00000000" w:rsidR="00000000" w:rsidRPr="00000000">
        <w:rPr>
          <w:rFonts w:ascii="Poppins" w:cs="Poppins" w:eastAsia="Poppins" w:hAnsi="Poppins"/>
          <w:b w:val="1"/>
          <w:bCs w:val="1"/>
          <w:sz w:val="34"/>
          <w:szCs w:val="34"/>
          <w:rtl w:val="0"/>
        </w:rPr>
        <w:t xml:space="preserve">2. Scope</w:t>
      </w:r>
    </w:p>
    <w:p w:rsidR="00000000" w:rsidDel="00000000" w:rsidP="00000000" w:rsidRDefault="00000000" w:rsidRPr="00000000" w14:paraId="0000000C">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policy applies to:</w:t>
      </w:r>
    </w:p>
    <w:p w:rsidR="00000000" w:rsidDel="00000000" w:rsidP="00000000" w:rsidRDefault="00000000" w:rsidRPr="00000000" w14:paraId="0000000D">
      <w:pPr>
        <w:numPr>
          <w:ilvl w:val="0"/>
          <w:numId w:val="2"/>
        </w:numPr>
        <w:spacing w:after="0" w:afterAutospacing="0" w:before="240" w:lineRule="auto"/>
        <w:ind w:left="720" w:hanging="360"/>
        <w:rPr>
          <w:rFonts w:ascii="Poppins" w:cs="Poppins" w:eastAsia="Poppins" w:hAnsi="Poppins"/>
        </w:rPr>
      </w:pPr>
      <w:r w:rsidDel="00000000" w:rsidR="00000000" w:rsidRPr="00000000">
        <w:rPr>
          <w:rFonts w:ascii="Poppins" w:cs="Poppins" w:eastAsia="Poppins" w:hAnsi="Poppins"/>
          <w:sz w:val="24"/>
          <w:szCs w:val="24"/>
          <w:rtl w:val="0"/>
        </w:rPr>
        <w:t xml:space="preserve">All members of the governing body, including board directors and equivalent roles</w:t>
      </w:r>
    </w:p>
    <w:p w:rsidR="00000000" w:rsidDel="00000000" w:rsidP="00000000" w:rsidRDefault="00000000" w:rsidRPr="00000000" w14:paraId="0000000E">
      <w:pPr>
        <w:numPr>
          <w:ilvl w:val="0"/>
          <w:numId w:val="2"/>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sz w:val="24"/>
          <w:szCs w:val="24"/>
          <w:rtl w:val="0"/>
        </w:rPr>
        <w:t xml:space="preserve">The Chief Executive Officer and members of the executive leadership team</w:t>
      </w:r>
    </w:p>
    <w:p w:rsidR="00000000" w:rsidDel="00000000" w:rsidP="00000000" w:rsidRDefault="00000000" w:rsidRPr="00000000" w14:paraId="0000000F">
      <w:pPr>
        <w:numPr>
          <w:ilvl w:val="0"/>
          <w:numId w:val="2"/>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sz w:val="24"/>
          <w:szCs w:val="24"/>
          <w:rtl w:val="0"/>
        </w:rPr>
        <w:t xml:space="preserve">Senior managers with delegated decision-making authority</w:t>
      </w:r>
    </w:p>
    <w:p w:rsidR="00000000" w:rsidDel="00000000" w:rsidP="00000000" w:rsidRDefault="00000000" w:rsidRPr="00000000" w14:paraId="00000010">
      <w:pPr>
        <w:numPr>
          <w:ilvl w:val="0"/>
          <w:numId w:val="2"/>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sz w:val="24"/>
          <w:szCs w:val="24"/>
          <w:rtl w:val="0"/>
        </w:rPr>
        <w:t xml:space="preserve">Any person acting in a governance role on behalf of the organisation</w:t>
      </w:r>
    </w:p>
    <w:p w:rsidR="00000000" w:rsidDel="00000000" w:rsidP="00000000" w:rsidRDefault="00000000" w:rsidRPr="00000000" w14:paraId="00000011">
      <w:pPr>
        <w:numPr>
          <w:ilvl w:val="0"/>
          <w:numId w:val="2"/>
        </w:numPr>
        <w:spacing w:after="240" w:before="0" w:beforeAutospacing="0" w:lineRule="auto"/>
        <w:ind w:left="720" w:hanging="360"/>
        <w:rPr>
          <w:rFonts w:ascii="Poppins" w:cs="Poppins" w:eastAsia="Poppins" w:hAnsi="Poppins"/>
        </w:rPr>
      </w:pPr>
      <w:r w:rsidDel="00000000" w:rsidR="00000000" w:rsidRPr="00000000">
        <w:rPr>
          <w:rFonts w:ascii="Poppins" w:cs="Poppins" w:eastAsia="Poppins" w:hAnsi="Poppins"/>
          <w:sz w:val="24"/>
          <w:szCs w:val="24"/>
          <w:rtl w:val="0"/>
        </w:rPr>
        <w:t xml:space="preserve">Sub-contracted entities where governance obligations are relevant to service delivery</w:t>
      </w:r>
    </w:p>
    <w:p w:rsidR="00000000" w:rsidDel="00000000" w:rsidP="00000000" w:rsidRDefault="00000000" w:rsidRPr="00000000" w14:paraId="00000012">
      <w:pPr>
        <w:pStyle w:val="Heading2"/>
        <w:keepNext w:val="0"/>
        <w:keepLines w:val="0"/>
        <w:spacing w:after="80" w:lineRule="auto"/>
        <w:rPr>
          <w:rFonts w:ascii="Poppins" w:cs="Poppins" w:eastAsia="Poppins" w:hAnsi="Poppins"/>
          <w:b w:val="1"/>
          <w:bCs w:val="1"/>
          <w:sz w:val="34"/>
          <w:szCs w:val="34"/>
        </w:rPr>
      </w:pPr>
      <w:bookmarkStart w:colFirst="0" w:colLast="0" w:name="_ooitnyo0b91j" w:id="2"/>
      <w:bookmarkEnd w:id="2"/>
      <w:r w:rsidDel="00000000" w:rsidR="00000000" w:rsidRPr="00000000">
        <w:rPr>
          <w:rFonts w:ascii="Poppins" w:cs="Poppins" w:eastAsia="Poppins" w:hAnsi="Poppins"/>
          <w:b w:val="1"/>
          <w:bCs w:val="1"/>
          <w:sz w:val="34"/>
          <w:szCs w:val="34"/>
          <w:rtl w:val="0"/>
        </w:rPr>
        <w:t xml:space="preserve">3. Definitions</w:t>
      </w:r>
    </w:p>
    <w:tbl>
      <w:tblPr>
        <w:tblStyle w:val="Table1"/>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6840"/>
        <w:tblGridChange w:id="0">
          <w:tblGrid>
            <w:gridCol w:w="1920"/>
            <w:gridCol w:w="684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3">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Definition</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Governing Body</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board of directors, management committee, or equivalent group legally responsible for directing and overseeing the organisation's operations and performance.</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Accountability</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obligation to accept responsibility for decisions and actions, and to report transparently on performance and outcomes to stakeholders and regulators.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Conflict of Interest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situation in which a person's personal, financial, or professional interests could influence, or appear to influence, a decision they make in their governance role.</w:t>
            </w:r>
          </w:p>
        </w:tc>
      </w:tr>
      <w:tr>
        <w:trPr>
          <w:cantSplit w:val="0"/>
          <w:trHeight w:val="75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Delegation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formal transfer of authority from the governing body to a specified role or individual to make decisions within defined limits.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Fit and Proper Person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standard under the Aged Care Act 2024 requiring that key personnel and governing body members meet suitability criteria related to character, conduct, and qualifications.</w:t>
            </w:r>
          </w:p>
        </w:tc>
      </w:tr>
      <w:tr>
        <w:trPr>
          <w:cantSplit w:val="0"/>
          <w:trHeight w:val="75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F">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Provider Registration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0">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formal approval granted under the Aged Care Act 2024 that authorises an organisation to deliver aged care services in Australia.</w:t>
            </w:r>
          </w:p>
        </w:tc>
      </w:tr>
    </w:tbl>
    <w:p w:rsidR="00000000" w:rsidDel="00000000" w:rsidP="00000000" w:rsidRDefault="00000000" w:rsidRPr="00000000" w14:paraId="00000021">
      <w:pPr>
        <w:pStyle w:val="Heading2"/>
        <w:keepNext w:val="0"/>
        <w:keepLines w:val="0"/>
        <w:spacing w:after="80" w:lineRule="auto"/>
        <w:rPr>
          <w:rFonts w:ascii="Poppins" w:cs="Poppins" w:eastAsia="Poppins" w:hAnsi="Poppins"/>
          <w:b w:val="1"/>
          <w:bCs w:val="1"/>
          <w:sz w:val="34"/>
          <w:szCs w:val="34"/>
        </w:rPr>
      </w:pPr>
      <w:bookmarkStart w:colFirst="0" w:colLast="0" w:name="_na54pbk7bin5" w:id="3"/>
      <w:bookmarkEnd w:id="3"/>
      <w:r w:rsidDel="00000000" w:rsidR="00000000" w:rsidRPr="00000000">
        <w:rPr>
          <w:rFonts w:ascii="Poppins" w:cs="Poppins" w:eastAsia="Poppins" w:hAnsi="Poppins"/>
          <w:b w:val="1"/>
          <w:bCs w:val="1"/>
          <w:sz w:val="34"/>
          <w:szCs w:val="34"/>
          <w:rtl w:val="0"/>
        </w:rPr>
        <w:t xml:space="preserve">4. Legislative and Regulatory Framework</w:t>
      </w:r>
    </w:p>
    <w:p w:rsidR="00000000" w:rsidDel="00000000" w:rsidP="00000000" w:rsidRDefault="00000000" w:rsidRPr="00000000" w14:paraId="00000022">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policy is informed by and consistent with the following legislation, regulations, and standards:</w:t>
      </w:r>
    </w:p>
    <w:p w:rsidR="00000000" w:rsidDel="00000000" w:rsidP="00000000" w:rsidRDefault="00000000" w:rsidRPr="00000000" w14:paraId="00000023">
      <w:pPr>
        <w:numPr>
          <w:ilvl w:val="0"/>
          <w:numId w:val="4"/>
        </w:numPr>
        <w:spacing w:after="0" w:afterAutospacing="0" w:before="240" w:lineRule="auto"/>
        <w:ind w:left="720" w:hanging="360"/>
      </w:pPr>
      <w:r w:rsidDel="00000000" w:rsidR="00000000" w:rsidRPr="00000000">
        <w:rPr>
          <w:rFonts w:ascii="Poppins" w:cs="Poppins" w:eastAsia="Poppins" w:hAnsi="Poppins"/>
          <w:b w:val="1"/>
          <w:bCs w:val="1"/>
          <w:sz w:val="24"/>
          <w:szCs w:val="24"/>
          <w:rtl w:val="0"/>
        </w:rPr>
        <w:t xml:space="preserve">Aged Care Act 2024</w:t>
      </w:r>
      <w:r w:rsidDel="00000000" w:rsidR="00000000" w:rsidRPr="00000000">
        <w:rPr>
          <w:rFonts w:ascii="Poppins" w:cs="Poppins" w:eastAsia="Poppins" w:hAnsi="Poppins"/>
          <w:sz w:val="24"/>
          <w:szCs w:val="24"/>
          <w:rtl w:val="0"/>
        </w:rPr>
        <w:t xml:space="preserve">, including provider registration obligations, fit and proper person requirements, and governance accountability provisions</w:t>
      </w:r>
    </w:p>
    <w:p w:rsidR="00000000" w:rsidDel="00000000" w:rsidP="00000000" w:rsidRDefault="00000000" w:rsidRPr="00000000" w14:paraId="00000024">
      <w:pPr>
        <w:numPr>
          <w:ilvl w:val="0"/>
          <w:numId w:val="4"/>
        </w:numPr>
        <w:spacing w:after="0" w:afterAutospacing="0" w:before="0" w:beforeAutospacing="0" w:lineRule="auto"/>
        <w:ind w:left="720" w:hanging="360"/>
      </w:pPr>
      <w:r w:rsidDel="00000000" w:rsidR="00000000" w:rsidRPr="00000000">
        <w:rPr>
          <w:rFonts w:ascii="Poppins" w:cs="Poppins" w:eastAsia="Poppins" w:hAnsi="Poppins"/>
          <w:b w:val="1"/>
          <w:bCs w:val="1"/>
          <w:sz w:val="24"/>
          <w:szCs w:val="24"/>
          <w:rtl w:val="0"/>
        </w:rPr>
        <w:t xml:space="preserve">Strengthened Aged Care Quality Standard 2: The Organisation</w:t>
      </w:r>
      <w:r w:rsidDel="00000000" w:rsidR="00000000" w:rsidRPr="00000000">
        <w:rPr>
          <w:rFonts w:ascii="Poppins" w:cs="Poppins" w:eastAsia="Poppins" w:hAnsi="Poppins"/>
          <w:sz w:val="24"/>
          <w:szCs w:val="24"/>
          <w:rtl w:val="0"/>
        </w:rPr>
        <w:t xml:space="preserve">, which requires the governing body to actively direct, monitor, and be accountable for the delivery of safe and quality care</w:t>
      </w:r>
    </w:p>
    <w:p w:rsidR="00000000" w:rsidDel="00000000" w:rsidP="00000000" w:rsidRDefault="00000000" w:rsidRPr="00000000" w14:paraId="00000025">
      <w:pPr>
        <w:numPr>
          <w:ilvl w:val="0"/>
          <w:numId w:val="4"/>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b w:val="1"/>
          <w:bCs w:val="1"/>
          <w:sz w:val="24"/>
          <w:szCs w:val="24"/>
          <w:rtl w:val="0"/>
        </w:rPr>
        <w:t xml:space="preserve">Aged Care Quality and Safety Commission Act 2018</w:t>
      </w:r>
    </w:p>
    <w:p w:rsidR="00000000" w:rsidDel="00000000" w:rsidP="00000000" w:rsidRDefault="00000000" w:rsidRPr="00000000" w14:paraId="00000026">
      <w:pPr>
        <w:numPr>
          <w:ilvl w:val="0"/>
          <w:numId w:val="4"/>
        </w:numPr>
        <w:spacing w:after="0" w:afterAutospacing="0" w:before="0" w:beforeAutospacing="0" w:lineRule="auto"/>
        <w:ind w:left="720" w:hanging="360"/>
      </w:pPr>
      <w:r w:rsidDel="00000000" w:rsidR="00000000" w:rsidRPr="00000000">
        <w:rPr>
          <w:rFonts w:ascii="Poppins" w:cs="Poppins" w:eastAsia="Poppins" w:hAnsi="Poppins"/>
          <w:b w:val="1"/>
          <w:bCs w:val="1"/>
          <w:sz w:val="24"/>
          <w:szCs w:val="24"/>
          <w:rtl w:val="0"/>
        </w:rPr>
        <w:t xml:space="preserve">Corporations Act 2001</w:t>
      </w:r>
      <w:r w:rsidDel="00000000" w:rsidR="00000000" w:rsidRPr="00000000">
        <w:rPr>
          <w:rFonts w:ascii="Poppins" w:cs="Poppins" w:eastAsia="Poppins" w:hAnsi="Poppins"/>
          <w:sz w:val="24"/>
          <w:szCs w:val="24"/>
          <w:rtl w:val="0"/>
        </w:rPr>
        <w:t xml:space="preserve"> (where applicable to the organisational structure)</w:t>
      </w:r>
    </w:p>
    <w:p w:rsidR="00000000" w:rsidDel="00000000" w:rsidP="00000000" w:rsidRDefault="00000000" w:rsidRPr="00000000" w14:paraId="00000027">
      <w:pPr>
        <w:numPr>
          <w:ilvl w:val="0"/>
          <w:numId w:val="4"/>
        </w:numPr>
        <w:spacing w:after="0" w:afterAutospacing="0" w:before="0" w:beforeAutospacing="0" w:lineRule="auto"/>
        <w:ind w:left="720" w:hanging="360"/>
      </w:pPr>
      <w:r w:rsidDel="00000000" w:rsidR="00000000" w:rsidRPr="00000000">
        <w:rPr>
          <w:rFonts w:ascii="Poppins" w:cs="Poppins" w:eastAsia="Poppins" w:hAnsi="Poppins"/>
          <w:b w:val="1"/>
          <w:bCs w:val="1"/>
          <w:sz w:val="24"/>
          <w:szCs w:val="24"/>
          <w:rtl w:val="0"/>
        </w:rPr>
        <w:t xml:space="preserve">Australian Charities and Not-for-profits Commission Act 2012</w:t>
      </w:r>
      <w:r w:rsidDel="00000000" w:rsidR="00000000" w:rsidRPr="00000000">
        <w:rPr>
          <w:rFonts w:ascii="Poppins" w:cs="Poppins" w:eastAsia="Poppins" w:hAnsi="Poppins"/>
          <w:sz w:val="24"/>
          <w:szCs w:val="24"/>
          <w:rtl w:val="0"/>
        </w:rPr>
        <w:t xml:space="preserve"> (where applicable)</w:t>
      </w:r>
    </w:p>
    <w:p w:rsidR="00000000" w:rsidDel="00000000" w:rsidP="00000000" w:rsidRDefault="00000000" w:rsidRPr="00000000" w14:paraId="00000028">
      <w:pPr>
        <w:numPr>
          <w:ilvl w:val="0"/>
          <w:numId w:val="4"/>
        </w:numPr>
        <w:spacing w:after="0" w:afterAutospacing="0" w:before="0" w:beforeAutospacing="0" w:lineRule="auto"/>
        <w:ind w:left="720" w:hanging="360"/>
      </w:pPr>
      <w:r w:rsidDel="00000000" w:rsidR="00000000" w:rsidRPr="00000000">
        <w:rPr>
          <w:rFonts w:ascii="Poppins" w:cs="Poppins" w:eastAsia="Poppins" w:hAnsi="Poppins"/>
          <w:b w:val="1"/>
          <w:bCs w:val="1"/>
          <w:sz w:val="24"/>
          <w:szCs w:val="24"/>
          <w:rtl w:val="0"/>
        </w:rPr>
        <w:t xml:space="preserve">Australian Institute of Company Directors (AICD) Not-for-Profit Governance Principles</w:t>
      </w:r>
      <w:r w:rsidDel="00000000" w:rsidR="00000000" w:rsidRPr="00000000">
        <w:rPr>
          <w:rFonts w:ascii="Poppins" w:cs="Poppins" w:eastAsia="Poppins" w:hAnsi="Poppins"/>
          <w:sz w:val="24"/>
          <w:szCs w:val="24"/>
          <w:rtl w:val="0"/>
        </w:rPr>
        <w:t xml:space="preserve"> (as a reference guide)</w:t>
      </w:r>
    </w:p>
    <w:p w:rsidR="00000000" w:rsidDel="00000000" w:rsidP="00000000" w:rsidRDefault="00000000" w:rsidRPr="00000000" w14:paraId="00000029">
      <w:pPr>
        <w:numPr>
          <w:ilvl w:val="0"/>
          <w:numId w:val="4"/>
        </w:numPr>
        <w:spacing w:after="240" w:before="0" w:beforeAutospacing="0" w:lineRule="auto"/>
        <w:ind w:left="720" w:hanging="360"/>
        <w:rPr>
          <w:rFonts w:ascii="Poppins" w:cs="Poppins" w:eastAsia="Poppins" w:hAnsi="Poppins"/>
        </w:rPr>
      </w:pPr>
      <w:r w:rsidDel="00000000" w:rsidR="00000000" w:rsidRPr="00000000">
        <w:rPr>
          <w:rFonts w:ascii="Poppins" w:cs="Poppins" w:eastAsia="Poppins" w:hAnsi="Poppins"/>
          <w:sz w:val="24"/>
          <w:szCs w:val="24"/>
          <w:rtl w:val="0"/>
        </w:rPr>
        <w:t xml:space="preserve">Any applicable state or territory legislation governing the organisation's legal structure</w:t>
      </w:r>
    </w:p>
    <w:p w:rsidR="00000000" w:rsidDel="00000000" w:rsidP="00000000" w:rsidRDefault="00000000" w:rsidRPr="00000000" w14:paraId="0000002A">
      <w:pPr>
        <w:pStyle w:val="Heading2"/>
        <w:keepNext w:val="0"/>
        <w:keepLines w:val="0"/>
        <w:spacing w:after="80" w:lineRule="auto"/>
        <w:rPr>
          <w:rFonts w:ascii="Poppins" w:cs="Poppins" w:eastAsia="Poppins" w:hAnsi="Poppins"/>
          <w:b w:val="1"/>
          <w:bCs w:val="1"/>
          <w:sz w:val="34"/>
          <w:szCs w:val="34"/>
        </w:rPr>
      </w:pPr>
      <w:bookmarkStart w:colFirst="0" w:colLast="0" w:name="_lxsma582rja4" w:id="4"/>
      <w:bookmarkEnd w:id="4"/>
      <w:r w:rsidDel="00000000" w:rsidR="00000000" w:rsidRPr="00000000">
        <w:rPr>
          <w:rFonts w:ascii="Poppins" w:cs="Poppins" w:eastAsia="Poppins" w:hAnsi="Poppins"/>
          <w:b w:val="1"/>
          <w:bCs w:val="1"/>
          <w:sz w:val="34"/>
          <w:szCs w:val="34"/>
          <w:rtl w:val="0"/>
        </w:rPr>
        <w:t xml:space="preserve">5. Policy Statement</w:t>
      </w:r>
    </w:p>
    <w:p w:rsidR="00000000" w:rsidDel="00000000" w:rsidP="00000000" w:rsidRDefault="00000000" w:rsidRPr="00000000" w14:paraId="0000002B">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[ORGANISATION NAME] is committed to maintaining a governance structure that is transparent, accountable, and effective in directing the delivery of aged care services. The governing body accepts its responsibility to set the organisation's strategic direction, monitor performance against quality and safety goals, and act promptly when issues are identified. Board members and executive leaders are expected to conduct themselves with integrity, declare conflicts of interest, and support a culture in which residents' rights and wellbeing are always at the centre of decisions. The organisation will meet all obligations under the Aged Care Act 2024 related to provider registration and governance, and will co-operate fully with the Aged Care Quality and Safety Commission. Governance arrangements will be reviewed regularly to reflect changes in regulation, organisational structure, or operating context.</w:t>
      </w:r>
    </w:p>
    <w:p w:rsidR="00000000" w:rsidDel="00000000" w:rsidP="00000000" w:rsidRDefault="00000000" w:rsidRPr="00000000" w14:paraId="0000002C">
      <w:pPr>
        <w:pStyle w:val="Heading2"/>
        <w:keepNext w:val="0"/>
        <w:keepLines w:val="0"/>
        <w:spacing w:after="80" w:lineRule="auto"/>
        <w:rPr>
          <w:rFonts w:ascii="Poppins" w:cs="Poppins" w:eastAsia="Poppins" w:hAnsi="Poppins"/>
          <w:b w:val="1"/>
          <w:bCs w:val="1"/>
          <w:sz w:val="34"/>
          <w:szCs w:val="34"/>
        </w:rPr>
      </w:pPr>
      <w:bookmarkStart w:colFirst="0" w:colLast="0" w:name="_7rer1w1yu53o" w:id="5"/>
      <w:bookmarkEnd w:id="5"/>
      <w:r w:rsidDel="00000000" w:rsidR="00000000" w:rsidRPr="00000000">
        <w:rPr>
          <w:rFonts w:ascii="Poppins" w:cs="Poppins" w:eastAsia="Poppins" w:hAnsi="Poppins"/>
          <w:b w:val="1"/>
          <w:bCs w:val="1"/>
          <w:sz w:val="34"/>
          <w:szCs w:val="34"/>
          <w:rtl w:val="0"/>
        </w:rPr>
        <w:t xml:space="preserve">6. Roles and Responsibilities</w:t>
      </w:r>
    </w:p>
    <w:tbl>
      <w:tblPr>
        <w:tblStyle w:val="Table2"/>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85"/>
        <w:gridCol w:w="6675"/>
        <w:tblGridChange w:id="0">
          <w:tblGrid>
            <w:gridCol w:w="2085"/>
            <w:gridCol w:w="667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D">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E">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Responsibilities</w:t>
            </w:r>
            <w:r w:rsidDel="00000000" w:rsidR="00000000" w:rsidRPr="00000000">
              <w:rPr>
                <w:rtl w:val="0"/>
              </w:rPr>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Governing Body / Board of Directors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Sets strategic direction; holds the CEO accountable for performance; approves policy; monitors quality, safety, financial, and workforce outcomes; declares and manages conflicts of interest; meets fit and proper person requirements.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Board Chair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Leads board meetings; models ethical conduct; acts as primary point of accountability between the board and the CEO; signs off on governance declarations required by regulators.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Chief Executive Officer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Implements board decisions; reports to the board on organisational performance; manages the delegation framework; escalates significant risks and incidents to the board; maintains the organisation's registration obligations.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Company Secretary / Governance Officer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Maintains board records and meeting minutes; manages the conflict of interest register; co-ordinates governance reviews; supports compliance with regulatory filing requirements.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Senior Managers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Operate within delegated authority limits; report performance data to the CEO; identify and escalate governance risks; support staff understanding of accountability expectations.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9">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All Staff</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A">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Act within their role boundaries; report concerns through the correct channels; co-operate with audits and reviews; complete required governance-related training.</w:t>
            </w:r>
          </w:p>
        </w:tc>
      </w:tr>
    </w:tbl>
    <w:p w:rsidR="00000000" w:rsidDel="00000000" w:rsidP="00000000" w:rsidRDefault="00000000" w:rsidRPr="00000000" w14:paraId="0000003B">
      <w:pPr>
        <w:pStyle w:val="Heading2"/>
        <w:keepNext w:val="0"/>
        <w:keepLines w:val="0"/>
        <w:spacing w:after="80" w:lineRule="auto"/>
        <w:rPr>
          <w:rFonts w:ascii="Poppins" w:cs="Poppins" w:eastAsia="Poppins" w:hAnsi="Poppins"/>
          <w:b w:val="1"/>
          <w:bCs w:val="1"/>
          <w:sz w:val="34"/>
          <w:szCs w:val="34"/>
        </w:rPr>
      </w:pPr>
      <w:bookmarkStart w:colFirst="0" w:colLast="0" w:name="_tnurevgs4uzv" w:id="6"/>
      <w:bookmarkEnd w:id="6"/>
      <w:r w:rsidDel="00000000" w:rsidR="00000000" w:rsidRPr="00000000">
        <w:rPr>
          <w:rFonts w:ascii="Poppins" w:cs="Poppins" w:eastAsia="Poppins" w:hAnsi="Poppins"/>
          <w:b w:val="1"/>
          <w:bCs w:val="1"/>
          <w:sz w:val="34"/>
          <w:szCs w:val="34"/>
          <w:rtl w:val="0"/>
        </w:rPr>
        <w:t xml:space="preserve">7. Procedures</w:t>
      </w:r>
    </w:p>
    <w:p w:rsidR="00000000" w:rsidDel="00000000" w:rsidP="00000000" w:rsidRDefault="00000000" w:rsidRPr="00000000" w14:paraId="0000003C">
      <w:pPr>
        <w:numPr>
          <w:ilvl w:val="0"/>
          <w:numId w:val="1"/>
        </w:numPr>
        <w:spacing w:after="0" w:afterAutospacing="0" w:before="240" w:lineRule="auto"/>
        <w:ind w:left="720" w:hanging="360"/>
      </w:pPr>
      <w:r w:rsidDel="00000000" w:rsidR="00000000" w:rsidRPr="00000000">
        <w:rPr>
          <w:rFonts w:ascii="Poppins" w:cs="Poppins" w:eastAsia="Poppins" w:hAnsi="Poppins"/>
          <w:b w:val="1"/>
          <w:bCs w:val="1"/>
          <w:sz w:val="24"/>
          <w:szCs w:val="24"/>
          <w:rtl w:val="0"/>
        </w:rPr>
        <w:t xml:space="preserve">Governing Body Composition Review:</w:t>
      </w:r>
      <w:r w:rsidDel="00000000" w:rsidR="00000000" w:rsidRPr="00000000">
        <w:rPr>
          <w:rFonts w:ascii="Poppins" w:cs="Poppins" w:eastAsia="Poppins" w:hAnsi="Poppins"/>
          <w:sz w:val="24"/>
          <w:szCs w:val="24"/>
          <w:rtl w:val="0"/>
        </w:rPr>
        <w:t xml:space="preserve"> The board or its nominations committee reviews governing body composition at least annually. This review considers skills, experience, diversity, and any fit and proper person obligations under the Aged Care Act 2024. Any gaps identified are addressed through recruitment or targeted board development activities.</w:t>
      </w:r>
    </w:p>
    <w:p w:rsidR="00000000" w:rsidDel="00000000" w:rsidP="00000000" w:rsidRDefault="00000000" w:rsidRPr="00000000" w14:paraId="0000003D">
      <w:pPr>
        <w:numPr>
          <w:ilvl w:val="0"/>
          <w:numId w:val="1"/>
        </w:numPr>
        <w:spacing w:after="0" w:afterAutospacing="0" w:before="0" w:beforeAutospacing="0" w:lineRule="auto"/>
        <w:ind w:left="720" w:hanging="360"/>
      </w:pPr>
      <w:r w:rsidDel="00000000" w:rsidR="00000000" w:rsidRPr="00000000">
        <w:rPr>
          <w:rFonts w:ascii="Poppins" w:cs="Poppins" w:eastAsia="Poppins" w:hAnsi="Poppins"/>
          <w:b w:val="1"/>
          <w:bCs w:val="1"/>
          <w:sz w:val="24"/>
          <w:szCs w:val="24"/>
          <w:rtl w:val="0"/>
        </w:rPr>
        <w:t xml:space="preserve">Fit and Proper Person Checks:</w:t>
      </w:r>
      <w:r w:rsidDel="00000000" w:rsidR="00000000" w:rsidRPr="00000000">
        <w:rPr>
          <w:rFonts w:ascii="Poppins" w:cs="Poppins" w:eastAsia="Poppins" w:hAnsi="Poppins"/>
          <w:sz w:val="24"/>
          <w:szCs w:val="24"/>
          <w:rtl w:val="0"/>
        </w:rPr>
        <w:t xml:space="preserve"> Before appointment, and at each annual review, all governing body members and key personnel must complete a suitability declaration and consent to background screening as required by the Aged Care Act 2024. Records of declarations and screening outcomes are held in the governance register and made available to the Aged Care Quality and Safety Commission on request.</w:t>
      </w:r>
    </w:p>
    <w:p w:rsidR="00000000" w:rsidDel="00000000" w:rsidP="00000000" w:rsidRDefault="00000000" w:rsidRPr="00000000" w14:paraId="0000003E">
      <w:pPr>
        <w:numPr>
          <w:ilvl w:val="0"/>
          <w:numId w:val="1"/>
        </w:numPr>
        <w:spacing w:after="0" w:afterAutospacing="0" w:before="0" w:beforeAutospacing="0" w:lineRule="auto"/>
        <w:ind w:left="720" w:hanging="360"/>
      </w:pPr>
      <w:r w:rsidDel="00000000" w:rsidR="00000000" w:rsidRPr="00000000">
        <w:rPr>
          <w:rFonts w:ascii="Poppins" w:cs="Poppins" w:eastAsia="Poppins" w:hAnsi="Poppins"/>
          <w:b w:val="1"/>
          <w:bCs w:val="1"/>
          <w:sz w:val="24"/>
          <w:szCs w:val="24"/>
          <w:rtl w:val="0"/>
        </w:rPr>
        <w:t xml:space="preserve">Conflict of Interest Declaration:</w:t>
      </w:r>
      <w:r w:rsidDel="00000000" w:rsidR="00000000" w:rsidRPr="00000000">
        <w:rPr>
          <w:rFonts w:ascii="Poppins" w:cs="Poppins" w:eastAsia="Poppins" w:hAnsi="Poppins"/>
          <w:sz w:val="24"/>
          <w:szCs w:val="24"/>
          <w:rtl w:val="0"/>
        </w:rPr>
        <w:t xml:space="preserve"> All governing body members declare any actual, potential, or perceived conflicts of interest at the start of each meeting and whenever a new conflict arises. Declarations are recorded in the conflict of interest register. A member with a material conflict on a specific matter must not participate in the related discussion or vote.</w:t>
      </w:r>
    </w:p>
    <w:p w:rsidR="00000000" w:rsidDel="00000000" w:rsidP="00000000" w:rsidRDefault="00000000" w:rsidRPr="00000000" w14:paraId="0000003F">
      <w:pPr>
        <w:numPr>
          <w:ilvl w:val="0"/>
          <w:numId w:val="1"/>
        </w:numPr>
        <w:spacing w:after="0" w:afterAutospacing="0" w:before="0" w:beforeAutospacing="0" w:lineRule="auto"/>
        <w:ind w:left="720" w:hanging="360"/>
      </w:pPr>
      <w:r w:rsidDel="00000000" w:rsidR="00000000" w:rsidRPr="00000000">
        <w:rPr>
          <w:rFonts w:ascii="Poppins" w:cs="Poppins" w:eastAsia="Poppins" w:hAnsi="Poppins"/>
          <w:b w:val="1"/>
          <w:bCs w:val="1"/>
          <w:sz w:val="24"/>
          <w:szCs w:val="24"/>
          <w:rtl w:val="0"/>
        </w:rPr>
        <w:t xml:space="preserve">Performance Reporting to the Governing Body:</w:t>
      </w:r>
      <w:r w:rsidDel="00000000" w:rsidR="00000000" w:rsidRPr="00000000">
        <w:rPr>
          <w:rFonts w:ascii="Poppins" w:cs="Poppins" w:eastAsia="Poppins" w:hAnsi="Poppins"/>
          <w:sz w:val="24"/>
          <w:szCs w:val="24"/>
          <w:rtl w:val="0"/>
        </w:rPr>
        <w:t xml:space="preserve"> The CEO provides the governing body with a written performance report at each scheduled meeting. The report covers care quality indicators, incident and complaint summaries, financial performance, workforce data, and progress against the strategic plan. The governing body reviews the report, asks questions, and records any required actions in the meeting minutes.</w:t>
      </w:r>
    </w:p>
    <w:p w:rsidR="00000000" w:rsidDel="00000000" w:rsidP="00000000" w:rsidRDefault="00000000" w:rsidRPr="00000000" w14:paraId="00000040">
      <w:pPr>
        <w:numPr>
          <w:ilvl w:val="0"/>
          <w:numId w:val="1"/>
        </w:numPr>
        <w:spacing w:after="0" w:afterAutospacing="0" w:before="0" w:beforeAutospacing="0" w:lineRule="auto"/>
        <w:ind w:left="720" w:hanging="360"/>
      </w:pPr>
      <w:r w:rsidDel="00000000" w:rsidR="00000000" w:rsidRPr="00000000">
        <w:rPr>
          <w:rFonts w:ascii="Poppins" w:cs="Poppins" w:eastAsia="Poppins" w:hAnsi="Poppins"/>
          <w:b w:val="1"/>
          <w:bCs w:val="1"/>
          <w:sz w:val="24"/>
          <w:szCs w:val="24"/>
          <w:rtl w:val="0"/>
        </w:rPr>
        <w:t xml:space="preserve">Delegation of Authority:</w:t>
      </w:r>
      <w:r w:rsidDel="00000000" w:rsidR="00000000" w:rsidRPr="00000000">
        <w:rPr>
          <w:rFonts w:ascii="Poppins" w:cs="Poppins" w:eastAsia="Poppins" w:hAnsi="Poppins"/>
          <w:sz w:val="24"/>
          <w:szCs w:val="24"/>
          <w:rtl w:val="0"/>
        </w:rPr>
        <w:t xml:space="preserve"> The governing body maintains a delegation register that records which decisions are reserved for the board and which are delegated to the CEO or other roles. The register is reviewed annually and updated whenever organisational changes affect authority levels. No person may act beyond their delegated authority without prior board approval.</w:t>
      </w:r>
    </w:p>
    <w:p w:rsidR="00000000" w:rsidDel="00000000" w:rsidP="00000000" w:rsidRDefault="00000000" w:rsidRPr="00000000" w14:paraId="00000041">
      <w:pPr>
        <w:numPr>
          <w:ilvl w:val="0"/>
          <w:numId w:val="1"/>
        </w:numPr>
        <w:spacing w:after="0" w:afterAutospacing="0" w:before="0" w:beforeAutospacing="0" w:lineRule="auto"/>
        <w:ind w:left="720" w:hanging="360"/>
      </w:pPr>
      <w:r w:rsidDel="00000000" w:rsidR="00000000" w:rsidRPr="00000000">
        <w:rPr>
          <w:rFonts w:ascii="Poppins" w:cs="Poppins" w:eastAsia="Poppins" w:hAnsi="Poppins"/>
          <w:b w:val="1"/>
          <w:bCs w:val="1"/>
          <w:sz w:val="24"/>
          <w:szCs w:val="24"/>
          <w:rtl w:val="0"/>
        </w:rPr>
        <w:t xml:space="preserve">Board Self-Assessment:</w:t>
      </w:r>
      <w:r w:rsidDel="00000000" w:rsidR="00000000" w:rsidRPr="00000000">
        <w:rPr>
          <w:rFonts w:ascii="Poppins" w:cs="Poppins" w:eastAsia="Poppins" w:hAnsi="Poppins"/>
          <w:sz w:val="24"/>
          <w:szCs w:val="24"/>
          <w:rtl w:val="0"/>
        </w:rPr>
        <w:t xml:space="preserve"> The governing body conducts a formal self-assessment at least once per year. The assessment covers board effectiveness, skill gaps, meeting conduct, and performance against governance obligations. Results are used to set priorities for board development and to inform the next governance policy review.</w:t>
      </w:r>
    </w:p>
    <w:p w:rsidR="00000000" w:rsidDel="00000000" w:rsidP="00000000" w:rsidRDefault="00000000" w:rsidRPr="00000000" w14:paraId="00000042">
      <w:pPr>
        <w:numPr>
          <w:ilvl w:val="0"/>
          <w:numId w:val="1"/>
        </w:numPr>
        <w:spacing w:after="0" w:afterAutospacing="0" w:before="0" w:beforeAutospacing="0" w:lineRule="auto"/>
        <w:ind w:left="720" w:hanging="360"/>
      </w:pPr>
      <w:r w:rsidDel="00000000" w:rsidR="00000000" w:rsidRPr="00000000">
        <w:rPr>
          <w:rFonts w:ascii="Poppins" w:cs="Poppins" w:eastAsia="Poppins" w:hAnsi="Poppins"/>
          <w:b w:val="1"/>
          <w:bCs w:val="1"/>
          <w:sz w:val="24"/>
          <w:szCs w:val="24"/>
          <w:rtl w:val="0"/>
        </w:rPr>
        <w:t xml:space="preserve">Escalation of Significant Matters:</w:t>
      </w:r>
      <w:r w:rsidDel="00000000" w:rsidR="00000000" w:rsidRPr="00000000">
        <w:rPr>
          <w:rFonts w:ascii="Poppins" w:cs="Poppins" w:eastAsia="Poppins" w:hAnsi="Poppins"/>
          <w:sz w:val="24"/>
          <w:szCs w:val="24"/>
          <w:rtl w:val="0"/>
        </w:rPr>
        <w:t xml:space="preserve"> The CEO must escalate to the board chair within 24 hours any matter that poses a significant risk to resident safety, organisational reputation, financial stability, or regulatory standing. The board chair determines whether an extraordinary meeting is required. All escalations and actions taken are documented.</w:t>
      </w:r>
    </w:p>
    <w:p w:rsidR="00000000" w:rsidDel="00000000" w:rsidP="00000000" w:rsidRDefault="00000000" w:rsidRPr="00000000" w14:paraId="00000043">
      <w:pPr>
        <w:numPr>
          <w:ilvl w:val="0"/>
          <w:numId w:val="1"/>
        </w:numPr>
        <w:spacing w:after="240" w:before="0" w:beforeAutospacing="0" w:lineRule="auto"/>
        <w:ind w:left="720" w:hanging="360"/>
      </w:pPr>
      <w:r w:rsidDel="00000000" w:rsidR="00000000" w:rsidRPr="00000000">
        <w:rPr>
          <w:rFonts w:ascii="Poppins" w:cs="Poppins" w:eastAsia="Poppins" w:hAnsi="Poppins"/>
          <w:b w:val="1"/>
          <w:bCs w:val="1"/>
          <w:sz w:val="24"/>
          <w:szCs w:val="24"/>
          <w:rtl w:val="0"/>
        </w:rPr>
        <w:t xml:space="preserve">Regulatory Engagement:</w:t>
      </w:r>
      <w:r w:rsidDel="00000000" w:rsidR="00000000" w:rsidRPr="00000000">
        <w:rPr>
          <w:rFonts w:ascii="Poppins" w:cs="Poppins" w:eastAsia="Poppins" w:hAnsi="Poppins"/>
          <w:sz w:val="24"/>
          <w:szCs w:val="24"/>
          <w:rtl w:val="0"/>
        </w:rPr>
        <w:t xml:space="preserve"> The governing body is informed of all significant interactions with the Aged Care Quality and Safety Commission, including audits, notices, and registration changes. The CEO co-ordinates responses to regulatory inquiries and reports outcomes to the board at the next scheduled meeting or sooner if the matter is time-sensitive.</w:t>
      </w:r>
    </w:p>
    <w:p w:rsidR="00000000" w:rsidDel="00000000" w:rsidP="00000000" w:rsidRDefault="00000000" w:rsidRPr="00000000" w14:paraId="00000044">
      <w:pPr>
        <w:pStyle w:val="Heading2"/>
        <w:keepNext w:val="0"/>
        <w:keepLines w:val="0"/>
        <w:spacing w:after="80" w:lineRule="auto"/>
        <w:rPr>
          <w:rFonts w:ascii="Poppins" w:cs="Poppins" w:eastAsia="Poppins" w:hAnsi="Poppins"/>
          <w:b w:val="1"/>
          <w:bCs w:val="1"/>
          <w:sz w:val="34"/>
          <w:szCs w:val="34"/>
        </w:rPr>
      </w:pPr>
      <w:bookmarkStart w:colFirst="0" w:colLast="0" w:name="_yu30kf2j2voh" w:id="7"/>
      <w:bookmarkEnd w:id="7"/>
      <w:r w:rsidDel="00000000" w:rsidR="00000000" w:rsidRPr="00000000">
        <w:rPr>
          <w:rFonts w:ascii="Poppins" w:cs="Poppins" w:eastAsia="Poppins" w:hAnsi="Poppins"/>
          <w:b w:val="1"/>
          <w:bCs w:val="1"/>
          <w:sz w:val="34"/>
          <w:szCs w:val="34"/>
          <w:rtl w:val="0"/>
        </w:rPr>
        <w:t xml:space="preserve">8. Monitoring and Review</w:t>
      </w:r>
    </w:p>
    <w:p w:rsidR="00000000" w:rsidDel="00000000" w:rsidP="00000000" w:rsidRDefault="00000000" w:rsidRPr="00000000" w14:paraId="00000045">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policy is reviewed annually by the Governance Officer in consultation with the CEO and Board Chair. A review may also be triggered by changes to the Aged Care Act 2024, the Strengthened Aged Care Quality Standards, the organisation's legal structure, or following a significant governance incident or regulatory finding.</w:t>
      </w:r>
    </w:p>
    <w:p w:rsidR="00000000" w:rsidDel="00000000" w:rsidP="00000000" w:rsidRDefault="00000000" w:rsidRPr="00000000" w14:paraId="00000046">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review considers whether procedures remain current and practical, whether roles and responsibilities reflect the actual structure of the organisation, and whether any gaps have been identified through audits, self-assessments, or staff feedback. The revised policy is approved by the governing body before it takes effect and is communicated to all relevant staff.</w:t>
      </w:r>
    </w:p>
    <w:p w:rsidR="00000000" w:rsidDel="00000000" w:rsidP="00000000" w:rsidRDefault="00000000" w:rsidRPr="00000000" w14:paraId="00000047">
      <w:pPr>
        <w:spacing w:after="240" w:befor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date of each review and any changes made are recorded in the Document Control table at the end of this policy.</w:t>
      </w:r>
    </w:p>
    <w:p w:rsidR="00000000" w:rsidDel="00000000" w:rsidP="00000000" w:rsidRDefault="00000000" w:rsidRPr="00000000" w14:paraId="00000048">
      <w:pPr>
        <w:pStyle w:val="Heading2"/>
        <w:keepNext w:val="0"/>
        <w:keepLines w:val="0"/>
        <w:spacing w:after="80" w:lineRule="auto"/>
        <w:rPr>
          <w:rFonts w:ascii="Poppins" w:cs="Poppins" w:eastAsia="Poppins" w:hAnsi="Poppins"/>
          <w:b w:val="1"/>
          <w:bCs w:val="1"/>
          <w:sz w:val="34"/>
          <w:szCs w:val="34"/>
        </w:rPr>
      </w:pPr>
      <w:bookmarkStart w:colFirst="0" w:colLast="0" w:name="_3rr5h0n4tn0u" w:id="8"/>
      <w:bookmarkEnd w:id="8"/>
      <w:r w:rsidDel="00000000" w:rsidR="00000000" w:rsidRPr="00000000">
        <w:rPr>
          <w:rFonts w:ascii="Poppins" w:cs="Poppins" w:eastAsia="Poppins" w:hAnsi="Poppins"/>
          <w:b w:val="1"/>
          <w:bCs w:val="1"/>
          <w:sz w:val="34"/>
          <w:szCs w:val="34"/>
          <w:rtl w:val="0"/>
        </w:rPr>
        <w:t xml:space="preserve">9. Related Policies and Documents</w:t>
      </w:r>
    </w:p>
    <w:p w:rsidR="00000000" w:rsidDel="00000000" w:rsidP="00000000" w:rsidRDefault="00000000" w:rsidRPr="00000000" w14:paraId="00000049">
      <w:pPr>
        <w:numPr>
          <w:ilvl w:val="0"/>
          <w:numId w:val="3"/>
        </w:numPr>
        <w:spacing w:after="0" w:afterAutospacing="0" w:before="240" w:lineRule="auto"/>
        <w:ind w:left="720" w:hanging="360"/>
        <w:rPr>
          <w:rFonts w:ascii="Poppins" w:cs="Poppins" w:eastAsia="Poppins" w:hAnsi="Poppins"/>
        </w:rPr>
      </w:pPr>
      <w:r w:rsidDel="00000000" w:rsidR="00000000" w:rsidRPr="00000000">
        <w:rPr>
          <w:rFonts w:ascii="Poppins" w:cs="Poppins" w:eastAsia="Poppins" w:hAnsi="Poppins"/>
          <w:sz w:val="24"/>
          <w:szCs w:val="24"/>
          <w:rtl w:val="0"/>
        </w:rPr>
        <w:t xml:space="preserve">Risk Management Policy</w:t>
      </w:r>
    </w:p>
    <w:p w:rsidR="00000000" w:rsidDel="00000000" w:rsidP="00000000" w:rsidRDefault="00000000" w:rsidRPr="00000000" w14:paraId="0000004A">
      <w:pPr>
        <w:numPr>
          <w:ilvl w:val="0"/>
          <w:numId w:val="3"/>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sz w:val="24"/>
          <w:szCs w:val="24"/>
          <w:rtl w:val="0"/>
        </w:rPr>
        <w:t xml:space="preserve">Delegation of Authority Policy</w:t>
      </w:r>
    </w:p>
    <w:p w:rsidR="00000000" w:rsidDel="00000000" w:rsidP="00000000" w:rsidRDefault="00000000" w:rsidRPr="00000000" w14:paraId="0000004B">
      <w:pPr>
        <w:numPr>
          <w:ilvl w:val="0"/>
          <w:numId w:val="3"/>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sz w:val="24"/>
          <w:szCs w:val="24"/>
          <w:rtl w:val="0"/>
        </w:rPr>
        <w:t xml:space="preserve">Conflict of Interest Policy</w:t>
      </w:r>
    </w:p>
    <w:p w:rsidR="00000000" w:rsidDel="00000000" w:rsidP="00000000" w:rsidRDefault="00000000" w:rsidRPr="00000000" w14:paraId="0000004C">
      <w:pPr>
        <w:numPr>
          <w:ilvl w:val="0"/>
          <w:numId w:val="3"/>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sz w:val="24"/>
          <w:szCs w:val="24"/>
          <w:rtl w:val="0"/>
        </w:rPr>
        <w:t xml:space="preserve">Code of Conduct Policy</w:t>
      </w:r>
    </w:p>
    <w:p w:rsidR="00000000" w:rsidDel="00000000" w:rsidP="00000000" w:rsidRDefault="00000000" w:rsidRPr="00000000" w14:paraId="0000004D">
      <w:pPr>
        <w:numPr>
          <w:ilvl w:val="0"/>
          <w:numId w:val="3"/>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sz w:val="24"/>
          <w:szCs w:val="24"/>
          <w:rtl w:val="0"/>
        </w:rPr>
        <w:t xml:space="preserve">Incident Management and Reporting Policy</w:t>
      </w:r>
    </w:p>
    <w:p w:rsidR="00000000" w:rsidDel="00000000" w:rsidP="00000000" w:rsidRDefault="00000000" w:rsidRPr="00000000" w14:paraId="0000004E">
      <w:pPr>
        <w:numPr>
          <w:ilvl w:val="0"/>
          <w:numId w:val="3"/>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sz w:val="24"/>
          <w:szCs w:val="24"/>
          <w:rtl w:val="0"/>
        </w:rPr>
        <w:t xml:space="preserve">Complaints Management Policy</w:t>
      </w:r>
    </w:p>
    <w:p w:rsidR="00000000" w:rsidDel="00000000" w:rsidP="00000000" w:rsidRDefault="00000000" w:rsidRPr="00000000" w14:paraId="0000004F">
      <w:pPr>
        <w:numPr>
          <w:ilvl w:val="0"/>
          <w:numId w:val="3"/>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sz w:val="24"/>
          <w:szCs w:val="24"/>
          <w:rtl w:val="0"/>
        </w:rPr>
        <w:t xml:space="preserve">Workforce Screening and Recruitment Policy</w:t>
      </w:r>
    </w:p>
    <w:p w:rsidR="00000000" w:rsidDel="00000000" w:rsidP="00000000" w:rsidRDefault="00000000" w:rsidRPr="00000000" w14:paraId="00000050">
      <w:pPr>
        <w:numPr>
          <w:ilvl w:val="0"/>
          <w:numId w:val="3"/>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sz w:val="24"/>
          <w:szCs w:val="24"/>
          <w:rtl w:val="0"/>
        </w:rPr>
        <w:t xml:space="preserve">Strategic Plan [CURRENT YEAR]</w:t>
      </w:r>
    </w:p>
    <w:p w:rsidR="00000000" w:rsidDel="00000000" w:rsidP="00000000" w:rsidRDefault="00000000" w:rsidRPr="00000000" w14:paraId="00000051">
      <w:pPr>
        <w:numPr>
          <w:ilvl w:val="0"/>
          <w:numId w:val="3"/>
        </w:numPr>
        <w:spacing w:after="240" w:before="0" w:beforeAutospacing="0" w:lineRule="auto"/>
        <w:ind w:left="720" w:hanging="360"/>
        <w:rPr>
          <w:rFonts w:ascii="Poppins" w:cs="Poppins" w:eastAsia="Poppins" w:hAnsi="Poppins"/>
        </w:rPr>
      </w:pPr>
      <w:r w:rsidDel="00000000" w:rsidR="00000000" w:rsidRPr="00000000">
        <w:rPr>
          <w:rFonts w:ascii="Poppins" w:cs="Poppins" w:eastAsia="Poppins" w:hAnsi="Poppins"/>
          <w:sz w:val="24"/>
          <w:szCs w:val="24"/>
          <w:rtl w:val="0"/>
        </w:rPr>
        <w:t xml:space="preserve">Governing Body Terms of Reference</w:t>
      </w:r>
    </w:p>
    <w:p w:rsidR="00000000" w:rsidDel="00000000" w:rsidP="00000000" w:rsidRDefault="00000000" w:rsidRPr="00000000" w14:paraId="00000052">
      <w:pPr>
        <w:pStyle w:val="Heading2"/>
        <w:keepNext w:val="0"/>
        <w:keepLines w:val="0"/>
        <w:spacing w:after="80" w:lineRule="auto"/>
        <w:rPr>
          <w:rFonts w:ascii="Poppins" w:cs="Poppins" w:eastAsia="Poppins" w:hAnsi="Poppins"/>
          <w:b w:val="1"/>
          <w:bCs w:val="1"/>
          <w:sz w:val="34"/>
          <w:szCs w:val="34"/>
        </w:rPr>
      </w:pPr>
      <w:bookmarkStart w:colFirst="0" w:colLast="0" w:name="_ch48zyqx545p" w:id="9"/>
      <w:bookmarkEnd w:id="9"/>
      <w:r w:rsidDel="00000000" w:rsidR="00000000" w:rsidRPr="00000000">
        <w:rPr>
          <w:rFonts w:ascii="Poppins" w:cs="Poppins" w:eastAsia="Poppins" w:hAnsi="Poppins"/>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3">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4">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5">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6">
            <w:pPr>
              <w:rPr>
                <w:rFonts w:ascii="Poppins" w:cs="Poppins" w:eastAsia="Poppins" w:hAnsi="Poppins"/>
                <w:sz w:val="24"/>
                <w:szCs w:val="24"/>
              </w:rPr>
            </w:pPr>
            <w:r w:rsidDel="00000000" w:rsidR="00000000" w:rsidRPr="00000000">
              <w:rPr>
                <w:rFonts w:ascii="Poppins" w:cs="Poppins" w:eastAsia="Poppins" w:hAnsi="Poppins"/>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7">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8">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9">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A">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Initial version</w:t>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B">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C">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D">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E">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tc>
      </w:tr>
    </w:tbl>
    <w:p w:rsidR="00000000" w:rsidDel="00000000" w:rsidP="00000000" w:rsidRDefault="00000000" w:rsidRPr="00000000" w14:paraId="0000005F">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