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40" w:before="480" w:lineRule="auto"/>
        <w:jc w:val="center"/>
        <w:rPr>
          <w:rFonts w:ascii="Times New Roman" w:cs="Times New Roman" w:eastAsia="Times New Roman" w:hAnsi="Times New Roman"/>
          <w:b w:val="1"/>
          <w:bCs w:val="1"/>
          <w:sz w:val="67"/>
          <w:szCs w:val="67"/>
        </w:rPr>
      </w:pPr>
      <w:bookmarkStart w:colFirst="0" w:colLast="0" w:name="_eqr8q5z8absu" w:id="0"/>
      <w:bookmarkEnd w:id="0"/>
      <w:r w:rsidDel="00000000" w:rsidR="00000000" w:rsidRPr="00000000">
        <w:rPr>
          <w:rFonts w:ascii="Times New Roman" w:cs="Times New Roman" w:eastAsia="Times New Roman" w:hAnsi="Times New Roman"/>
          <w:b w:val="1"/>
          <w:bCs w:val="1"/>
          <w:sz w:val="67"/>
          <w:szCs w:val="67"/>
          <w:rtl w:val="0"/>
        </w:rPr>
        <w:t xml:space="preserve">RESIDENTIAL AGED CARE POLICY</w:t>
      </w:r>
    </w:p>
    <w:p w:rsidR="00000000" w:rsidDel="00000000" w:rsidP="00000000" w:rsidRDefault="00000000" w:rsidRPr="00000000" w14:paraId="00000002">
      <w:pPr>
        <w:pStyle w:val="Heading2"/>
        <w:keepNext w:val="0"/>
        <w:keepLines w:val="0"/>
        <w:spacing w:after="520" w:before="0" w:lineRule="auto"/>
        <w:jc w:val="center"/>
        <w:rPr>
          <w:rFonts w:ascii="Times New Roman" w:cs="Times New Roman" w:eastAsia="Times New Roman" w:hAnsi="Times New Roman"/>
          <w:b w:val="1"/>
          <w:bCs w:val="1"/>
          <w:sz w:val="43"/>
          <w:szCs w:val="43"/>
        </w:rPr>
      </w:pPr>
      <w:bookmarkStart w:colFirst="0" w:colLast="0" w:name="_xj1mu2c6qwzc" w:id="1"/>
      <w:bookmarkEnd w:id="1"/>
      <w:r w:rsidDel="00000000" w:rsidR="00000000" w:rsidRPr="00000000">
        <w:rPr>
          <w:rFonts w:ascii="Times New Roman" w:cs="Times New Roman" w:eastAsia="Times New Roman" w:hAnsi="Times New Roman"/>
          <w:b w:val="1"/>
          <w:bCs w:val="1"/>
          <w:sz w:val="43"/>
          <w:szCs w:val="43"/>
          <w:rtl w:val="0"/>
        </w:rPr>
        <w:t xml:space="preserve">Veteran and Specific Population Care Policy</w:t>
      </w:r>
    </w:p>
    <w:tbl>
      <w:tblPr>
        <w:tblStyle w:val="Table1"/>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1932.7433628318586"/>
        <w:gridCol w:w="2816.2831858407076"/>
        <w:gridCol w:w="1794.6902654867256"/>
        <w:tblGridChange w:id="0">
          <w:tblGrid>
            <w:gridCol w:w="2816.2831858407076"/>
            <w:gridCol w:w="1932.7433628318586"/>
            <w:gridCol w:w="2816.2831858407076"/>
            <w:gridCol w:w="1794.6902654867256"/>
          </w:tblGrid>
        </w:tblGridChange>
      </w:tblGrid>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Facility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[DOC-XXX]</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Veteran and Specific Population Care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Policy Owner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w:t>
            </w:r>
          </w:p>
        </w:tc>
      </w:tr>
    </w:tbl>
    <w:p w:rsidR="00000000" w:rsidDel="00000000" w:rsidP="00000000" w:rsidRDefault="00000000" w:rsidRPr="00000000" w14:paraId="00000013">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ho4lea306das" w:id="2"/>
      <w:bookmarkEnd w:id="2"/>
      <w:r w:rsidDel="00000000" w:rsidR="00000000" w:rsidRPr="00000000">
        <w:rPr>
          <w:rFonts w:ascii="Times New Roman" w:cs="Times New Roman" w:eastAsia="Times New Roman" w:hAnsi="Times New Roman"/>
          <w:b w:val="1"/>
          <w:bCs w:val="1"/>
          <w:sz w:val="36"/>
          <w:szCs w:val="36"/>
          <w:rtl w:val="0"/>
        </w:rPr>
        <w:t xml:space="preserve">1. Purpose</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establishes the framework through which [FACILITY NAME] identifies, assesses, and delivers care that is specifically responsive to the unique needs, entitlements, and experiences of veterans and current serving Australian Defence Force (ADF) members residing in or accessing the facility. It ensures that veteran residents receive care that acknowledges their service, respects service-related health conditions including trauma and psychological injury, and maximises their access to entitled Department of Veterans' Affairs (DVA) benefits in conjunction with aged care funding. This policy further supports [FACILITY NAME]'s commitment to delivering care that is person-centred, dignified, and informed by the specific cultural and operational context of military service.</w:t>
      </w:r>
    </w:p>
    <w:p w:rsidR="00000000" w:rsidDel="00000000" w:rsidP="00000000" w:rsidRDefault="00000000" w:rsidRPr="00000000" w14:paraId="00000015">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rxk9gin5n16e" w:id="3"/>
      <w:bookmarkEnd w:id="3"/>
      <w:r w:rsidDel="00000000" w:rsidR="00000000" w:rsidRPr="00000000">
        <w:rPr>
          <w:rFonts w:ascii="Times New Roman" w:cs="Times New Roman" w:eastAsia="Times New Roman" w:hAnsi="Times New Roman"/>
          <w:b w:val="1"/>
          <w:bCs w:val="1"/>
          <w:sz w:val="36"/>
          <w:szCs w:val="36"/>
          <w:rtl w:val="0"/>
        </w:rPr>
        <w:t xml:space="preserve">2. Scope</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17">
      <w:pPr>
        <w:numPr>
          <w:ilvl w:val="0"/>
          <w:numId w:val="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employees of [FACILITY NAME], including permanent, part-time, casual, and agency staff across clinical, personal care, administrative, allied health, catering, and ancillary roles.</w:t>
      </w:r>
    </w:p>
    <w:p w:rsidR="00000000" w:rsidDel="00000000" w:rsidP="00000000" w:rsidRDefault="00000000" w:rsidRPr="00000000" w14:paraId="00000018">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Contractors, volunteers, and students on placement who interact with residents.</w:t>
      </w:r>
    </w:p>
    <w:p w:rsidR="00000000" w:rsidDel="00000000" w:rsidP="00000000" w:rsidRDefault="00000000" w:rsidRPr="00000000" w14:paraId="00000019">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current and prospective residents who are veterans, war widows/widowers, or current or former ADF members, including those with DVA Gold, White, or Orange Cards.</w:t>
      </w:r>
    </w:p>
    <w:p w:rsidR="00000000" w:rsidDel="00000000" w:rsidP="00000000" w:rsidRDefault="00000000" w:rsidRPr="00000000" w14:paraId="0000001A">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Family members and nominated representatives of veteran residents, to the extent relevant to care planning and communication.</w:t>
      </w:r>
    </w:p>
    <w:p w:rsidR="00000000" w:rsidDel="00000000" w:rsidP="00000000" w:rsidRDefault="00000000" w:rsidRPr="00000000" w14:paraId="0000001B">
      <w:pPr>
        <w:numPr>
          <w:ilvl w:val="0"/>
          <w:numId w:val="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Allied health professionals and visiting medical officers providing services to veteran residents under DVA-funded arrangements.</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care settings operated by [FACILITY NAME], including permanent residential aged care, short-term restorative care, and respite services.</w:t>
      </w:r>
    </w:p>
    <w:p w:rsidR="00000000" w:rsidDel="00000000" w:rsidP="00000000" w:rsidRDefault="00000000" w:rsidRPr="00000000" w14:paraId="0000001D">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7r85irvinmum" w:id="4"/>
      <w:bookmarkEnd w:id="4"/>
      <w:r w:rsidDel="00000000" w:rsidR="00000000" w:rsidRPr="00000000">
        <w:rPr>
          <w:rFonts w:ascii="Times New Roman" w:cs="Times New Roman" w:eastAsia="Times New Roman" w:hAnsi="Times New Roman"/>
          <w:b w:val="1"/>
          <w:bCs w:val="1"/>
          <w:sz w:val="36"/>
          <w:szCs w:val="36"/>
          <w:rtl w:val="0"/>
        </w:rPr>
        <w:t xml:space="preserve">3. Definitions</w:t>
      </w:r>
    </w:p>
    <w:p w:rsidR="00000000" w:rsidDel="00000000" w:rsidP="00000000" w:rsidRDefault="00000000" w:rsidRPr="00000000" w14:paraId="0000001E">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Veteran</w:t>
      </w:r>
    </w:p>
    <w:p w:rsidR="00000000" w:rsidDel="00000000" w:rsidP="00000000" w:rsidRDefault="00000000" w:rsidRPr="00000000" w14:paraId="0000001F">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person who has served in the Australian Defence Force (ADF) or allied forces, or a person recognised under the </w:t>
      </w:r>
      <w:r w:rsidDel="00000000" w:rsidR="00000000" w:rsidRPr="00000000">
        <w:rPr>
          <w:rFonts w:ascii="Times New Roman" w:cs="Times New Roman" w:eastAsia="Times New Roman" w:hAnsi="Times New Roman"/>
          <w:i w:val="1"/>
          <w:iCs w:val="1"/>
          <w:sz w:val="24"/>
          <w:szCs w:val="24"/>
          <w:rtl w:val="0"/>
        </w:rPr>
        <w:t xml:space="preserve">Veterans' Entitlements Act 1986</w:t>
      </w:r>
      <w:r w:rsidDel="00000000" w:rsidR="00000000" w:rsidRPr="00000000">
        <w:rPr>
          <w:rFonts w:ascii="Times New Roman" w:cs="Times New Roman" w:eastAsia="Times New Roman" w:hAnsi="Times New Roman"/>
          <w:sz w:val="24"/>
          <w:szCs w:val="24"/>
          <w:rtl w:val="0"/>
        </w:rPr>
        <w:t xml:space="preserve"> (VEA) or the </w:t>
      </w:r>
      <w:r w:rsidDel="00000000" w:rsidR="00000000" w:rsidRPr="00000000">
        <w:rPr>
          <w:rFonts w:ascii="Times New Roman" w:cs="Times New Roman" w:eastAsia="Times New Roman" w:hAnsi="Times New Roman"/>
          <w:i w:val="1"/>
          <w:iCs w:val="1"/>
          <w:sz w:val="24"/>
          <w:szCs w:val="24"/>
          <w:rtl w:val="0"/>
        </w:rPr>
        <w:t xml:space="preserve">Military Rehabilitation and Compensation Act 2004</w:t>
      </w:r>
      <w:r w:rsidDel="00000000" w:rsidR="00000000" w:rsidRPr="00000000">
        <w:rPr>
          <w:rFonts w:ascii="Times New Roman" w:cs="Times New Roman" w:eastAsia="Times New Roman" w:hAnsi="Times New Roman"/>
          <w:sz w:val="24"/>
          <w:szCs w:val="24"/>
          <w:rtl w:val="0"/>
        </w:rPr>
        <w:t xml:space="preserve"> (MRCA) as eligible for DVA benefits. For the purposes of this policy, the term also encompasses war widows and widowers of eligible veterans.</w:t>
      </w:r>
    </w:p>
    <w:p w:rsidR="00000000" w:rsidDel="00000000" w:rsidP="00000000" w:rsidRDefault="00000000" w:rsidRPr="00000000" w14:paraId="00000020">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DVA Card</w:t>
      </w:r>
    </w:p>
    <w:p w:rsidR="00000000" w:rsidDel="00000000" w:rsidP="00000000" w:rsidRDefault="00000000" w:rsidRPr="00000000" w14:paraId="00000021">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card issued by the Department of Veterans' Affairs to eligible veterans and dependants indicating the level of health care coverage: </w:t>
      </w:r>
      <w:r w:rsidDel="00000000" w:rsidR="00000000" w:rsidRPr="00000000">
        <w:rPr>
          <w:rFonts w:ascii="Times New Roman" w:cs="Times New Roman" w:eastAsia="Times New Roman" w:hAnsi="Times New Roman"/>
          <w:b w:val="1"/>
          <w:bCs w:val="1"/>
          <w:sz w:val="24"/>
          <w:szCs w:val="24"/>
          <w:rtl w:val="0"/>
        </w:rPr>
        <w:t xml:space="preserve">Gold Card</w:t>
      </w:r>
      <w:r w:rsidDel="00000000" w:rsidR="00000000" w:rsidRPr="00000000">
        <w:rPr>
          <w:rFonts w:ascii="Times New Roman" w:cs="Times New Roman" w:eastAsia="Times New Roman" w:hAnsi="Times New Roman"/>
          <w:sz w:val="24"/>
          <w:szCs w:val="24"/>
          <w:rtl w:val="0"/>
        </w:rPr>
        <w:t xml:space="preserve"> (all health conditions, generally for those with qualifying service or TPI/EDA pensions), </w:t>
      </w:r>
      <w:r w:rsidDel="00000000" w:rsidR="00000000" w:rsidRPr="00000000">
        <w:rPr>
          <w:rFonts w:ascii="Times New Roman" w:cs="Times New Roman" w:eastAsia="Times New Roman" w:hAnsi="Times New Roman"/>
          <w:b w:val="1"/>
          <w:bCs w:val="1"/>
          <w:sz w:val="24"/>
          <w:szCs w:val="24"/>
          <w:rtl w:val="0"/>
        </w:rPr>
        <w:t xml:space="preserve">White Card</w:t>
      </w:r>
      <w:r w:rsidDel="00000000" w:rsidR="00000000" w:rsidRPr="00000000">
        <w:rPr>
          <w:rFonts w:ascii="Times New Roman" w:cs="Times New Roman" w:eastAsia="Times New Roman" w:hAnsi="Times New Roman"/>
          <w:sz w:val="24"/>
          <w:szCs w:val="24"/>
          <w:rtl w:val="0"/>
        </w:rPr>
        <w:t xml:space="preserve"> (specific accepted service-related conditions only), or </w:t>
      </w:r>
      <w:r w:rsidDel="00000000" w:rsidR="00000000" w:rsidRPr="00000000">
        <w:rPr>
          <w:rFonts w:ascii="Times New Roman" w:cs="Times New Roman" w:eastAsia="Times New Roman" w:hAnsi="Times New Roman"/>
          <w:b w:val="1"/>
          <w:bCs w:val="1"/>
          <w:sz w:val="24"/>
          <w:szCs w:val="24"/>
          <w:rtl w:val="0"/>
        </w:rPr>
        <w:t xml:space="preserve">Orange Card</w:t>
      </w:r>
      <w:r w:rsidDel="00000000" w:rsidR="00000000" w:rsidRPr="00000000">
        <w:rPr>
          <w:rFonts w:ascii="Times New Roman" w:cs="Times New Roman" w:eastAsia="Times New Roman" w:hAnsi="Times New Roman"/>
          <w:sz w:val="24"/>
          <w:szCs w:val="24"/>
          <w:rtl w:val="0"/>
        </w:rPr>
        <w:t xml:space="preserve"> (pharmaceutical benefits only, generally for war widows/widowers).</w:t>
      </w:r>
    </w:p>
    <w:p w:rsidR="00000000" w:rsidDel="00000000" w:rsidP="00000000" w:rsidRDefault="00000000" w:rsidRPr="00000000" w14:paraId="00000022">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Trauma-Informed Care</w:t>
      </w:r>
    </w:p>
    <w:p w:rsidR="00000000" w:rsidDel="00000000" w:rsidP="00000000" w:rsidRDefault="00000000" w:rsidRPr="00000000" w14:paraId="00000023">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organisational framework that recognises the widespread impact of trauma, integrates knowledge about trauma into policies, procedures, and practices, and seeks to actively resist re-traumatisation. In the context of veteran care, this includes understanding the potential for post-traumatic stress disorder (PTSD), moral injury, combat trauma, and the particular triggers that may arise within a care environment.</w:t>
      </w:r>
    </w:p>
    <w:p w:rsidR="00000000" w:rsidDel="00000000" w:rsidP="00000000" w:rsidRDefault="00000000" w:rsidRPr="00000000" w14:paraId="00000024">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Open Arms</w:t>
      </w:r>
    </w:p>
    <w:p w:rsidR="00000000" w:rsidDel="00000000" w:rsidP="00000000" w:rsidRDefault="00000000" w:rsidRPr="00000000" w14:paraId="00000025">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DVA-funded Veterans and Families Counselling service (formerly known as VVCS) that provides free, confidential mental health and counselling services to current and former ADF members and their families. Open Arms operates a national 24-hour crisis line (1800 011 046).</w:t>
      </w:r>
    </w:p>
    <w:p w:rsidR="00000000" w:rsidDel="00000000" w:rsidP="00000000" w:rsidRDefault="00000000" w:rsidRPr="00000000" w14:paraId="00000026">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Specific Population</w:t>
      </w:r>
    </w:p>
    <w:p w:rsidR="00000000" w:rsidDel="00000000" w:rsidP="00000000" w:rsidRDefault="00000000" w:rsidRPr="00000000" w14:paraId="00000027">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this policy, refers to residents whose background, experience, or identity creates particular and recognised needs that require tailored care approaches beyond standard aged care provision, with primary focus on veterans and ADF members but also inclusive of war widows/widowers and those with significant exposure to operational service environments.</w:t>
      </w:r>
    </w:p>
    <w:p w:rsidR="00000000" w:rsidDel="00000000" w:rsidP="00000000" w:rsidRDefault="00000000" w:rsidRPr="00000000" w14:paraId="00000028">
      <w:pPr>
        <w:spacing w:before="20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DVA Community Nursing</w:t>
      </w:r>
    </w:p>
    <w:p w:rsidR="00000000" w:rsidDel="00000000" w:rsidP="00000000" w:rsidRDefault="00000000" w:rsidRPr="00000000" w14:paraId="00000029">
      <w:pPr>
        <w:spacing w:before="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DVA-funded nursing service available to eligible veterans at home or in residential care settings, which can supplement or interact with facility-provided nursing care. In residential aged care, the interaction of DVA and aged care funding streams must be managed in accordance with DVA Aged Care Guidelines to avoid double-billing.</w:t>
      </w:r>
    </w:p>
    <w:p w:rsidR="00000000" w:rsidDel="00000000" w:rsidP="00000000" w:rsidRDefault="00000000" w:rsidRPr="00000000" w14:paraId="0000002A">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wshs6lxvnmnd" w:id="5"/>
      <w:bookmarkEnd w:id="5"/>
      <w:r w:rsidDel="00000000" w:rsidR="00000000" w:rsidRPr="00000000">
        <w:rPr>
          <w:rFonts w:ascii="Times New Roman" w:cs="Times New Roman" w:eastAsia="Times New Roman" w:hAnsi="Times New Roman"/>
          <w:b w:val="1"/>
          <w:bCs w:val="1"/>
          <w:sz w:val="36"/>
          <w:szCs w:val="36"/>
          <w:rtl w:val="0"/>
        </w:rPr>
        <w:t xml:space="preserve">4. Policy Statement</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recognises that veterans and current or former ADF members may carry physical, psychological, and social impacts of their service that require specialised understanding and a tailored care response. The facility is committed to identifying veteran residents at or prior to admission, ensuring that care planning explicitly addresses service-related health needs, and facilitating full access to DVA entitlements to which residents are legally eligible, in accordance with the </w:t>
      </w:r>
      <w:r w:rsidDel="00000000" w:rsidR="00000000" w:rsidRPr="00000000">
        <w:rPr>
          <w:rFonts w:ascii="Times New Roman" w:cs="Times New Roman" w:eastAsia="Times New Roman" w:hAnsi="Times New Roman"/>
          <w:i w:val="1"/>
          <w:iCs w:val="1"/>
          <w:sz w:val="24"/>
          <w:szCs w:val="24"/>
          <w:rtl w:val="0"/>
        </w:rPr>
        <w:t xml:space="preserve">Veterans' Entitlements Act 1986</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i w:val="1"/>
          <w:iCs w:val="1"/>
          <w:sz w:val="24"/>
          <w:szCs w:val="24"/>
          <w:rtl w:val="0"/>
        </w:rPr>
        <w:t xml:space="preserve">Military Rehabilitation and Compensation Act 2004</w:t>
      </w:r>
      <w:r w:rsidDel="00000000" w:rsidR="00000000" w:rsidRPr="00000000">
        <w:rPr>
          <w:rFonts w:ascii="Times New Roman" w:cs="Times New Roman" w:eastAsia="Times New Roman" w:hAnsi="Times New Roman"/>
          <w:sz w:val="24"/>
          <w:szCs w:val="24"/>
          <w:rtl w:val="0"/>
        </w:rPr>
        <w:t xml:space="preserve">, and DVA Aged Care Guidelines.</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will deliver care to veteran residents using a trauma-informed approach that acknowledges the potential for past and ongoing psychological injury, avoids inadvertent re-traumatisation through care practices or environmental triggers, and maintains the dignity and respect commensurate with the resident's service to Australia. Staff will be trained to understand common veteran health conditions including PTSD, traumatic brain injury (TBI), hearing loss from noise exposure, and musculoskeletal conditions arising from service.</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facility will actively foster connections between veteran residents and the veteran community, including RSL sub-branches, peer support networks, Open Arms, and community commemoration activities, recognising that social connection to shared experience is integral to wellbeing. End-of-life care for veteran residents will be approached with recognition of service, with the option for commemorative acknowledgement consistent with the resident's and family's wishes.</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consistent with and supports compliance with Aged Care Quality Standard 1 (Consumer Dignity and Choice), Aged Care Quality Standard 2 (Ongoing Assessment and Planning), and the Charter of Aged Care Rights.</w:t>
      </w:r>
    </w:p>
    <w:p w:rsidR="00000000" w:rsidDel="00000000" w:rsidP="00000000" w:rsidRDefault="00000000" w:rsidRPr="00000000" w14:paraId="0000002F">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7hg939apmru7" w:id="6"/>
      <w:bookmarkEnd w:id="6"/>
      <w:r w:rsidDel="00000000" w:rsidR="00000000" w:rsidRPr="00000000">
        <w:rPr>
          <w:rFonts w:ascii="Times New Roman" w:cs="Times New Roman" w:eastAsia="Times New Roman" w:hAnsi="Times New Roman"/>
          <w:b w:val="1"/>
          <w:bCs w:val="1"/>
          <w:sz w:val="36"/>
          <w:szCs w:val="36"/>
          <w:rtl w:val="0"/>
        </w:rPr>
        <w:t xml:space="preserve">5. Procedures</w:t>
      </w:r>
    </w:p>
    <w:p w:rsidR="00000000" w:rsidDel="00000000" w:rsidP="00000000" w:rsidRDefault="00000000" w:rsidRPr="00000000" w14:paraId="00000030">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ndkl5rk962hx" w:id="7"/>
      <w:bookmarkEnd w:id="7"/>
      <w:r w:rsidDel="00000000" w:rsidR="00000000" w:rsidRPr="00000000">
        <w:rPr>
          <w:rFonts w:ascii="Times New Roman" w:cs="Times New Roman" w:eastAsia="Times New Roman" w:hAnsi="Times New Roman"/>
          <w:b w:val="1"/>
          <w:bCs w:val="1"/>
          <w:color w:val="000000"/>
          <w:rtl w:val="0"/>
        </w:rPr>
        <w:t xml:space="preserve">5.1 Veteran Identification and DVA Eligibility Verification</w:t>
      </w:r>
    </w:p>
    <w:p w:rsidR="00000000" w:rsidDel="00000000" w:rsidP="00000000" w:rsidRDefault="00000000" w:rsidRPr="00000000" w14:paraId="00000031">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dilfim3xx1st" w:id="8"/>
      <w:bookmarkEnd w:id="8"/>
      <w:r w:rsidDel="00000000" w:rsidR="00000000" w:rsidRPr="00000000">
        <w:rPr>
          <w:rFonts w:ascii="Times New Roman" w:cs="Times New Roman" w:eastAsia="Times New Roman" w:hAnsi="Times New Roman"/>
          <w:b w:val="1"/>
          <w:bCs w:val="1"/>
          <w:color w:val="000000"/>
          <w:rtl w:val="0"/>
        </w:rPr>
        <w:t xml:space="preserve">5.1.1 Pre-Admission Enquiry</w:t>
      </w:r>
    </w:p>
    <w:p w:rsidR="00000000" w:rsidDel="00000000" w:rsidP="00000000" w:rsidRDefault="00000000" w:rsidRPr="00000000" w14:paraId="00000032">
      <w:pPr>
        <w:numPr>
          <w:ilvl w:val="0"/>
          <w:numId w:val="10"/>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During the initial enquiry or referral intake call, the Admissions Coordinator or designated staff member must ask the prospective resident or their representative whether the person is a veteran, current or former ADF member, or a war widow/widower.</w:t>
      </w:r>
    </w:p>
    <w:p w:rsidR="00000000" w:rsidDel="00000000" w:rsidP="00000000" w:rsidRDefault="00000000" w:rsidRPr="00000000" w14:paraId="00000033">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veteran status is indicated, the Admissions Coordinator must ask whether the person holds a DVA Gold, White, or Orange Card, and request a copy for the admission file.</w:t>
      </w:r>
    </w:p>
    <w:p w:rsidR="00000000" w:rsidDel="00000000" w:rsidP="00000000" w:rsidRDefault="00000000" w:rsidRPr="00000000" w14:paraId="00000034">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Admissions Coordinator must record veteran status in the facility's resident management system at the point of enquiry, flagging the file for veteran-specific intake procedures.</w:t>
      </w:r>
    </w:p>
    <w:p w:rsidR="00000000" w:rsidDel="00000000" w:rsidP="00000000" w:rsidRDefault="00000000" w:rsidRPr="00000000" w14:paraId="00000035">
      <w:pPr>
        <w:numPr>
          <w:ilvl w:val="0"/>
          <w:numId w:val="10"/>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the prospective resident is unsure of their entitlements, the Admissions Coordinator must provide them with the DVA enquiry line number (1800 555 254) and, where appropriate, refer them to the nearest DVA service centre or accredited financial information service officer (FISO) for clarification prior to admission.</w:t>
      </w:r>
    </w:p>
    <w:p w:rsidR="00000000" w:rsidDel="00000000" w:rsidP="00000000" w:rsidRDefault="00000000" w:rsidRPr="00000000" w14:paraId="00000036">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a4dhg8bxvvfa" w:id="9"/>
      <w:bookmarkEnd w:id="9"/>
      <w:r w:rsidDel="00000000" w:rsidR="00000000" w:rsidRPr="00000000">
        <w:rPr>
          <w:rFonts w:ascii="Times New Roman" w:cs="Times New Roman" w:eastAsia="Times New Roman" w:hAnsi="Times New Roman"/>
          <w:b w:val="1"/>
          <w:bCs w:val="1"/>
          <w:color w:val="000000"/>
          <w:rtl w:val="0"/>
        </w:rPr>
        <w:t xml:space="preserve">5.1.2 Admission Process</w:t>
      </w:r>
    </w:p>
    <w:p w:rsidR="00000000" w:rsidDel="00000000" w:rsidP="00000000" w:rsidRDefault="00000000" w:rsidRPr="00000000" w14:paraId="00000037">
      <w:pPr>
        <w:numPr>
          <w:ilvl w:val="0"/>
          <w:numId w:val="8"/>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At admission, the Registered Nurse (RN) conducting the admission assessment must confirm and document the following in the resident's care record:</w:t>
      </w:r>
    </w:p>
    <w:p w:rsidR="00000000" w:rsidDel="00000000" w:rsidP="00000000" w:rsidRDefault="00000000" w:rsidRPr="00000000" w14:paraId="00000038">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Branch of service (Army, Navy, Air Force, or other).</w:t>
      </w:r>
    </w:p>
    <w:p w:rsidR="00000000" w:rsidDel="00000000" w:rsidP="00000000" w:rsidRDefault="00000000" w:rsidRPr="00000000" w14:paraId="00000039">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Nature of service (regular, reserve, national service/conscript, wartime service).</w:t>
      </w:r>
    </w:p>
    <w:p w:rsidR="00000000" w:rsidDel="00000000" w:rsidP="00000000" w:rsidRDefault="00000000" w:rsidRPr="00000000" w14:paraId="0000003A">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Period(s) of service and any operational deployments, to the extent the resident is willing to disclose.</w:t>
      </w:r>
    </w:p>
    <w:p w:rsidR="00000000" w:rsidDel="00000000" w:rsidP="00000000" w:rsidRDefault="00000000" w:rsidRPr="00000000" w14:paraId="0000003B">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DVA Card type held (Gold, White, Orange, or none).</w:t>
      </w:r>
    </w:p>
    <w:p w:rsidR="00000000" w:rsidDel="00000000" w:rsidP="00000000" w:rsidRDefault="00000000" w:rsidRPr="00000000" w14:paraId="0000003C">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Accepted service-related conditions listed on or associated with DVA records, if available.</w:t>
      </w:r>
    </w:p>
    <w:p w:rsidR="00000000" w:rsidDel="00000000" w:rsidP="00000000" w:rsidRDefault="00000000" w:rsidRPr="00000000" w14:paraId="0000003D">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Current DVA pension type, if applicable (Disability Compensation Payment, War Widows Pension, TPI, etc.).</w:t>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admitting RN must notify the [POSITION TITLE — e.g., Care Manager / Director of Nursing] of the veteran's admission within 24 hours so that veteran-specific care planning can be initiated.</w:t>
      </w:r>
    </w:p>
    <w:p w:rsidR="00000000" w:rsidDel="00000000" w:rsidP="00000000" w:rsidRDefault="00000000" w:rsidRPr="00000000" w14:paraId="0000003F">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copy of the DVA Card must be retained on the resident's file and a photocopy provided to the Business Manager for billing purposes.</w:t>
      </w:r>
    </w:p>
    <w:p w:rsidR="00000000" w:rsidDel="00000000" w:rsidP="00000000" w:rsidRDefault="00000000" w:rsidRPr="00000000" w14:paraId="00000040">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admitting RN must assess whether the resident was exposed to any of the following during service and document accordingly:</w:t>
      </w:r>
    </w:p>
    <w:p w:rsidR="00000000" w:rsidDel="00000000" w:rsidP="00000000" w:rsidRDefault="00000000" w:rsidRPr="00000000" w14:paraId="00000041">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Occupational noise exposure (risk of service-related hearing loss).</w:t>
      </w:r>
    </w:p>
    <w:p w:rsidR="00000000" w:rsidDel="00000000" w:rsidP="00000000" w:rsidRDefault="00000000" w:rsidRPr="00000000" w14:paraId="00000042">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Head injury or blast exposure (risk of TBI).</w:t>
      </w:r>
    </w:p>
    <w:p w:rsidR="00000000" w:rsidDel="00000000" w:rsidP="00000000" w:rsidRDefault="00000000" w:rsidRPr="00000000" w14:paraId="00000043">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Combat or operational trauma (risk of PTSD or moral injury).</w:t>
      </w:r>
    </w:p>
    <w:p w:rsidR="00000000" w:rsidDel="00000000" w:rsidP="00000000" w:rsidRDefault="00000000" w:rsidRPr="00000000" w14:paraId="00000044">
      <w:pPr>
        <w:numPr>
          <w:ilvl w:val="1"/>
          <w:numId w:val="8"/>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Physical demands leading to musculoskeletal conditions.</w:t>
      </w:r>
    </w:p>
    <w:p w:rsidR="00000000" w:rsidDel="00000000" w:rsidP="00000000" w:rsidRDefault="00000000" w:rsidRPr="00000000" w14:paraId="00000045">
      <w:pPr>
        <w:numPr>
          <w:ilvl w:val="1"/>
          <w:numId w:val="8"/>
        </w:numPr>
        <w:spacing w:after="24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Exposure to hazardous substances (e.g., Agent Orange, asbestos in naval vessels, burn pits).</w:t>
      </w:r>
    </w:p>
    <w:p w:rsidR="00000000" w:rsidDel="00000000" w:rsidP="00000000" w:rsidRDefault="00000000" w:rsidRPr="00000000" w14:paraId="00000046">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7gf48sr77n02" w:id="10"/>
      <w:bookmarkEnd w:id="10"/>
      <w:r w:rsidDel="00000000" w:rsidR="00000000" w:rsidRPr="00000000">
        <w:rPr>
          <w:rFonts w:ascii="Times New Roman" w:cs="Times New Roman" w:eastAsia="Times New Roman" w:hAnsi="Times New Roman"/>
          <w:b w:val="1"/>
          <w:bCs w:val="1"/>
          <w:color w:val="000000"/>
          <w:rtl w:val="0"/>
        </w:rPr>
        <w:t xml:space="preserve">5.2 DVA Entitlements and Aged Care Funding Interaction</w:t>
      </w:r>
    </w:p>
    <w:p w:rsidR="00000000" w:rsidDel="00000000" w:rsidP="00000000" w:rsidRDefault="00000000" w:rsidRPr="00000000" w14:paraId="00000047">
      <w:pPr>
        <w:numPr>
          <w:ilvl w:val="0"/>
          <w:numId w:val="1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 Business Manager or designated billing officer is responsible for understanding and applying the current DVA Aged Care Guidelines in relation to the interaction between DVA funding and aged care fees (means-tested care fee, basic daily fee, and accommodation payments).</w:t>
      </w:r>
    </w:p>
    <w:p w:rsidR="00000000" w:rsidDel="00000000" w:rsidP="00000000" w:rsidRDefault="00000000" w:rsidRPr="00000000" w14:paraId="00000048">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Gold Card holders must not be charged for health services covered by their Gold Card that would otherwise be an additional charge. The Business Manager must verify the current DVA fee schedule and applicable exemptions at least annually and following any DVA policy update.</w:t>
      </w:r>
    </w:p>
    <w:p w:rsidR="00000000" w:rsidDel="00000000" w:rsidP="00000000" w:rsidRDefault="00000000" w:rsidRPr="00000000" w14:paraId="00000049">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veteran resident has an accepted service-related condition on a White Card, the facility must ensure that care costs attributable to that condition are appropriately billed to DVA rather than to the resident or the aged care funding stream.</w:t>
      </w:r>
    </w:p>
    <w:p w:rsidR="00000000" w:rsidDel="00000000" w:rsidP="00000000" w:rsidRDefault="00000000" w:rsidRPr="00000000" w14:paraId="0000004A">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Business Manager must ensure that no double-billing occurs whereby DVA and the aged care subsidy system are both charged for the same service. A billing reconciliation check must be conducted quarterly and documented.</w:t>
      </w:r>
    </w:p>
    <w:p w:rsidR="00000000" w:rsidDel="00000000" w:rsidP="00000000" w:rsidRDefault="00000000" w:rsidRPr="00000000" w14:paraId="0000004B">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veteran resident's financial situation changes (e.g., changes to pension, ACAT re-assessment, or change in DVA Card status), the Business Manager must be notified within 5 business days and fees recalculated accordingly.</w:t>
      </w:r>
    </w:p>
    <w:p w:rsidR="00000000" w:rsidDel="00000000" w:rsidP="00000000" w:rsidRDefault="00000000" w:rsidRPr="00000000" w14:paraId="0000004C">
      <w:pPr>
        <w:numPr>
          <w:ilvl w:val="0"/>
          <w:numId w:val="1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must maintain a current record of DVA-funded services being accessed by each veteran resident (e.g., allied health, continence aids, medical equipment) to ensure accurate co-ordination with care planning.</w:t>
      </w:r>
    </w:p>
    <w:p w:rsidR="00000000" w:rsidDel="00000000" w:rsidP="00000000" w:rsidRDefault="00000000" w:rsidRPr="00000000" w14:paraId="0000004D">
      <w:pPr>
        <w:numPr>
          <w:ilvl w:val="0"/>
          <w:numId w:val="1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complex DVA/aged care funding queries arise, the Business Manager must escalate to the DVA Aged Care Liaison team or seek guidance through the DVA provider portal before implementing any billing arrangement.</w:t>
      </w:r>
    </w:p>
    <w:p w:rsidR="00000000" w:rsidDel="00000000" w:rsidP="00000000" w:rsidRDefault="00000000" w:rsidRPr="00000000" w14:paraId="0000004E">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xs1plnjxczzp" w:id="11"/>
      <w:bookmarkEnd w:id="11"/>
      <w:r w:rsidDel="00000000" w:rsidR="00000000" w:rsidRPr="00000000">
        <w:rPr>
          <w:rFonts w:ascii="Times New Roman" w:cs="Times New Roman" w:eastAsia="Times New Roman" w:hAnsi="Times New Roman"/>
          <w:b w:val="1"/>
          <w:bCs w:val="1"/>
          <w:color w:val="000000"/>
          <w:rtl w:val="0"/>
        </w:rPr>
        <w:t xml:space="preserve">5.3 Trauma-Informed Care for Veterans with PTSD</w:t>
      </w:r>
    </w:p>
    <w:p w:rsidR="00000000" w:rsidDel="00000000" w:rsidP="00000000" w:rsidRDefault="00000000" w:rsidRPr="00000000" w14:paraId="0000004F">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u2xszc8zcdt1" w:id="12"/>
      <w:bookmarkEnd w:id="12"/>
      <w:r w:rsidDel="00000000" w:rsidR="00000000" w:rsidRPr="00000000">
        <w:rPr>
          <w:rFonts w:ascii="Times New Roman" w:cs="Times New Roman" w:eastAsia="Times New Roman" w:hAnsi="Times New Roman"/>
          <w:b w:val="1"/>
          <w:bCs w:val="1"/>
          <w:color w:val="000000"/>
          <w:rtl w:val="0"/>
        </w:rPr>
        <w:t xml:space="preserve">5.3.1 Care Planning</w:t>
      </w:r>
    </w:p>
    <w:p w:rsidR="00000000" w:rsidDel="00000000" w:rsidP="00000000" w:rsidRDefault="00000000" w:rsidRPr="00000000" w14:paraId="00000050">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Where a veteran resident has a documented or suspected history of PTSD or psychological trauma related to service, the care plan must include a dedicated section addressing trauma-informed care strategies.</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care plan must document, in collaboration with the resident and where appropriate their family:</w:t>
      </w:r>
    </w:p>
    <w:p w:rsidR="00000000" w:rsidDel="00000000" w:rsidP="00000000" w:rsidRDefault="00000000" w:rsidRPr="00000000" w14:paraId="00000052">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Known triggers (e.g., certain sounds, physical contact, night-time disturbance, anniversary dates, television or media content).</w:t>
      </w:r>
    </w:p>
    <w:p w:rsidR="00000000" w:rsidDel="00000000" w:rsidP="00000000" w:rsidRDefault="00000000" w:rsidRPr="00000000" w14:paraId="00000053">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Preferred communication approaches (e.g., advance notice of procedures, preferred gender of care staff for personal care).</w:t>
      </w:r>
    </w:p>
    <w:p w:rsidR="00000000" w:rsidDel="00000000" w:rsidP="00000000" w:rsidRDefault="00000000" w:rsidRPr="00000000" w14:paraId="00000054">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De-escalation strategies that have been effective for the resident.</w:t>
      </w:r>
    </w:p>
    <w:p w:rsidR="00000000" w:rsidDel="00000000" w:rsidP="00000000" w:rsidRDefault="00000000" w:rsidRPr="00000000" w14:paraId="00000055">
      <w:pPr>
        <w:numPr>
          <w:ilvl w:val="1"/>
          <w:numId w:val="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Support persons or contacts the resident wishes to be contacted if distressed.</w:t>
      </w:r>
    </w:p>
    <w:p w:rsidR="00000000" w:rsidDel="00000000" w:rsidP="00000000" w:rsidRDefault="00000000" w:rsidRPr="00000000" w14:paraId="00000056">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care plan must be reviewed at least every 3 months or following any significant trauma-related incident.</w:t>
      </w:r>
    </w:p>
    <w:p w:rsidR="00000000" w:rsidDel="00000000" w:rsidP="00000000" w:rsidRDefault="00000000" w:rsidRPr="00000000" w14:paraId="00000057">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the resident has an existing mental health care plan or is under the care of a psychiatrist or psychologist, the facility must request and incorporate relevant information (with consent) into the care plan.</w:t>
      </w:r>
    </w:p>
    <w:p w:rsidR="00000000" w:rsidDel="00000000" w:rsidP="00000000" w:rsidRDefault="00000000" w:rsidRPr="00000000" w14:paraId="00000058">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g5ywpyy01ge9" w:id="13"/>
      <w:bookmarkEnd w:id="13"/>
      <w:r w:rsidDel="00000000" w:rsidR="00000000" w:rsidRPr="00000000">
        <w:rPr>
          <w:rFonts w:ascii="Times New Roman" w:cs="Times New Roman" w:eastAsia="Times New Roman" w:hAnsi="Times New Roman"/>
          <w:b w:val="1"/>
          <w:bCs w:val="1"/>
          <w:color w:val="000000"/>
          <w:rtl w:val="0"/>
        </w:rPr>
        <w:t xml:space="preserve">5.3.2 Staff Practice</w:t>
      </w:r>
    </w:p>
    <w:p w:rsidR="00000000" w:rsidDel="00000000" w:rsidP="00000000" w:rsidRDefault="00000000" w:rsidRPr="00000000" w14:paraId="00000059">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staff working directly with a veteran resident known to have PTSD or trauma history must be briefed on the trauma-informed care section of that resident's care plan during handover and orientation to the resident.</w:t>
      </w:r>
    </w:p>
    <w:p w:rsidR="00000000" w:rsidDel="00000000" w:rsidP="00000000" w:rsidRDefault="00000000" w:rsidRPr="00000000" w14:paraId="0000005A">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must never share details of a veteran resident's trauma history with other residents or with staff who do not need to know, in line with the facility's Privacy Policy.</w:t>
      </w:r>
    </w:p>
    <w:p w:rsidR="00000000" w:rsidDel="00000000" w:rsidP="00000000" w:rsidRDefault="00000000" w:rsidRPr="00000000" w14:paraId="0000005B">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If a staff member witnesses a trauma response (flashback, acute distress, dissociation, aggressive behaviour related to hyperarousal), they must:</w:t>
      </w:r>
    </w:p>
    <w:p w:rsidR="00000000" w:rsidDel="00000000" w:rsidP="00000000" w:rsidRDefault="00000000" w:rsidRPr="00000000" w14:paraId="0000005C">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Remain calm and speak quietly and clearly.</w:t>
      </w:r>
    </w:p>
    <w:p w:rsidR="00000000" w:rsidDel="00000000" w:rsidP="00000000" w:rsidRDefault="00000000" w:rsidRPr="00000000" w14:paraId="0000005D">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Follow the de-escalation strategies documented in the care plan.</w:t>
      </w:r>
    </w:p>
    <w:p w:rsidR="00000000" w:rsidDel="00000000" w:rsidP="00000000" w:rsidRDefault="00000000" w:rsidRPr="00000000" w14:paraId="0000005E">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Alert the RN on duty immediately.</w:t>
      </w:r>
    </w:p>
    <w:p w:rsidR="00000000" w:rsidDel="00000000" w:rsidP="00000000" w:rsidRDefault="00000000" w:rsidRPr="00000000" w14:paraId="0000005F">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Document the incident in the resident's progress notes and on the incident reporting system within 2 hours.</w:t>
      </w:r>
    </w:p>
    <w:p w:rsidR="00000000" w:rsidDel="00000000" w:rsidP="00000000" w:rsidRDefault="00000000" w:rsidRPr="00000000" w14:paraId="00000060">
      <w:pPr>
        <w:numPr>
          <w:ilvl w:val="1"/>
          <w:numId w:val="1"/>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Not attempt physical restraint unless there is an immediate risk of harm and only in accordance with the facility's Restrictive Practices Policy.</w:t>
      </w:r>
    </w:p>
    <w:p w:rsidR="00000000" w:rsidDel="00000000" w:rsidP="00000000" w:rsidRDefault="00000000" w:rsidRPr="00000000" w14:paraId="00000061">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RN must consider referral to Open Arms (1800 011 046) or the resident's treating GP for mental health review following any significant trauma-related incident.</w:t>
      </w:r>
    </w:p>
    <w:p w:rsidR="00000000" w:rsidDel="00000000" w:rsidP="00000000" w:rsidRDefault="00000000" w:rsidRPr="00000000" w14:paraId="00000062">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bzujkmxp34uo" w:id="14"/>
      <w:bookmarkEnd w:id="14"/>
      <w:r w:rsidDel="00000000" w:rsidR="00000000" w:rsidRPr="00000000">
        <w:rPr>
          <w:rFonts w:ascii="Times New Roman" w:cs="Times New Roman" w:eastAsia="Times New Roman" w:hAnsi="Times New Roman"/>
          <w:b w:val="1"/>
          <w:bCs w:val="1"/>
          <w:color w:val="000000"/>
          <w:rtl w:val="0"/>
        </w:rPr>
        <w:t xml:space="preserve">5.4 Management of Veteran-Specific Health Conditions</w:t>
      </w:r>
    </w:p>
    <w:p w:rsidR="00000000" w:rsidDel="00000000" w:rsidP="00000000" w:rsidRDefault="00000000" w:rsidRPr="00000000" w14:paraId="00000063">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5dzzr3mozw4j" w:id="15"/>
      <w:bookmarkEnd w:id="15"/>
      <w:r w:rsidDel="00000000" w:rsidR="00000000" w:rsidRPr="00000000">
        <w:rPr>
          <w:rFonts w:ascii="Times New Roman" w:cs="Times New Roman" w:eastAsia="Times New Roman" w:hAnsi="Times New Roman"/>
          <w:b w:val="1"/>
          <w:bCs w:val="1"/>
          <w:color w:val="000000"/>
          <w:rtl w:val="0"/>
        </w:rPr>
        <w:t xml:space="preserve">5.4.1 Hearing Loss</w:t>
      </w:r>
    </w:p>
    <w:p w:rsidR="00000000" w:rsidDel="00000000" w:rsidP="00000000" w:rsidRDefault="00000000" w:rsidRPr="00000000" w14:paraId="00000064">
      <w:pPr>
        <w:numPr>
          <w:ilvl w:val="0"/>
          <w:numId w:val="7"/>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Where a veteran resident has documented or observed noise-induced hearing loss, the care plan must include communication strategies (e.g., face-to-face communication, written communication, hearing loop availability, referral to audiologist).</w:t>
      </w:r>
    </w:p>
    <w:p w:rsidR="00000000" w:rsidDel="00000000" w:rsidP="00000000" w:rsidRDefault="00000000" w:rsidRPr="00000000" w14:paraId="00000065">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RN must assess whether the resident has DVA-funded hearing aids and ensure these are maintained and available. Where hearing aids require servicing or replacement, the resident must be assisted to access DVA Hearing Services via the Office of Hearing Services.</w:t>
      </w:r>
    </w:p>
    <w:p w:rsidR="00000000" w:rsidDel="00000000" w:rsidP="00000000" w:rsidRDefault="00000000" w:rsidRPr="00000000" w14:paraId="00000066">
      <w:pPr>
        <w:numPr>
          <w:ilvl w:val="0"/>
          <w:numId w:val="7"/>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must not assume cognitive impairment where a resident fails to respond; hearing loss must be ruled out first.</w:t>
      </w:r>
    </w:p>
    <w:p w:rsidR="00000000" w:rsidDel="00000000" w:rsidP="00000000" w:rsidRDefault="00000000" w:rsidRPr="00000000" w14:paraId="00000067">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kz8y02etkoor" w:id="16"/>
      <w:bookmarkEnd w:id="16"/>
      <w:r w:rsidDel="00000000" w:rsidR="00000000" w:rsidRPr="00000000">
        <w:rPr>
          <w:rFonts w:ascii="Times New Roman" w:cs="Times New Roman" w:eastAsia="Times New Roman" w:hAnsi="Times New Roman"/>
          <w:b w:val="1"/>
          <w:bCs w:val="1"/>
          <w:color w:val="000000"/>
          <w:rtl w:val="0"/>
        </w:rPr>
        <w:t xml:space="preserve">5.4.2 Traumatic Brain Injury (TBI)</w:t>
      </w:r>
    </w:p>
    <w:p w:rsidR="00000000" w:rsidDel="00000000" w:rsidP="00000000" w:rsidRDefault="00000000" w:rsidRPr="00000000" w14:paraId="00000068">
      <w:pPr>
        <w:numPr>
          <w:ilvl w:val="0"/>
          <w:numId w:val="9"/>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Where a veteran resident has a history of TBI (from blast, blunt trauma, or other service-related cause), the care plan must document the specific cognitive, behavioural, and physical sequelae relevant to that resident.</w:t>
      </w:r>
    </w:p>
    <w:p w:rsidR="00000000" w:rsidDel="00000000" w:rsidP="00000000" w:rsidRDefault="00000000" w:rsidRPr="00000000" w14:paraId="00000069">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care plan must include strategies for cognitive support (e.g., consistent routines, environmental orientation aids, simplified communication).</w:t>
      </w:r>
    </w:p>
    <w:p w:rsidR="00000000" w:rsidDel="00000000" w:rsidP="00000000" w:rsidRDefault="00000000" w:rsidRPr="00000000" w14:paraId="0000006A">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RN must coordinate with the resident's GP and, where indicated, a neurologist or neuropsychologist, to ensure current management approaches are reflected in the care plan.</w:t>
      </w:r>
    </w:p>
    <w:p w:rsidR="00000000" w:rsidDel="00000000" w:rsidP="00000000" w:rsidRDefault="00000000" w:rsidRPr="00000000" w14:paraId="0000006B">
      <w:pPr>
        <w:numPr>
          <w:ilvl w:val="0"/>
          <w:numId w:val="9"/>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Behavioural changes in veterans with TBI history must be assessed in the context of TBI before attributing to dementia or other conditions.</w:t>
      </w:r>
    </w:p>
    <w:p w:rsidR="00000000" w:rsidDel="00000000" w:rsidP="00000000" w:rsidRDefault="00000000" w:rsidRPr="00000000" w14:paraId="0000006C">
      <w:pPr>
        <w:pStyle w:val="Heading4"/>
        <w:keepNext w:val="0"/>
        <w:keepLines w:val="0"/>
        <w:spacing w:after="40" w:before="240" w:lineRule="auto"/>
        <w:rPr>
          <w:rFonts w:ascii="Times New Roman" w:cs="Times New Roman" w:eastAsia="Times New Roman" w:hAnsi="Times New Roman"/>
          <w:b w:val="1"/>
          <w:bCs w:val="1"/>
          <w:color w:val="000000"/>
        </w:rPr>
      </w:pPr>
      <w:bookmarkStart w:colFirst="0" w:colLast="0" w:name="_91mvng7hr8kc" w:id="17"/>
      <w:bookmarkEnd w:id="17"/>
      <w:r w:rsidDel="00000000" w:rsidR="00000000" w:rsidRPr="00000000">
        <w:rPr>
          <w:rFonts w:ascii="Times New Roman" w:cs="Times New Roman" w:eastAsia="Times New Roman" w:hAnsi="Times New Roman"/>
          <w:b w:val="1"/>
          <w:bCs w:val="1"/>
          <w:color w:val="000000"/>
          <w:rtl w:val="0"/>
        </w:rPr>
        <w:t xml:space="preserve">5.4.3 Musculoskeletal Conditions</w:t>
      </w:r>
    </w:p>
    <w:p w:rsidR="00000000" w:rsidDel="00000000" w:rsidP="00000000" w:rsidRDefault="00000000" w:rsidRPr="00000000" w14:paraId="0000006D">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Where a veteran resident has service-related musculoskeletal conditions (e.g., joint injuries, chronic back pain, degenerative conditions from physical service demands), the care plan must address:</w:t>
      </w:r>
    </w:p>
    <w:p w:rsidR="00000000" w:rsidDel="00000000" w:rsidP="00000000" w:rsidRDefault="00000000" w:rsidRPr="00000000" w14:paraId="0000006E">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Pain management in collaboration with the GP.</w:t>
      </w:r>
    </w:p>
    <w:p w:rsidR="00000000" w:rsidDel="00000000" w:rsidP="00000000" w:rsidRDefault="00000000" w:rsidRPr="00000000" w14:paraId="0000006F">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Physiotherapy and/or occupational therapy input (DVA-funded where applicable).</w:t>
      </w:r>
    </w:p>
    <w:p w:rsidR="00000000" w:rsidDel="00000000" w:rsidP="00000000" w:rsidRDefault="00000000" w:rsidRPr="00000000" w14:paraId="00000070">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Manual handling requirements to avoid exacerbating existing injuries.</w:t>
      </w:r>
    </w:p>
    <w:p w:rsidR="00000000" w:rsidDel="00000000" w:rsidP="00000000" w:rsidRDefault="00000000" w:rsidRPr="00000000" w14:paraId="00000071">
      <w:pPr>
        <w:numPr>
          <w:ilvl w:val="1"/>
          <w:numId w:val="5"/>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Falls prevention strategies specific to the resident's musculoskeletal profile.</w:t>
      </w:r>
    </w:p>
    <w:p w:rsidR="00000000" w:rsidDel="00000000" w:rsidP="00000000" w:rsidRDefault="00000000" w:rsidRPr="00000000" w14:paraId="00000072">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care staff involved in the manual handling of a veteran resident with significant musculoskeletal conditions must be briefed on care plan requirements before providing personal care.</w:t>
      </w:r>
    </w:p>
    <w:p w:rsidR="00000000" w:rsidDel="00000000" w:rsidP="00000000" w:rsidRDefault="00000000" w:rsidRPr="00000000" w14:paraId="0000007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oszieljo9p5k" w:id="18"/>
      <w:bookmarkEnd w:id="18"/>
      <w:r w:rsidDel="00000000" w:rsidR="00000000" w:rsidRPr="00000000">
        <w:rPr>
          <w:rFonts w:ascii="Times New Roman" w:cs="Times New Roman" w:eastAsia="Times New Roman" w:hAnsi="Times New Roman"/>
          <w:b w:val="1"/>
          <w:bCs w:val="1"/>
          <w:color w:val="000000"/>
          <w:rtl w:val="0"/>
        </w:rPr>
        <w:t xml:space="preserve">5.5 RSL, Peer Support, and Community Connections</w:t>
      </w:r>
    </w:p>
    <w:p w:rsidR="00000000" w:rsidDel="00000000" w:rsidP="00000000" w:rsidRDefault="00000000" w:rsidRPr="00000000" w14:paraId="00000074">
      <w:pPr>
        <w:numPr>
          <w:ilvl w:val="0"/>
          <w:numId w:val="16"/>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At admission, the RN or lifestyle coordinator must ask the veteran resident whether they wish to:</w:t>
      </w:r>
    </w:p>
    <w:p w:rsidR="00000000" w:rsidDel="00000000" w:rsidP="00000000" w:rsidRDefault="00000000" w:rsidRPr="00000000" w14:paraId="00000075">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Be connected with the local RSL sub-branch or state RSL organisation.</w:t>
      </w:r>
    </w:p>
    <w:p w:rsidR="00000000" w:rsidDel="00000000" w:rsidP="00000000" w:rsidRDefault="00000000" w:rsidRPr="00000000" w14:paraId="00000076">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Participate in DVA or RSL-facilitated peer support programs.</w:t>
      </w:r>
    </w:p>
    <w:p w:rsidR="00000000" w:rsidDel="00000000" w:rsidP="00000000" w:rsidRDefault="00000000" w:rsidRPr="00000000" w14:paraId="00000077">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Receive visits from RSL welfare officers or veteran peer support volunteers.</w:t>
      </w:r>
    </w:p>
    <w:p w:rsidR="00000000" w:rsidDel="00000000" w:rsidP="00000000" w:rsidRDefault="00000000" w:rsidRPr="00000000" w14:paraId="00000078">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Be listed on DVA's veteran care register (where applicable).</w:t>
      </w:r>
    </w:p>
    <w:p w:rsidR="00000000" w:rsidDel="00000000" w:rsidP="00000000" w:rsidRDefault="00000000" w:rsidRPr="00000000" w14:paraId="00000079">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Lifestyle Coordinator must maintain a current list of local RSL sub-branches, veteran peer support groups, and relevant DVA programs and make this available to veteran residents and their families.</w:t>
      </w:r>
    </w:p>
    <w:p w:rsidR="00000000" w:rsidDel="00000000" w:rsidP="00000000" w:rsidRDefault="00000000" w:rsidRPr="00000000" w14:paraId="0000007A">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must facilitate RSL welfare officer visits in a manner that respects the resident's privacy and does not disrupt care routines, by coordinating visit times through the Lifestyle Coordinator.</w:t>
      </w:r>
    </w:p>
    <w:p w:rsidR="00000000" w:rsidDel="00000000" w:rsidP="00000000" w:rsidRDefault="00000000" w:rsidRPr="00000000" w14:paraId="0000007B">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Veteran residents who express a desire for peer connection but who are not yet connected must be offered a facilitated introduction to the local RSL or veteran peer support network within 30 days of admission.</w:t>
      </w:r>
    </w:p>
    <w:p w:rsidR="00000000" w:rsidDel="00000000" w:rsidP="00000000" w:rsidRDefault="00000000" w:rsidRPr="00000000" w14:paraId="0000007C">
      <w:pPr>
        <w:numPr>
          <w:ilvl w:val="0"/>
          <w:numId w:val="16"/>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Lifestyle Coordinator must incorporate veteran-specific activities into the facility's activity calendar, including but not limited to: ANZAC Day services, Remembrance Day observance, and veteran-themed social events, ensuring these are optional and do not disadvantage non-veteran residents.</w:t>
      </w:r>
    </w:p>
    <w:p w:rsidR="00000000" w:rsidDel="00000000" w:rsidP="00000000" w:rsidRDefault="00000000" w:rsidRPr="00000000" w14:paraId="0000007D">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dc7w54c4sc50" w:id="19"/>
      <w:bookmarkEnd w:id="19"/>
      <w:r w:rsidDel="00000000" w:rsidR="00000000" w:rsidRPr="00000000">
        <w:rPr>
          <w:rFonts w:ascii="Times New Roman" w:cs="Times New Roman" w:eastAsia="Times New Roman" w:hAnsi="Times New Roman"/>
          <w:b w:val="1"/>
          <w:bCs w:val="1"/>
          <w:color w:val="000000"/>
          <w:rtl w:val="0"/>
        </w:rPr>
        <w:t xml:space="preserve">5.6 Commemoration Activities</w:t>
      </w:r>
    </w:p>
    <w:p w:rsidR="00000000" w:rsidDel="00000000" w:rsidP="00000000" w:rsidRDefault="00000000" w:rsidRPr="00000000" w14:paraId="0000007E">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The facility must mark ANZAC Day (25 April) and Remembrance Day (11 November) with an appropriate commemorative activity or service. The Lifestyle Coordinator is responsible for planning these activities in consultation with veteran residents and, where feasible, in partnership with the local RSL or community groups.</w:t>
      </w:r>
    </w:p>
    <w:p w:rsidR="00000000" w:rsidDel="00000000" w:rsidP="00000000" w:rsidRDefault="00000000" w:rsidRPr="00000000" w14:paraId="0000007F">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Commemorative activities must be conducted with dignity and must not trivialise or commercialise the significance of the occasion.</w:t>
      </w:r>
    </w:p>
    <w:p w:rsidR="00000000" w:rsidDel="00000000" w:rsidP="00000000" w:rsidRDefault="00000000" w:rsidRPr="00000000" w14:paraId="0000008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Veteran residents who are unable to attend a group commemoration due to health or mobility reasons must be offered an individual acknowledgement (e.g., a personal visit, a small ceremony at the bedside, or access to a televised service).</w:t>
      </w:r>
    </w:p>
    <w:p w:rsidR="00000000" w:rsidDel="00000000" w:rsidP="00000000" w:rsidRDefault="00000000" w:rsidRPr="00000000" w14:paraId="00000081">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facility must maintain a record of veteran residents' medals, service records (where copies are provided), and any personal military memorabilia stored at the facility, and ensure these are treated with respect and returned to the resident or family upon discharge or death.</w:t>
      </w:r>
    </w:p>
    <w:p w:rsidR="00000000" w:rsidDel="00000000" w:rsidP="00000000" w:rsidRDefault="00000000" w:rsidRPr="00000000" w14:paraId="00000082">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must never handle, display, or discuss a veteran resident's medals or memorabilia without the resident's explicit consent.</w:t>
      </w:r>
    </w:p>
    <w:p w:rsidR="00000000" w:rsidDel="00000000" w:rsidP="00000000" w:rsidRDefault="00000000" w:rsidRPr="00000000" w14:paraId="00000083">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pmb398hse9dx" w:id="20"/>
      <w:bookmarkEnd w:id="20"/>
      <w:r w:rsidDel="00000000" w:rsidR="00000000" w:rsidRPr="00000000">
        <w:rPr>
          <w:rFonts w:ascii="Times New Roman" w:cs="Times New Roman" w:eastAsia="Times New Roman" w:hAnsi="Times New Roman"/>
          <w:b w:val="1"/>
          <w:bCs w:val="1"/>
          <w:color w:val="000000"/>
          <w:rtl w:val="0"/>
        </w:rPr>
        <w:t xml:space="preserve">5.7 End-of-Life Care for Veteran Residents</w:t>
      </w:r>
    </w:p>
    <w:p w:rsidR="00000000" w:rsidDel="00000000" w:rsidP="00000000" w:rsidRDefault="00000000" w:rsidRPr="00000000" w14:paraId="00000084">
      <w:pPr>
        <w:numPr>
          <w:ilvl w:val="0"/>
          <w:numId w:val="1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When a veteran resident is identified as approaching end of life, the RN must initiate a dedicated end-of-life care planning conversation with the resident (where capacity permits) and their family or nominated representative, which includes discussion of:</w:t>
      </w:r>
    </w:p>
    <w:p w:rsidR="00000000" w:rsidDel="00000000" w:rsidP="00000000" w:rsidRDefault="00000000" w:rsidRPr="00000000" w14:paraId="00000085">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Whether the resident wishes their veteran status to be acknowledged at the time of death and in any facility-organised farewell or service.</w:t>
      </w:r>
    </w:p>
    <w:p w:rsidR="00000000" w:rsidDel="00000000" w:rsidP="00000000" w:rsidRDefault="00000000" w:rsidRPr="00000000" w14:paraId="00000086">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Whether the resident or family wish to involve the RSL or a military chaplain.</w:t>
      </w:r>
    </w:p>
    <w:p w:rsidR="00000000" w:rsidDel="00000000" w:rsidP="00000000" w:rsidRDefault="00000000" w:rsidRPr="00000000" w14:paraId="00000087">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Any specific cultural, religious, or service-related wishes regarding last rites, shrouding, or presentation of the body.</w:t>
      </w:r>
    </w:p>
    <w:p w:rsidR="00000000" w:rsidDel="00000000" w:rsidP="00000000" w:rsidRDefault="00000000" w:rsidRPr="00000000" w14:paraId="00000088">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Whether DVA death benefits or repatriation entitlements are relevant (the Business Manager must advise on eligibility).</w:t>
      </w:r>
    </w:p>
    <w:p w:rsidR="00000000" w:rsidDel="00000000" w:rsidP="00000000" w:rsidRDefault="00000000" w:rsidRPr="00000000" w14:paraId="00000089">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[POSITION TITLE — e.g., Director of Nursing] must notify DVA of a veteran resident's death in accordance with DVA notification requirements to ensure correct cessation of pension payments and to initiate any applicable benefits for surviving dependants.</w:t>
      </w:r>
    </w:p>
    <w:p w:rsidR="00000000" w:rsidDel="00000000" w:rsidP="00000000" w:rsidRDefault="00000000" w:rsidRPr="00000000" w14:paraId="0000008A">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At the time of death, staff must treat the veteran resident's body with the same respect accorded to any resident, and additionally, if the resident has expressed a wish, ensure any medals or insignia are appropriately placed in accordance with the family's instructions.</w:t>
      </w:r>
    </w:p>
    <w:p w:rsidR="00000000" w:rsidDel="00000000" w:rsidP="00000000" w:rsidRDefault="00000000" w:rsidRPr="00000000" w14:paraId="0000008B">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 veteran resident has no next of kin, the facility must contact the local RSL sub-branch to determine whether they can assist in arranging an appropriate funeral or service, and must contact DVA to ascertain any entitlements to a repatriation funeral.</w:t>
      </w:r>
    </w:p>
    <w:p w:rsidR="00000000" w:rsidDel="00000000" w:rsidP="00000000" w:rsidRDefault="00000000" w:rsidRPr="00000000" w14:paraId="0000008C">
      <w:pPr>
        <w:numPr>
          <w:ilvl w:val="0"/>
          <w:numId w:val="1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de-brief must be offered to staff who were closely involved in the care of a veteran resident who has died, recognising that veteran deaths may carry particular emotional weight for staff who have developed an understanding of the resident's service history.</w:t>
      </w:r>
    </w:p>
    <w:p w:rsidR="00000000" w:rsidDel="00000000" w:rsidP="00000000" w:rsidRDefault="00000000" w:rsidRPr="00000000" w14:paraId="0000008D">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4gcn63bivkbk" w:id="21"/>
      <w:bookmarkEnd w:id="21"/>
      <w:r w:rsidDel="00000000" w:rsidR="00000000" w:rsidRPr="00000000">
        <w:rPr>
          <w:rFonts w:ascii="Times New Roman" w:cs="Times New Roman" w:eastAsia="Times New Roman" w:hAnsi="Times New Roman"/>
          <w:b w:val="1"/>
          <w:bCs w:val="1"/>
          <w:color w:val="000000"/>
          <w:rtl w:val="0"/>
        </w:rPr>
        <w:t xml:space="preserve">5.8 Open Arms Referrals and Mental Health Support</w:t>
      </w:r>
    </w:p>
    <w:p w:rsidR="00000000" w:rsidDel="00000000" w:rsidP="00000000" w:rsidRDefault="00000000" w:rsidRPr="00000000" w14:paraId="0000008E">
      <w:pPr>
        <w:numPr>
          <w:ilvl w:val="0"/>
          <w:numId w:val="1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staff must be aware that Open Arms (Veterans and Families Counselling) provides free, confidential counselling to eligible veterans and their family members and can be contacted at any time on 1800 011 046.</w:t>
      </w:r>
    </w:p>
    <w:p w:rsidR="00000000" w:rsidDel="00000000" w:rsidP="00000000" w:rsidRDefault="00000000" w:rsidRPr="00000000" w14:paraId="0000008F">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RN must consider referral to Open Arms when:</w:t>
      </w:r>
    </w:p>
    <w:p w:rsidR="00000000" w:rsidDel="00000000" w:rsidP="00000000" w:rsidRDefault="00000000" w:rsidRPr="00000000" w14:paraId="00000090">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veteran resident presents with signs of depression, anxiety, PTSD, or psychological distress related to service.</w:t>
      </w:r>
    </w:p>
    <w:p w:rsidR="00000000" w:rsidDel="00000000" w:rsidP="00000000" w:rsidRDefault="00000000" w:rsidRPr="00000000" w14:paraId="00000091">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veteran resident expresses thoughts of self-harm or suicide.</w:t>
      </w:r>
    </w:p>
    <w:p w:rsidR="00000000" w:rsidDel="00000000" w:rsidP="00000000" w:rsidRDefault="00000000" w:rsidRPr="00000000" w14:paraId="00000092">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veteran resident's family members are experiencing carer stress related to the resident's service-related conditions.</w:t>
      </w:r>
    </w:p>
    <w:p w:rsidR="00000000" w:rsidDel="00000000" w:rsidP="00000000" w:rsidRDefault="00000000" w:rsidRPr="00000000" w14:paraId="00000093">
      <w:pPr>
        <w:numPr>
          <w:ilvl w:val="1"/>
          <w:numId w:val="14"/>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A significant anniversary (e.g., date of traumatic event, ANZAC Day) is approaching and the resident has a known history of increased distress around that time.</w:t>
      </w:r>
    </w:p>
    <w:p w:rsidR="00000000" w:rsidDel="00000000" w:rsidP="00000000" w:rsidRDefault="00000000" w:rsidRPr="00000000" w14:paraId="00000094">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Referral to Open Arms does not require a GP referral and can be made directly by the resident, a family member, or a staff member with the resident's consent.</w:t>
      </w:r>
    </w:p>
    <w:p w:rsidR="00000000" w:rsidDel="00000000" w:rsidP="00000000" w:rsidRDefault="00000000" w:rsidRPr="00000000" w14:paraId="00000095">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Where an Open Arms counsellor visits the facility, the facility must provide a private and appropriate space for the consultation.</w:t>
      </w:r>
    </w:p>
    <w:p w:rsidR="00000000" w:rsidDel="00000000" w:rsidP="00000000" w:rsidRDefault="00000000" w:rsidRPr="00000000" w14:paraId="00000096">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Any Open Arms referral and subsequent contact must be documented in the resident's care record, with the resident's consent.</w:t>
      </w:r>
    </w:p>
    <w:p w:rsidR="00000000" w:rsidDel="00000000" w:rsidP="00000000" w:rsidRDefault="00000000" w:rsidRPr="00000000" w14:paraId="00000097">
      <w:pPr>
        <w:numPr>
          <w:ilvl w:val="0"/>
          <w:numId w:val="1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 cases of acute mental health crisis, staff must follow the facility's Mental Health Emergency procedure and contact emergency services (000) if required, while simultaneously alerting the on-call RN and, if appropriate, the Open Arms crisis line.</w:t>
      </w:r>
    </w:p>
    <w:p w:rsidR="00000000" w:rsidDel="00000000" w:rsidP="00000000" w:rsidRDefault="00000000" w:rsidRPr="00000000" w14:paraId="00000098">
      <w:pPr>
        <w:pStyle w:val="Heading3"/>
        <w:keepNext w:val="0"/>
        <w:keepLines w:val="0"/>
        <w:spacing w:before="280" w:lineRule="auto"/>
        <w:rPr>
          <w:rFonts w:ascii="Times New Roman" w:cs="Times New Roman" w:eastAsia="Times New Roman" w:hAnsi="Times New Roman"/>
          <w:b w:val="1"/>
          <w:bCs w:val="1"/>
          <w:color w:val="000000"/>
        </w:rPr>
      </w:pPr>
      <w:bookmarkStart w:colFirst="0" w:colLast="0" w:name="_m55edthu71x5" w:id="22"/>
      <w:bookmarkEnd w:id="22"/>
      <w:r w:rsidDel="00000000" w:rsidR="00000000" w:rsidRPr="00000000">
        <w:rPr>
          <w:rFonts w:ascii="Times New Roman" w:cs="Times New Roman" w:eastAsia="Times New Roman" w:hAnsi="Times New Roman"/>
          <w:b w:val="1"/>
          <w:bCs w:val="1"/>
          <w:color w:val="000000"/>
          <w:rtl w:val="0"/>
        </w:rPr>
        <w:t xml:space="preserve">5.9 Staff Training Requirements</w:t>
      </w:r>
    </w:p>
    <w:p w:rsidR="00000000" w:rsidDel="00000000" w:rsidP="00000000" w:rsidRDefault="00000000" w:rsidRPr="00000000" w14:paraId="00000099">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new staff must complete mandatory induction training on this policy within 4 weeks of commencement. Training must cover:</w:t>
      </w:r>
    </w:p>
    <w:p w:rsidR="00000000" w:rsidDel="00000000" w:rsidP="00000000" w:rsidRDefault="00000000" w:rsidRPr="00000000" w14:paraId="0000009A">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Overview of DVA entitlements relevant to residential aged care.</w:t>
      </w:r>
    </w:p>
    <w:p w:rsidR="00000000" w:rsidDel="00000000" w:rsidP="00000000" w:rsidRDefault="00000000" w:rsidRPr="00000000" w14:paraId="0000009B">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Introduction to trauma-informed care principles.</w:t>
      </w:r>
    </w:p>
    <w:p w:rsidR="00000000" w:rsidDel="00000000" w:rsidP="00000000" w:rsidRDefault="00000000" w:rsidRPr="00000000" w14:paraId="0000009C">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Recognition of PTSD, TBI, and other veteran health conditions.</w:t>
      </w:r>
    </w:p>
    <w:p w:rsidR="00000000" w:rsidDel="00000000" w:rsidP="00000000" w:rsidRDefault="00000000" w:rsidRPr="00000000" w14:paraId="0000009D">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Communication approaches for veterans with hearing loss.</w:t>
      </w:r>
    </w:p>
    <w:p w:rsidR="00000000" w:rsidDel="00000000" w:rsidP="00000000" w:rsidRDefault="00000000" w:rsidRPr="00000000" w14:paraId="0000009E">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The significance of commemoration and veteran culture.</w:t>
      </w:r>
    </w:p>
    <w:p w:rsidR="00000000" w:rsidDel="00000000" w:rsidP="00000000" w:rsidRDefault="00000000" w:rsidRPr="00000000" w14:paraId="0000009F">
      <w:pPr>
        <w:numPr>
          <w:ilvl w:val="1"/>
          <w:numId w:val="3"/>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4"/>
          <w:szCs w:val="24"/>
          <w:rtl w:val="0"/>
        </w:rPr>
        <w:t xml:space="preserve">How to make an Open Arms referral.</w:t>
      </w:r>
    </w:p>
    <w:p w:rsidR="00000000" w:rsidDel="00000000" w:rsidP="00000000" w:rsidRDefault="00000000" w:rsidRPr="00000000" w14:paraId="000000A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clinical staff (RNs and ENs) must complete annual refresher training on veteran-specific care practices. This training must be documented in the staff training register.</w:t>
      </w:r>
    </w:p>
    <w:p w:rsidR="00000000" w:rsidDel="00000000" w:rsidP="00000000" w:rsidRDefault="00000000" w:rsidRPr="00000000" w14:paraId="000000A1">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The [POSITION TITLE — e.g., Director of Nursing / Quality Manager] must source or develop training resources in collaboration with DVA, RSL, or Open Arms where available.</w:t>
      </w:r>
    </w:p>
    <w:p w:rsidR="00000000" w:rsidDel="00000000" w:rsidP="00000000" w:rsidRDefault="00000000" w:rsidRPr="00000000" w14:paraId="000000A2">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tmjrd94znby4" w:id="23"/>
      <w:bookmarkEnd w:id="23"/>
      <w:r w:rsidDel="00000000" w:rsidR="00000000" w:rsidRPr="00000000">
        <w:rPr>
          <w:rFonts w:ascii="Times New Roman" w:cs="Times New Roman" w:eastAsia="Times New Roman" w:hAnsi="Times New Roman"/>
          <w:b w:val="1"/>
          <w:bCs w:val="1"/>
          <w:sz w:val="36"/>
          <w:szCs w:val="36"/>
          <w:rtl w:val="0"/>
        </w:rPr>
        <w:t xml:space="preserve">6. Roles and Responsibilities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6.8833087149187"/>
        <w:gridCol w:w="6733.116691285081"/>
        <w:tblGridChange w:id="0">
          <w:tblGrid>
            <w:gridCol w:w="2626.8833087149187"/>
            <w:gridCol w:w="6733.116691285081"/>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A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A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 — e.g., Chief Executive Officer / Executive Director]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 this policy and ensure adequate resources are allocated for veteran-specific care, staff training, and DVA compliance. Ensure the facility's strategic direction supports veteran care commitments.</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 — e.g., Director of Nursing / Care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Own and implement this policy. Oversee veteran identification at admission, ensure trauma-informed care plans are in place, coordinate staff training, manage Open Arms and RSL referrals, and report on veteran-specific care outcomes to governance. Approve end-of-life care plans for veteran residents. Ensure DVA death notifications are completed.</w:t>
            </w:r>
          </w:p>
        </w:tc>
      </w:tr>
      <w:tr>
        <w:trPr>
          <w:cantSplit w:val="0"/>
          <w:trHeight w:val="12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Admissions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veteran status during initial enquiry and admission process. Collect and record DVA Card details. Flag veteran admissions for care planning. Provide DVA enquiry information to prospective residents and families. Coordinate pre-admission information transfer with DVA where required.</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Registered Nurse (RN)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 veteran-specific admission assessment. Develop and maintain trauma-informed, veteran-specific care plans. Manage and document trauma-related incidents. Initiate Open Arms referrals. Coordinate end-of-life care planning for veteran residents. Brief care staff on veteran resident care requirements. Complete DVA-related clinical documentation.</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Personal Care Workers / Enrolled Nurses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Deliver direct care in accordance with the veteran resident's care plan, including trauma-informed approaches. Report observed changes in the resident's physical or psychological condition to the RN promptly. Participate in mandatory training on veteran-specific care. Maintain the resident's dignity and privacy in all interactions.</w:t>
            </w:r>
          </w:p>
        </w:tc>
      </w:tr>
      <w:tr>
        <w:trPr>
          <w:cantSplit w:val="0"/>
          <w:trHeight w:val="17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A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Lifestyle Coordinator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Facilitate veteran resident connections to RSL, peer support, and community groups. Plan and deliver commemoration activities (ANZAC Day, Remembrance Day). Maintain a current directory of veteran support resources. Coordinate RSL welfare officer visits. Ensure veteran residents who are mobility- or health-restricted can access commemorative activities individually.</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Business Manager / Finance Officer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 DVA billing in accordance with DVA Aged Care Guidelines. Ensure no double-billing between DVA and aged care funding streams. Conduct quarterly billing reconciliation. Advise veteran residents and families on DVA fee entitlements and exemptions. Notify DVA of resident deaths. Maintain current knowledge of DVA fee schedules.</w:t>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 — e.g., Quality Manager]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B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Coordinate policy review and update cycle. Monitor compliance with this policy through audits and incident analysis. Ensure training records are maintained. Report veteran-specific care outcomes and incidents to governance. Liaise with the Aged Care Quality and Safety Commission on relevant matters.</w:t>
            </w:r>
          </w:p>
        </w:tc>
      </w:tr>
    </w:tbl>
    <w:p w:rsidR="00000000" w:rsidDel="00000000" w:rsidP="00000000" w:rsidRDefault="00000000" w:rsidRPr="00000000" w14:paraId="000000B5">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c9jetehrt2zo" w:id="24"/>
      <w:bookmarkEnd w:id="24"/>
      <w:r w:rsidDel="00000000" w:rsidR="00000000" w:rsidRPr="00000000">
        <w:rPr>
          <w:rFonts w:ascii="Times New Roman" w:cs="Times New Roman" w:eastAsia="Times New Roman" w:hAnsi="Times New Roman"/>
          <w:b w:val="1"/>
          <w:bCs w:val="1"/>
          <w:sz w:val="36"/>
          <w:szCs w:val="36"/>
          <w:rtl w:val="0"/>
        </w:rPr>
        <w:t xml:space="preserve">7. Compliance References</w:t>
      </w:r>
    </w:p>
    <w:p w:rsidR="00000000" w:rsidDel="00000000" w:rsidP="00000000" w:rsidRDefault="00000000" w:rsidRPr="00000000" w14:paraId="000000B6">
      <w:pPr>
        <w:numPr>
          <w:ilvl w:val="0"/>
          <w:numId w:val="15"/>
        </w:numPr>
        <w:spacing w:after="0" w:afterAutospacing="0" w:before="240" w:line="455.99999999999994" w:lineRule="auto"/>
        <w:ind w:left="720" w:hanging="360"/>
      </w:pPr>
      <w:r w:rsidDel="00000000" w:rsidR="00000000" w:rsidRPr="00000000">
        <w:rPr>
          <w:rFonts w:ascii="Times New Roman" w:cs="Times New Roman" w:eastAsia="Times New Roman" w:hAnsi="Times New Roman"/>
          <w:i w:val="1"/>
          <w:iCs w:val="1"/>
          <w:sz w:val="24"/>
          <w:szCs w:val="24"/>
          <w:rtl w:val="0"/>
        </w:rPr>
        <w:t xml:space="preserve">Veterans' Entitlements Act 1986</w:t>
      </w:r>
      <w:r w:rsidDel="00000000" w:rsidR="00000000" w:rsidRPr="00000000">
        <w:rPr>
          <w:rFonts w:ascii="Times New Roman" w:cs="Times New Roman" w:eastAsia="Times New Roman" w:hAnsi="Times New Roman"/>
          <w:sz w:val="24"/>
          <w:szCs w:val="24"/>
          <w:rtl w:val="0"/>
        </w:rPr>
        <w:t xml:space="preserve"> (Cth)</w:t>
      </w:r>
    </w:p>
    <w:p w:rsidR="00000000" w:rsidDel="00000000" w:rsidP="00000000" w:rsidRDefault="00000000" w:rsidRPr="00000000" w14:paraId="000000B7">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i w:val="1"/>
          <w:iCs w:val="1"/>
          <w:sz w:val="24"/>
          <w:szCs w:val="24"/>
          <w:rtl w:val="0"/>
        </w:rPr>
        <w:t xml:space="preserve">Military Rehabilitation and Compensation Act 2004</w:t>
      </w:r>
      <w:r w:rsidDel="00000000" w:rsidR="00000000" w:rsidRPr="00000000">
        <w:rPr>
          <w:rFonts w:ascii="Times New Roman" w:cs="Times New Roman" w:eastAsia="Times New Roman" w:hAnsi="Times New Roman"/>
          <w:sz w:val="24"/>
          <w:szCs w:val="24"/>
          <w:rtl w:val="0"/>
        </w:rPr>
        <w:t xml:space="preserve"> (Cth)</w:t>
      </w:r>
    </w:p>
    <w:p w:rsidR="00000000" w:rsidDel="00000000" w:rsidP="00000000" w:rsidRDefault="00000000" w:rsidRPr="00000000" w14:paraId="000000B8">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i w:val="1"/>
          <w:iCs w:val="1"/>
          <w:sz w:val="24"/>
          <w:szCs w:val="24"/>
          <w:rtl w:val="0"/>
        </w:rPr>
        <w:t xml:space="preserve">Safety, Rehabilitation and Compensation (Defence-related Claims) Act 1988</w:t>
      </w:r>
      <w:r w:rsidDel="00000000" w:rsidR="00000000" w:rsidRPr="00000000">
        <w:rPr>
          <w:rFonts w:ascii="Times New Roman" w:cs="Times New Roman" w:eastAsia="Times New Roman" w:hAnsi="Times New Roman"/>
          <w:sz w:val="24"/>
          <w:szCs w:val="24"/>
          <w:rtl w:val="0"/>
        </w:rPr>
        <w:t xml:space="preserve"> (Cth)</w:t>
      </w:r>
    </w:p>
    <w:p w:rsidR="00000000" w:rsidDel="00000000" w:rsidP="00000000" w:rsidRDefault="00000000" w:rsidRPr="00000000" w14:paraId="000000B9">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i w:val="1"/>
          <w:i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(Cth) and applicable Aged Care Quality Standards (Standards 1 and 2)</w:t>
      </w:r>
    </w:p>
    <w:p w:rsidR="00000000" w:rsidDel="00000000" w:rsidP="00000000" w:rsidRDefault="00000000" w:rsidRPr="00000000" w14:paraId="000000BA">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Charter of Aged Care Rights (Schedule 1, Aged Care Act 1997)</w:t>
      </w:r>
    </w:p>
    <w:p w:rsidR="00000000" w:rsidDel="00000000" w:rsidP="00000000" w:rsidRDefault="00000000" w:rsidRPr="00000000" w14:paraId="000000BB">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Aged Care Quality Standard 1 — Consumer Dignity and Choice</w:t>
      </w:r>
    </w:p>
    <w:p w:rsidR="00000000" w:rsidDel="00000000" w:rsidP="00000000" w:rsidRDefault="00000000" w:rsidRPr="00000000" w14:paraId="000000BC">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Aged Care Quality Standard 2 — Ongoing Assessment and Planning with Consumers</w:t>
      </w:r>
    </w:p>
    <w:p w:rsidR="00000000" w:rsidDel="00000000" w:rsidP="00000000" w:rsidRDefault="00000000" w:rsidRPr="00000000" w14:paraId="000000BD">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Department of Veterans' Affairs: Aged Care Guidelines for Providers (current edition)</w:t>
      </w:r>
    </w:p>
    <w:p w:rsidR="00000000" w:rsidDel="00000000" w:rsidP="00000000" w:rsidRDefault="00000000" w:rsidRPr="00000000" w14:paraId="000000BE">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Department of Veterans' Affairs: DVA Community Nursing Guidelines (current edition)</w:t>
      </w:r>
    </w:p>
    <w:p w:rsidR="00000000" w:rsidDel="00000000" w:rsidP="00000000" w:rsidRDefault="00000000" w:rsidRPr="00000000" w14:paraId="000000BF">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Open Arms — Veterans and Families Counselling: Service Information (DVA)</w:t>
      </w:r>
    </w:p>
    <w:p w:rsidR="00000000" w:rsidDel="00000000" w:rsidP="00000000" w:rsidRDefault="00000000" w:rsidRPr="00000000" w14:paraId="000000C0">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i w:val="1"/>
          <w:iCs w:val="1"/>
          <w:sz w:val="24"/>
          <w:szCs w:val="24"/>
          <w:rtl w:val="0"/>
        </w:rPr>
        <w:t xml:space="preserve">Privacy Act 1988</w:t>
      </w:r>
      <w:r w:rsidDel="00000000" w:rsidR="00000000" w:rsidRPr="00000000">
        <w:rPr>
          <w:rFonts w:ascii="Times New Roman" w:cs="Times New Roman" w:eastAsia="Times New Roman" w:hAnsi="Times New Roman"/>
          <w:sz w:val="24"/>
          <w:szCs w:val="24"/>
          <w:rtl w:val="0"/>
        </w:rPr>
        <w:t xml:space="preserve"> (Cth) and Australian Privacy Principles</w:t>
      </w:r>
    </w:p>
    <w:p w:rsidR="00000000" w:rsidDel="00000000" w:rsidP="00000000" w:rsidRDefault="00000000" w:rsidRPr="00000000" w14:paraId="000000C1">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Aged Care Quality and Safety Commission: Better Practice Guide — Delivering Trauma-Informed Aged Care</w:t>
      </w:r>
    </w:p>
    <w:p w:rsidR="00000000" w:rsidDel="00000000" w:rsidP="00000000" w:rsidRDefault="00000000" w:rsidRPr="00000000" w14:paraId="000000C2">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i w:val="1"/>
          <w:iCs w:val="1"/>
          <w:sz w:val="24"/>
          <w:szCs w:val="24"/>
          <w:rtl w:val="0"/>
        </w:rPr>
        <w:t xml:space="preserve">Work Health and Safety Act 2011</w:t>
      </w:r>
      <w:r w:rsidDel="00000000" w:rsidR="00000000" w:rsidRPr="00000000">
        <w:rPr>
          <w:rFonts w:ascii="Times New Roman" w:cs="Times New Roman" w:eastAsia="Times New Roman" w:hAnsi="Times New Roman"/>
          <w:sz w:val="24"/>
          <w:szCs w:val="24"/>
          <w:rtl w:val="0"/>
        </w:rPr>
        <w:t xml:space="preserve"> (Cth) (applicable to staff wellbeing obligations)</w:t>
      </w:r>
    </w:p>
    <w:p w:rsidR="00000000" w:rsidDel="00000000" w:rsidP="00000000" w:rsidRDefault="00000000" w:rsidRPr="00000000" w14:paraId="000000C3">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[FACILITY NAME] Policy: Privacy and Confidentiality</w:t>
      </w:r>
    </w:p>
    <w:p w:rsidR="00000000" w:rsidDel="00000000" w:rsidP="00000000" w:rsidRDefault="00000000" w:rsidRPr="00000000" w14:paraId="000000C4">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[FACILITY NAME] Policy: Mental Health and Wellbeing of Residents</w:t>
      </w:r>
    </w:p>
    <w:p w:rsidR="00000000" w:rsidDel="00000000" w:rsidP="00000000" w:rsidRDefault="00000000" w:rsidRPr="00000000" w14:paraId="000000C5">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[FACILITY NAME] Policy: Restrictive Practices</w:t>
      </w:r>
    </w:p>
    <w:p w:rsidR="00000000" w:rsidDel="00000000" w:rsidP="00000000" w:rsidRDefault="00000000" w:rsidRPr="00000000" w14:paraId="000000C6">
      <w:pPr>
        <w:numPr>
          <w:ilvl w:val="0"/>
          <w:numId w:val="15"/>
        </w:numPr>
        <w:spacing w:after="0" w:afterAutospacing="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[FACILITY NAME] Policy: End-of-Life and Palliative Care</w:t>
      </w:r>
    </w:p>
    <w:p w:rsidR="00000000" w:rsidDel="00000000" w:rsidP="00000000" w:rsidRDefault="00000000" w:rsidRPr="00000000" w14:paraId="000000C7">
      <w:pPr>
        <w:numPr>
          <w:ilvl w:val="0"/>
          <w:numId w:val="15"/>
        </w:numPr>
        <w:spacing w:after="240" w:before="0" w:beforeAutospacing="0" w:line="455.99999999999994" w:lineRule="auto"/>
        <w:ind w:left="720" w:hanging="360"/>
      </w:pPr>
      <w:r w:rsidDel="00000000" w:rsidR="00000000" w:rsidRPr="00000000">
        <w:rPr>
          <w:rFonts w:ascii="Times New Roman" w:cs="Times New Roman" w:eastAsia="Times New Roman" w:hAnsi="Times New Roman"/>
          <w:sz w:val="24"/>
          <w:szCs w:val="24"/>
          <w:rtl w:val="0"/>
        </w:rPr>
        <w:t xml:space="preserve">[FACILITY NAME] Policy: Incident Management and Reporting</w:t>
      </w:r>
    </w:p>
    <w:p w:rsidR="00000000" w:rsidDel="00000000" w:rsidP="00000000" w:rsidRDefault="00000000" w:rsidRPr="00000000" w14:paraId="000000C8">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q1jfu6opztsw" w:id="25"/>
      <w:bookmarkEnd w:id="25"/>
      <w:r w:rsidDel="00000000" w:rsidR="00000000" w:rsidRPr="00000000">
        <w:rPr>
          <w:rFonts w:ascii="Times New Roman" w:cs="Times New Roman" w:eastAsia="Times New Roman" w:hAnsi="Times New Roman"/>
          <w:b w:val="1"/>
          <w:bCs w:val="1"/>
          <w:sz w:val="36"/>
          <w:szCs w:val="36"/>
          <w:rtl w:val="0"/>
        </w:rPr>
        <w:t xml:space="preserve">8. Document Review</w:t>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must be reviewed at a minimum of every </w:t>
      </w:r>
      <w:r w:rsidDel="00000000" w:rsidR="00000000" w:rsidRPr="00000000">
        <w:rPr>
          <w:rFonts w:ascii="Times New Roman" w:cs="Times New Roman" w:eastAsia="Times New Roman" w:hAnsi="Times New Roman"/>
          <w:b w:val="1"/>
          <w:bCs w:val="1"/>
          <w:sz w:val="24"/>
          <w:szCs w:val="24"/>
          <w:rtl w:val="0"/>
        </w:rPr>
        <w:t xml:space="preserve">two (2) years</w:t>
      </w:r>
      <w:r w:rsidDel="00000000" w:rsidR="00000000" w:rsidRPr="00000000">
        <w:rPr>
          <w:rFonts w:ascii="Times New Roman" w:cs="Times New Roman" w:eastAsia="Times New Roman" w:hAnsi="Times New Roman"/>
          <w:sz w:val="24"/>
          <w:szCs w:val="24"/>
          <w:rtl w:val="0"/>
        </w:rPr>
        <w:t xml:space="preserve"> from the effective date, or earlier if any of the following occur:</w:t>
      </w:r>
    </w:p>
    <w:p w:rsidR="00000000" w:rsidDel="00000000" w:rsidP="00000000" w:rsidRDefault="00000000" w:rsidRPr="00000000" w14:paraId="000000CA">
      <w:pPr>
        <w:numPr>
          <w:ilvl w:val="0"/>
          <w:numId w:val="1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Changes to the </w:t>
      </w:r>
      <w:r w:rsidDel="00000000" w:rsidR="00000000" w:rsidRPr="00000000">
        <w:rPr>
          <w:rFonts w:ascii="Times New Roman" w:cs="Times New Roman" w:eastAsia="Times New Roman" w:hAnsi="Times New Roman"/>
          <w:i w:val="1"/>
          <w:iCs w:val="1"/>
          <w:sz w:val="24"/>
          <w:szCs w:val="24"/>
          <w:rtl w:val="0"/>
        </w:rPr>
        <w:t xml:space="preserve">Veterans' Entitlements Act 1986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Military Rehabilitation and Compensation Act 2004</w:t>
      </w:r>
      <w:r w:rsidDel="00000000" w:rsidR="00000000" w:rsidRPr="00000000">
        <w:rPr>
          <w:rFonts w:ascii="Times New Roman" w:cs="Times New Roman" w:eastAsia="Times New Roman" w:hAnsi="Times New Roman"/>
          <w:sz w:val="24"/>
          <w:szCs w:val="24"/>
          <w:rtl w:val="0"/>
        </w:rPr>
        <w:t xml:space="preserve">, or DVA Aged Care Guidelines.</w:t>
      </w:r>
    </w:p>
    <w:p w:rsidR="00000000" w:rsidDel="00000000" w:rsidP="00000000" w:rsidRDefault="00000000" w:rsidRPr="00000000" w14:paraId="000000CB">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Changes to the Aged Care Quality Standards or the Aged Care Act 1997.</w:t>
      </w:r>
    </w:p>
    <w:p w:rsidR="00000000" w:rsidDel="00000000" w:rsidP="00000000" w:rsidRDefault="00000000" w:rsidRPr="00000000" w14:paraId="000000CC">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 significant incident involving a veteran resident that identifies a gap in this policy.</w:t>
      </w:r>
    </w:p>
    <w:p w:rsidR="00000000" w:rsidDel="00000000" w:rsidP="00000000" w:rsidRDefault="00000000" w:rsidRPr="00000000" w14:paraId="000000CD">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Feedback from staff, residents, families, or external bodies (including the Aged Care Quality and Safety Commission) that indicates a need for policy revision.</w:t>
      </w:r>
    </w:p>
    <w:p w:rsidR="00000000" w:rsidDel="00000000" w:rsidP="00000000" w:rsidRDefault="00000000" w:rsidRPr="00000000" w14:paraId="000000CE">
      <w:pPr>
        <w:numPr>
          <w:ilvl w:val="0"/>
          <w:numId w:val="1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Changes to Open Arms, RSL, or other veteran support services that affect the referral pathways described in this policy.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6637168141597"/>
        <w:gridCol w:w="6074.33628318584"/>
        <w:tblGridChange w:id="0">
          <w:tblGrid>
            <w:gridCol w:w="3285.6637168141597"/>
            <w:gridCol w:w="6074.33628318584"/>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C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Next Scheduled Review 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D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Responsible for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e.g., Director of Nursing / Quality Manager]</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D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Review Distribution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staff via [FACILITY NAME] intranet / staff communication platform; hard copy to be held at nursing station and administration office.</w:t>
            </w:r>
          </w:p>
        </w:tc>
      </w:tr>
    </w:tbl>
    <w:p w:rsidR="00000000" w:rsidDel="00000000" w:rsidP="00000000" w:rsidRDefault="00000000" w:rsidRPr="00000000" w14:paraId="000000D5">
      <w:pPr>
        <w:pStyle w:val="Heading3"/>
        <w:keepNext w:val="0"/>
        <w:keepLines w:val="0"/>
        <w:spacing w:before="420" w:lineRule="auto"/>
        <w:rPr>
          <w:rFonts w:ascii="Times New Roman" w:cs="Times New Roman" w:eastAsia="Times New Roman" w:hAnsi="Times New Roman"/>
          <w:b w:val="1"/>
          <w:bCs w:val="1"/>
          <w:color w:val="000000"/>
        </w:rPr>
      </w:pPr>
      <w:bookmarkStart w:colFirst="0" w:colLast="0" w:name="_vs2tpnx9ns1d" w:id="26"/>
      <w:bookmarkEnd w:id="26"/>
      <w:r w:rsidDel="00000000" w:rsidR="00000000" w:rsidRPr="00000000">
        <w:rPr>
          <w:rFonts w:ascii="Times New Roman" w:cs="Times New Roman" w:eastAsia="Times New Roman" w:hAnsi="Times New Roman"/>
          <w:b w:val="1"/>
          <w:bCs w:val="1"/>
          <w:color w:val="000000"/>
          <w:rtl w:val="0"/>
        </w:rPr>
        <w:t xml:space="preserve">Version History</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6.8141592920354"/>
        <w:gridCol w:w="2001.7699115044247"/>
        <w:gridCol w:w="3050.973451327434"/>
        <w:gridCol w:w="3230.4424778761063"/>
        <w:tblGridChange w:id="0">
          <w:tblGrid>
            <w:gridCol w:w="1076.8141592920354"/>
            <w:gridCol w:w="2001.7699115044247"/>
            <w:gridCol w:w="3050.973451327434"/>
            <w:gridCol w:w="3230.442477876106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Description of Changes</w:t>
            </w: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 POSITION TITLE]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Initial policy document created.</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D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E2">
      <w:pPr>
        <w:pStyle w:val="Heading2"/>
        <w:keepNext w:val="0"/>
        <w:keepLines w:val="0"/>
        <w:spacing w:after="80" w:lineRule="auto"/>
        <w:rPr>
          <w:rFonts w:ascii="Times New Roman" w:cs="Times New Roman" w:eastAsia="Times New Roman" w:hAnsi="Times New Roman"/>
          <w:b w:val="1"/>
          <w:bCs w:val="1"/>
          <w:sz w:val="36"/>
          <w:szCs w:val="36"/>
        </w:rPr>
      </w:pPr>
      <w:bookmarkStart w:colFirst="0" w:colLast="0" w:name="_itajp3yb0hjj" w:id="27"/>
      <w:bookmarkEnd w:id="27"/>
      <w:r w:rsidDel="00000000" w:rsidR="00000000" w:rsidRPr="00000000">
        <w:rPr>
          <w:rFonts w:ascii="Times New Roman" w:cs="Times New Roman" w:eastAsia="Times New Roman" w:hAnsi="Times New Roman"/>
          <w:b w:val="1"/>
          <w:bCs w:val="1"/>
          <w:sz w:val="36"/>
          <w:szCs w:val="36"/>
          <w:rtl w:val="0"/>
        </w:rPr>
        <w:t xml:space="preserve">Staff Acknowledgement</w:t>
      </w:r>
    </w:p>
    <w:p w:rsidR="00000000" w:rsidDel="00000000" w:rsidP="00000000" w:rsidRDefault="00000000" w:rsidRPr="00000000" w14:paraId="000000E3">
      <w:pPr>
        <w:spacing w:after="240" w:before="7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confirm that I have read, understood, and agree to comply with the </w:t>
      </w:r>
      <w:r w:rsidDel="00000000" w:rsidR="00000000" w:rsidRPr="00000000">
        <w:rPr>
          <w:rFonts w:ascii="Times New Roman" w:cs="Times New Roman" w:eastAsia="Times New Roman" w:hAnsi="Times New Roman"/>
          <w:b w:val="1"/>
          <w:bCs w:val="1"/>
          <w:sz w:val="24"/>
          <w:szCs w:val="24"/>
          <w:rtl w:val="0"/>
        </w:rPr>
        <w:t xml:space="preserve">Veteran and Specific Population Care Policy</w:t>
      </w:r>
      <w:r w:rsidDel="00000000" w:rsidR="00000000" w:rsidRPr="00000000">
        <w:rPr>
          <w:rFonts w:ascii="Times New Roman" w:cs="Times New Roman" w:eastAsia="Times New Roman" w:hAnsi="Times New Roman"/>
          <w:sz w:val="24"/>
          <w:szCs w:val="24"/>
          <w:rtl w:val="0"/>
        </w:rPr>
        <w:t xml:space="preserve"> of [FACILITY NAME]. I understand that compliance with this policy is a condition of my engagement with the facility and that failure to comply may result in disciplinary action.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86.0176991150447"/>
        <w:gridCol w:w="1987.9646017699115"/>
        <w:gridCol w:w="2277.8761061946902"/>
        <w:gridCol w:w="1408.1415929203538"/>
        <w:tblGridChange w:id="0">
          <w:tblGrid>
            <w:gridCol w:w="3686.0176991150447"/>
            <w:gridCol w:w="1987.9646017699115"/>
            <w:gridCol w:w="2277.8761061946902"/>
            <w:gridCol w:w="1408.141592920353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4">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5">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6">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E7">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E8">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E9">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EA">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EB">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EC">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ED">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EE">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EF">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0">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1">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2">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3">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4">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5">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6">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7">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8">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9">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A">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tcMar>
              <w:top w:w="220.0" w:type="dxa"/>
              <w:left w:w="160.0" w:type="dxa"/>
              <w:bottom w:w="220.0" w:type="dxa"/>
              <w:right w:w="160.0" w:type="dxa"/>
            </w:tcMar>
            <w:vAlign w:val="top"/>
          </w:tcPr>
          <w:p w:rsidR="00000000" w:rsidDel="00000000" w:rsidP="00000000" w:rsidRDefault="00000000" w:rsidRPr="00000000" w14:paraId="000000FB">
            <w:pPr>
              <w:spacing w:after="240" w:before="7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FC">
      <w:pPr>
        <w:spacing w:after="200" w:before="720" w:lineRule="auto"/>
        <w:rPr>
          <w:rFonts w:ascii="Times New Roman" w:cs="Times New Roman" w:eastAsia="Times New Roman" w:hAnsi="Times New Roman"/>
          <w:color w:val="555555"/>
          <w:sz w:val="20"/>
          <w:szCs w:val="20"/>
        </w:rPr>
      </w:pPr>
      <w:r w:rsidDel="00000000" w:rsidR="00000000" w:rsidRPr="00000000">
        <w:rPr>
          <w:rFonts w:ascii="Times New Roman" w:cs="Times New Roman" w:eastAsia="Times New Roman" w:hAnsi="Times New Roman"/>
          <w:color w:val="555555"/>
          <w:sz w:val="20"/>
          <w:szCs w:val="20"/>
          <w:rtl w:val="0"/>
        </w:rPr>
        <w:t xml:space="preserve">This acknowledgement form must be signed and returned to [POSITION TITLE — e.g., Human Resources / Director of Nursing] within 14 days of the policy effective date or within 14 days of commencement for new staff. Signed forms must be retained on the staff member's personnel file.</w:t>
      </w:r>
    </w:p>
    <w:p w:rsidR="00000000" w:rsidDel="00000000" w:rsidP="00000000" w:rsidRDefault="00000000" w:rsidRPr="00000000" w14:paraId="000000FD">
      <w:pPr>
        <w:spacing w:after="200" w:before="1160" w:lineRule="auto"/>
        <w:jc w:val="center"/>
        <w:rPr>
          <w:rFonts w:ascii="Times New Roman" w:cs="Times New Roman" w:eastAsia="Times New Roman" w:hAnsi="Times New Roman"/>
          <w:b w:val="1"/>
          <w:bCs w:val="1"/>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POLICY APPROVAL</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6.9026548672564"/>
        <w:gridCol w:w="2816.2831858407076"/>
        <w:gridCol w:w="1877.5221238938052"/>
        <w:gridCol w:w="2319.29203539823"/>
        <w:tblGridChange w:id="0">
          <w:tblGrid>
            <w:gridCol w:w="2346.9026548672564"/>
            <w:gridCol w:w="2816.2831858407076"/>
            <w:gridCol w:w="1877.5221238938052"/>
            <w:gridCol w:w="2319.29203539823"/>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20.0" w:type="dxa"/>
              <w:left w:w="160.0" w:type="dxa"/>
              <w:bottom w:w="120.0" w:type="dxa"/>
              <w:right w:w="160.0" w:type="dxa"/>
            </w:tcMar>
            <w:vAlign w:val="top"/>
          </w:tcPr>
          <w:p w:rsidR="00000000" w:rsidDel="00000000" w:rsidP="00000000" w:rsidRDefault="00000000" w:rsidRPr="00000000" w14:paraId="000000FE">
            <w:pPr>
              <w:spacing w:after="240" w:before="10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Approved By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0FF">
            <w:pPr>
              <w:spacing w:after="240" w:before="10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tcBorders>
              <w:top w:color="000000" w:space="0" w:sz="8" w:val="single"/>
              <w:left w:color="000000" w:space="0" w:sz="8" w:val="single"/>
              <w:bottom w:color="000000" w:space="0" w:sz="8" w:val="single"/>
              <w:right w:color="000000" w:space="0" w:sz="8" w:val="single"/>
            </w:tcBorders>
            <w:shd w:fill="f5f5f5" w:val="clear"/>
            <w:tcMar>
              <w:top w:w="120.0" w:type="dxa"/>
              <w:left w:w="160.0" w:type="dxa"/>
              <w:bottom w:w="120.0" w:type="dxa"/>
              <w:right w:w="160.0" w:type="dxa"/>
            </w:tcMar>
            <w:vAlign w:val="top"/>
          </w:tcPr>
          <w:p w:rsidR="00000000" w:rsidDel="00000000" w:rsidP="00000000" w:rsidRDefault="00000000" w:rsidRPr="00000000" w14:paraId="00000100">
            <w:pPr>
              <w:spacing w:after="240" w:before="10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01">
            <w:pPr>
              <w:spacing w:after="240" w:before="10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w:t>
            </w:r>
          </w:p>
        </w:tc>
      </w:tr>
      <w:tr>
        <w:trPr>
          <w:cantSplit w:val="0"/>
          <w:trHeight w:val="99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20.0" w:type="dxa"/>
              <w:left w:w="160.0" w:type="dxa"/>
              <w:bottom w:w="120.0" w:type="dxa"/>
              <w:right w:w="160.0" w:type="dxa"/>
            </w:tcMar>
            <w:vAlign w:val="top"/>
          </w:tcPr>
          <w:p w:rsidR="00000000" w:rsidDel="00000000" w:rsidP="00000000" w:rsidRDefault="00000000" w:rsidRPr="00000000" w14:paraId="00000102">
            <w:pPr>
              <w:spacing w:after="240" w:before="10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360.0" w:type="dxa"/>
              <w:left w:w="160.0" w:type="dxa"/>
              <w:bottom w:w="360.0" w:type="dxa"/>
              <w:right w:w="160.0" w:type="dxa"/>
            </w:tcMar>
            <w:vAlign w:val="top"/>
          </w:tcPr>
          <w:p w:rsidR="00000000" w:rsidDel="00000000" w:rsidP="00000000" w:rsidRDefault="00000000" w:rsidRPr="00000000" w14:paraId="00000103">
            <w:pPr>
              <w:spacing w:after="240" w:before="10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8" w:val="single"/>
              <w:bottom w:color="000000" w:space="0" w:sz="8" w:val="single"/>
              <w:right w:color="000000" w:space="0" w:sz="8" w:val="single"/>
            </w:tcBorders>
            <w:shd w:fill="f5f5f5" w:val="clear"/>
            <w:tcMar>
              <w:top w:w="120.0" w:type="dxa"/>
              <w:left w:w="160.0" w:type="dxa"/>
              <w:bottom w:w="120.0" w:type="dxa"/>
              <w:right w:w="160.0" w:type="dxa"/>
            </w:tcMar>
            <w:vAlign w:val="top"/>
          </w:tcPr>
          <w:p w:rsidR="00000000" w:rsidDel="00000000" w:rsidP="00000000" w:rsidRDefault="00000000" w:rsidRPr="00000000" w14:paraId="00000104">
            <w:pPr>
              <w:spacing w:after="240" w:before="10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60.0" w:type="dxa"/>
              <w:bottom w:w="120.0" w:type="dxa"/>
              <w:right w:w="160.0" w:type="dxa"/>
            </w:tcMar>
            <w:vAlign w:val="top"/>
          </w:tcPr>
          <w:p w:rsidR="00000000" w:rsidDel="00000000" w:rsidP="00000000" w:rsidRDefault="00000000" w:rsidRPr="00000000" w14:paraId="00000105">
            <w:pPr>
              <w:spacing w:after="240" w:before="10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bl>
    <w:p w:rsidR="00000000" w:rsidDel="00000000" w:rsidP="00000000" w:rsidRDefault="00000000" w:rsidRPr="00000000" w14:paraId="00000106">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7">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decimal"/>
      <w:lvlText w:val="%2."/>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