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063CE" wp14:paraId="7FAA7EF8" wp14:textId="4DECDD32">
      <w:pPr>
        <w:pStyle w:val="Heading1"/>
        <w:rPr>
          <w:rFonts w:ascii="Aptos" w:hAnsi="Aptos" w:eastAsia="Aptos" w:cs="Aptos"/>
          <w:b w:val="1"/>
          <w:bCs w:val="1"/>
          <w:noProof w:val="0"/>
          <w:color w:val="000000" w:themeColor="text1" w:themeTint="FF" w:themeShade="FF"/>
          <w:sz w:val="32"/>
          <w:szCs w:val="32"/>
          <w:lang w:val="en-US"/>
        </w:rPr>
      </w:pPr>
      <w:r w:rsidRPr="7DE063CE" w:rsidR="04070AC2">
        <w:rPr>
          <w:rFonts w:ascii="Aptos" w:hAnsi="Aptos" w:eastAsia="Aptos" w:cs="Aptos"/>
          <w:b w:val="1"/>
          <w:bCs w:val="1"/>
          <w:noProof w:val="0"/>
          <w:color w:val="000000" w:themeColor="text1" w:themeTint="FF" w:themeShade="FF"/>
          <w:sz w:val="32"/>
          <w:szCs w:val="32"/>
          <w:lang w:val="en-US"/>
        </w:rPr>
        <w:t>Biomedical Waste Generation Report</w:t>
      </w:r>
    </w:p>
    <w:p xmlns:wp14="http://schemas.microsoft.com/office/word/2010/wordml" w:rsidP="7DE063CE" wp14:paraId="51BEFF74" wp14:textId="796657B1">
      <w:pPr>
        <w:pStyle w:val="Heading2"/>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MRR Children's Hospital</w:t>
      </w:r>
    </w:p>
    <w:p xmlns:wp14="http://schemas.microsoft.com/office/word/2010/wordml" w:rsidP="7DE063CE" wp14:paraId="687D77E0" wp14:textId="0B44D548">
      <w:pPr>
        <w:pStyle w:val="Heading3"/>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Reporting Period: May 2026</w:t>
      </w:r>
    </w:p>
    <w:p xmlns:wp14="http://schemas.microsoft.com/office/word/2010/wordml" wp14:paraId="259D543F" wp14:textId="76329811"/>
    <w:p xmlns:wp14="http://schemas.microsoft.com/office/word/2010/wordml" w:rsidP="7DE063CE" wp14:paraId="50E85951" wp14:textId="5339E87D">
      <w:pPr>
        <w:pStyle w:val="Heading1"/>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1. Executive Summary</w:t>
      </w:r>
    </w:p>
    <w:p xmlns:wp14="http://schemas.microsoft.com/office/word/2010/wordml" wp14:paraId="64CA6531" wp14:textId="02AAC76B">
      <w:r w:rsidRPr="7DE063CE" w:rsidR="04070AC2">
        <w:rPr>
          <w:rFonts w:ascii="Aptos" w:hAnsi="Aptos" w:eastAsia="Aptos" w:cs="Aptos"/>
          <w:noProof w:val="0"/>
          <w:color w:val="000000" w:themeColor="text1" w:themeTint="FF" w:themeShade="FF"/>
          <w:sz w:val="24"/>
          <w:szCs w:val="24"/>
          <w:lang w:val="en-US"/>
        </w:rPr>
        <w:t>This report presents the biomedical waste generation data for MRR Children's Hospital for the month of May 2026. The report has been prepared to monitor biomedical waste segregation practices, ensure regulatory compliance, and support environmental safety and infection prevention measures across the hospital.</w:t>
      </w:r>
    </w:p>
    <w:p xmlns:wp14="http://schemas.microsoft.com/office/word/2010/wordml" wp14:paraId="233F9966" wp14:textId="6597227E">
      <w:r w:rsidRPr="7DE063CE" w:rsidR="04070AC2">
        <w:rPr>
          <w:rFonts w:ascii="Aptos" w:hAnsi="Aptos" w:eastAsia="Aptos" w:cs="Aptos"/>
          <w:noProof w:val="0"/>
          <w:color w:val="000000" w:themeColor="text1" w:themeTint="FF" w:themeShade="FF"/>
          <w:sz w:val="24"/>
          <w:szCs w:val="24"/>
          <w:lang w:val="en-US"/>
        </w:rPr>
        <w:t>Biomedical waste generated during the reporting period was segregated into Yellow, Red, Blue, and Sharp Waste categories in accordance with the Bio-Medical Waste Management Rules, 2016 and subsequent amendments.</w:t>
      </w:r>
    </w:p>
    <w:p xmlns:wp14="http://schemas.microsoft.com/office/word/2010/wordml" wp14:paraId="38EE99A8" wp14:textId="0F7953B7"/>
    <w:p xmlns:wp14="http://schemas.microsoft.com/office/word/2010/wordml" w:rsidP="7DE063CE" wp14:paraId="6009C9FD" wp14:textId="19CF77DB">
      <w:pPr>
        <w:pStyle w:val="Heading1"/>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2. Monthly Biomedical Waste Summary</w:t>
      </w:r>
    </w:p>
    <w:tbl>
      <w:tblPr>
        <w:tblStyle w:val="TableNormal"/>
        <w:bidiVisual w:val="0"/>
        <w:tblW w:w="0" w:type="auto"/>
        <w:tblLook w:val="06A0" w:firstRow="1" w:lastRow="0" w:firstColumn="1" w:lastColumn="0" w:noHBand="1" w:noVBand="1"/>
      </w:tblPr>
      <w:tblGrid>
        <w:gridCol w:w="3405"/>
        <w:gridCol w:w="2130"/>
        <w:gridCol w:w="1575"/>
      </w:tblGrid>
      <w:tr w:rsidR="7DE063CE" w:rsidTr="7DE063CE" w14:paraId="21F0269E">
        <w:trPr>
          <w:trHeight w:val="300"/>
        </w:trPr>
        <w:tc>
          <w:tcPr>
            <w:tcW w:w="3405" w:type="dxa"/>
            <w:tcMar/>
            <w:vAlign w:val="center"/>
          </w:tcPr>
          <w:p w:rsidR="7DE063CE" w:rsidP="7DE063CE" w:rsidRDefault="7DE063CE" w14:paraId="745FC6EC" w14:textId="1B7E5FC7">
            <w:pPr>
              <w:spacing w:before="0" w:beforeAutospacing="off" w:after="0" w:afterAutospacing="off"/>
              <w:jc w:val="center"/>
            </w:pPr>
            <w:r w:rsidRPr="7DE063CE" w:rsidR="7DE063CE">
              <w:rPr>
                <w:b w:val="1"/>
                <w:bCs w:val="1"/>
                <w:color w:val="000000" w:themeColor="text1" w:themeTint="FF" w:themeShade="FF"/>
              </w:rPr>
              <w:t>Waste Category</w:t>
            </w:r>
          </w:p>
        </w:tc>
        <w:tc>
          <w:tcPr>
            <w:tcW w:w="2130" w:type="dxa"/>
            <w:tcMar/>
            <w:vAlign w:val="center"/>
          </w:tcPr>
          <w:p w:rsidR="7DE063CE" w:rsidP="7DE063CE" w:rsidRDefault="7DE063CE" w14:paraId="3764DD00" w14:textId="08B8F667">
            <w:pPr>
              <w:spacing w:before="0" w:beforeAutospacing="off" w:after="0" w:afterAutospacing="off"/>
              <w:jc w:val="center"/>
            </w:pPr>
            <w:r w:rsidRPr="7DE063CE" w:rsidR="7DE063CE">
              <w:rPr>
                <w:b w:val="1"/>
                <w:bCs w:val="1"/>
                <w:color w:val="000000" w:themeColor="text1" w:themeTint="FF" w:themeShade="FF"/>
              </w:rPr>
              <w:t>Quantity (Units)</w:t>
            </w:r>
          </w:p>
        </w:tc>
        <w:tc>
          <w:tcPr>
            <w:tcW w:w="1575" w:type="dxa"/>
            <w:tcMar/>
            <w:vAlign w:val="center"/>
          </w:tcPr>
          <w:p w:rsidR="7DE063CE" w:rsidP="7DE063CE" w:rsidRDefault="7DE063CE" w14:paraId="4862DAF8" w14:textId="1166F560">
            <w:pPr>
              <w:spacing w:before="0" w:beforeAutospacing="off" w:after="0" w:afterAutospacing="off"/>
              <w:jc w:val="center"/>
            </w:pPr>
            <w:r w:rsidRPr="7DE063CE" w:rsidR="7DE063CE">
              <w:rPr>
                <w:b w:val="1"/>
                <w:bCs w:val="1"/>
                <w:color w:val="000000" w:themeColor="text1" w:themeTint="FF" w:themeShade="FF"/>
              </w:rPr>
              <w:t>Weight (Kg)</w:t>
            </w:r>
          </w:p>
        </w:tc>
      </w:tr>
      <w:tr w:rsidR="7DE063CE" w:rsidTr="7DE063CE" w14:paraId="61FCE924">
        <w:trPr>
          <w:trHeight w:val="510"/>
        </w:trPr>
        <w:tc>
          <w:tcPr>
            <w:tcW w:w="3405" w:type="dxa"/>
            <w:tcMar/>
            <w:vAlign w:val="center"/>
          </w:tcPr>
          <w:p w:rsidR="7DE063CE" w:rsidP="7DE063CE" w:rsidRDefault="7DE063CE" w14:paraId="03AABD4E" w14:textId="78D4C5DB">
            <w:pPr>
              <w:spacing w:before="0" w:beforeAutospacing="off" w:after="0" w:afterAutospacing="off"/>
            </w:pPr>
            <w:r w:rsidRPr="7DE063CE" w:rsidR="7DE063CE">
              <w:rPr>
                <w:color w:val="000000" w:themeColor="text1" w:themeTint="FF" w:themeShade="FF"/>
              </w:rPr>
              <w:t>Yellow Bags</w:t>
            </w:r>
          </w:p>
        </w:tc>
        <w:tc>
          <w:tcPr>
            <w:tcW w:w="2130" w:type="dxa"/>
            <w:tcMar/>
            <w:vAlign w:val="center"/>
          </w:tcPr>
          <w:p w:rsidR="7DE063CE" w:rsidP="7DE063CE" w:rsidRDefault="7DE063CE" w14:paraId="6B367E42" w14:textId="4C92C46F">
            <w:pPr>
              <w:spacing w:before="0" w:beforeAutospacing="off" w:after="0" w:afterAutospacing="off"/>
            </w:pPr>
            <w:r w:rsidRPr="7DE063CE" w:rsidR="7DE063CE">
              <w:rPr>
                <w:color w:val="000000" w:themeColor="text1" w:themeTint="FF" w:themeShade="FF"/>
              </w:rPr>
              <w:t>334</w:t>
            </w:r>
          </w:p>
        </w:tc>
        <w:tc>
          <w:tcPr>
            <w:tcW w:w="1575" w:type="dxa"/>
            <w:tcMar/>
            <w:vAlign w:val="center"/>
          </w:tcPr>
          <w:p w:rsidR="7DE063CE" w:rsidP="7DE063CE" w:rsidRDefault="7DE063CE" w14:paraId="72C0EC0C" w14:textId="49C2F3DA">
            <w:pPr>
              <w:spacing w:before="0" w:beforeAutospacing="off" w:after="0" w:afterAutospacing="off"/>
            </w:pPr>
            <w:r w:rsidRPr="7DE063CE" w:rsidR="7DE063CE">
              <w:rPr>
                <w:color w:val="000000" w:themeColor="text1" w:themeTint="FF" w:themeShade="FF"/>
              </w:rPr>
              <w:t>352.40</w:t>
            </w:r>
          </w:p>
        </w:tc>
      </w:tr>
      <w:tr w:rsidR="7DE063CE" w:rsidTr="7DE063CE" w14:paraId="73A54D19">
        <w:trPr>
          <w:trHeight w:val="570"/>
        </w:trPr>
        <w:tc>
          <w:tcPr>
            <w:tcW w:w="3405" w:type="dxa"/>
            <w:tcMar/>
            <w:vAlign w:val="center"/>
          </w:tcPr>
          <w:p w:rsidR="7DE063CE" w:rsidP="7DE063CE" w:rsidRDefault="7DE063CE" w14:paraId="2205FB50" w14:textId="53B73C57">
            <w:pPr>
              <w:spacing w:before="0" w:beforeAutospacing="off" w:after="0" w:afterAutospacing="off"/>
            </w:pPr>
            <w:r w:rsidRPr="7DE063CE" w:rsidR="7DE063CE">
              <w:rPr>
                <w:color w:val="000000" w:themeColor="text1" w:themeTint="FF" w:themeShade="FF"/>
              </w:rPr>
              <w:t>Red Bags</w:t>
            </w:r>
          </w:p>
        </w:tc>
        <w:tc>
          <w:tcPr>
            <w:tcW w:w="2130" w:type="dxa"/>
            <w:tcMar/>
            <w:vAlign w:val="center"/>
          </w:tcPr>
          <w:p w:rsidR="7DE063CE" w:rsidP="7DE063CE" w:rsidRDefault="7DE063CE" w14:paraId="5862CCF2" w14:textId="029A27F8">
            <w:pPr>
              <w:spacing w:before="0" w:beforeAutospacing="off" w:after="0" w:afterAutospacing="off"/>
            </w:pPr>
            <w:r w:rsidRPr="7DE063CE" w:rsidR="7DE063CE">
              <w:rPr>
                <w:color w:val="000000" w:themeColor="text1" w:themeTint="FF" w:themeShade="FF"/>
              </w:rPr>
              <w:t>258</w:t>
            </w:r>
          </w:p>
        </w:tc>
        <w:tc>
          <w:tcPr>
            <w:tcW w:w="1575" w:type="dxa"/>
            <w:tcMar/>
            <w:vAlign w:val="center"/>
          </w:tcPr>
          <w:p w:rsidR="7DE063CE" w:rsidP="7DE063CE" w:rsidRDefault="7DE063CE" w14:paraId="3037CC8D" w14:textId="1F29512F">
            <w:pPr>
              <w:spacing w:before="0" w:beforeAutospacing="off" w:after="0" w:afterAutospacing="off"/>
            </w:pPr>
            <w:r w:rsidRPr="7DE063CE" w:rsidR="7DE063CE">
              <w:rPr>
                <w:color w:val="000000" w:themeColor="text1" w:themeTint="FF" w:themeShade="FF"/>
              </w:rPr>
              <w:t>345.78</w:t>
            </w:r>
          </w:p>
        </w:tc>
      </w:tr>
      <w:tr w:rsidR="7DE063CE" w:rsidTr="7DE063CE" w14:paraId="081416C3">
        <w:trPr>
          <w:trHeight w:val="510"/>
        </w:trPr>
        <w:tc>
          <w:tcPr>
            <w:tcW w:w="3405" w:type="dxa"/>
            <w:tcMar/>
            <w:vAlign w:val="center"/>
          </w:tcPr>
          <w:p w:rsidR="7DE063CE" w:rsidP="7DE063CE" w:rsidRDefault="7DE063CE" w14:paraId="6D37D8AD" w14:textId="6008F053">
            <w:pPr>
              <w:spacing w:before="0" w:beforeAutospacing="off" w:after="0" w:afterAutospacing="off"/>
            </w:pPr>
            <w:r w:rsidRPr="7DE063CE" w:rsidR="7DE063CE">
              <w:rPr>
                <w:color w:val="000000" w:themeColor="text1" w:themeTint="FF" w:themeShade="FF"/>
              </w:rPr>
              <w:t>Blue Boxes</w:t>
            </w:r>
          </w:p>
        </w:tc>
        <w:tc>
          <w:tcPr>
            <w:tcW w:w="2130" w:type="dxa"/>
            <w:tcMar/>
            <w:vAlign w:val="center"/>
          </w:tcPr>
          <w:p w:rsidR="7DE063CE" w:rsidP="7DE063CE" w:rsidRDefault="7DE063CE" w14:paraId="09FECB16" w14:textId="100CFEE4">
            <w:pPr>
              <w:spacing w:before="0" w:beforeAutospacing="off" w:after="0" w:afterAutospacing="off"/>
            </w:pPr>
            <w:r w:rsidRPr="7DE063CE" w:rsidR="7DE063CE">
              <w:rPr>
                <w:color w:val="000000" w:themeColor="text1" w:themeTint="FF" w:themeShade="FF"/>
              </w:rPr>
              <w:t>15</w:t>
            </w:r>
          </w:p>
        </w:tc>
        <w:tc>
          <w:tcPr>
            <w:tcW w:w="1575" w:type="dxa"/>
            <w:tcMar/>
            <w:vAlign w:val="center"/>
          </w:tcPr>
          <w:p w:rsidR="7DE063CE" w:rsidP="7DE063CE" w:rsidRDefault="7DE063CE" w14:paraId="7E0E1ED3" w14:textId="34AF1751">
            <w:pPr>
              <w:spacing w:before="0" w:beforeAutospacing="off" w:after="0" w:afterAutospacing="off"/>
            </w:pPr>
            <w:r w:rsidRPr="7DE063CE" w:rsidR="7DE063CE">
              <w:rPr>
                <w:color w:val="000000" w:themeColor="text1" w:themeTint="FF" w:themeShade="FF"/>
              </w:rPr>
              <w:t>43.26</w:t>
            </w:r>
          </w:p>
        </w:tc>
      </w:tr>
      <w:tr w:rsidR="7DE063CE" w:rsidTr="7DE063CE" w14:paraId="58249BF3">
        <w:trPr>
          <w:trHeight w:val="765"/>
        </w:trPr>
        <w:tc>
          <w:tcPr>
            <w:tcW w:w="3405" w:type="dxa"/>
            <w:tcMar/>
            <w:vAlign w:val="center"/>
          </w:tcPr>
          <w:p w:rsidR="7DE063CE" w:rsidP="7DE063CE" w:rsidRDefault="7DE063CE" w14:paraId="59F9F6B2" w14:textId="1CF8F414">
            <w:pPr>
              <w:spacing w:before="0" w:beforeAutospacing="off" w:after="0" w:afterAutospacing="off"/>
            </w:pPr>
            <w:r w:rsidRPr="7DE063CE" w:rsidR="7DE063CE">
              <w:rPr>
                <w:color w:val="000000" w:themeColor="text1" w:themeTint="FF" w:themeShade="FF"/>
              </w:rPr>
              <w:t>Sharp Containers</w:t>
            </w:r>
          </w:p>
        </w:tc>
        <w:tc>
          <w:tcPr>
            <w:tcW w:w="2130" w:type="dxa"/>
            <w:tcMar/>
            <w:vAlign w:val="center"/>
          </w:tcPr>
          <w:p w:rsidR="7DE063CE" w:rsidP="7DE063CE" w:rsidRDefault="7DE063CE" w14:paraId="4732A5A0" w14:textId="1B9C3A18">
            <w:pPr>
              <w:spacing w:before="0" w:beforeAutospacing="off" w:after="0" w:afterAutospacing="off"/>
            </w:pPr>
            <w:r w:rsidRPr="7DE063CE" w:rsidR="7DE063CE">
              <w:rPr>
                <w:color w:val="000000" w:themeColor="text1" w:themeTint="FF" w:themeShade="FF"/>
              </w:rPr>
              <w:t>6</w:t>
            </w:r>
          </w:p>
        </w:tc>
        <w:tc>
          <w:tcPr>
            <w:tcW w:w="1575" w:type="dxa"/>
            <w:tcMar/>
            <w:vAlign w:val="center"/>
          </w:tcPr>
          <w:p w:rsidR="7DE063CE" w:rsidP="7DE063CE" w:rsidRDefault="7DE063CE" w14:paraId="07C599D6" w14:textId="4267A1B9">
            <w:pPr>
              <w:spacing w:before="0" w:beforeAutospacing="off" w:after="0" w:afterAutospacing="off"/>
            </w:pPr>
            <w:r w:rsidRPr="7DE063CE" w:rsidR="7DE063CE">
              <w:rPr>
                <w:color w:val="000000" w:themeColor="text1" w:themeTint="FF" w:themeShade="FF"/>
              </w:rPr>
              <w:t>6.30</w:t>
            </w:r>
          </w:p>
        </w:tc>
      </w:tr>
      <w:tr w:rsidR="7DE063CE" w:rsidTr="7DE063CE" w14:paraId="2E9FAF45">
        <w:trPr>
          <w:trHeight w:val="300"/>
        </w:trPr>
        <w:tc>
          <w:tcPr>
            <w:tcW w:w="3405" w:type="dxa"/>
            <w:tcMar/>
            <w:vAlign w:val="center"/>
          </w:tcPr>
          <w:p w:rsidR="7DE063CE" w:rsidP="7DE063CE" w:rsidRDefault="7DE063CE" w14:paraId="29AE55FC" w14:textId="49E8EADB">
            <w:pPr>
              <w:spacing w:before="0" w:beforeAutospacing="off" w:after="0" w:afterAutospacing="off"/>
            </w:pPr>
            <w:r w:rsidRPr="7DE063CE" w:rsidR="7DE063CE">
              <w:rPr>
                <w:b w:val="1"/>
                <w:bCs w:val="1"/>
                <w:color w:val="000000" w:themeColor="text1" w:themeTint="FF" w:themeShade="FF"/>
              </w:rPr>
              <w:t>Total</w:t>
            </w:r>
          </w:p>
        </w:tc>
        <w:tc>
          <w:tcPr>
            <w:tcW w:w="2130" w:type="dxa"/>
            <w:tcMar/>
            <w:vAlign w:val="center"/>
          </w:tcPr>
          <w:p w:rsidR="7DE063CE" w:rsidP="7DE063CE" w:rsidRDefault="7DE063CE" w14:paraId="1F1945F0" w14:textId="757A21BA">
            <w:pPr>
              <w:spacing w:before="0" w:beforeAutospacing="off" w:after="0" w:afterAutospacing="off"/>
            </w:pPr>
            <w:r w:rsidRPr="7DE063CE" w:rsidR="7DE063CE">
              <w:rPr>
                <w:b w:val="1"/>
                <w:bCs w:val="1"/>
                <w:color w:val="000000" w:themeColor="text1" w:themeTint="FF" w:themeShade="FF"/>
              </w:rPr>
              <w:t>613</w:t>
            </w:r>
          </w:p>
        </w:tc>
        <w:tc>
          <w:tcPr>
            <w:tcW w:w="1575" w:type="dxa"/>
            <w:tcMar/>
            <w:vAlign w:val="center"/>
          </w:tcPr>
          <w:p w:rsidR="7DE063CE" w:rsidP="7DE063CE" w:rsidRDefault="7DE063CE" w14:paraId="01353105" w14:textId="0E079F4A">
            <w:pPr>
              <w:spacing w:before="0" w:beforeAutospacing="off" w:after="0" w:afterAutospacing="off"/>
            </w:pPr>
            <w:r w:rsidRPr="7DE063CE" w:rsidR="7DE063CE">
              <w:rPr>
                <w:b w:val="1"/>
                <w:bCs w:val="1"/>
                <w:color w:val="000000" w:themeColor="text1" w:themeTint="FF" w:themeShade="FF"/>
              </w:rPr>
              <w:t>747.74</w:t>
            </w:r>
          </w:p>
        </w:tc>
      </w:tr>
    </w:tbl>
    <w:p xmlns:wp14="http://schemas.microsoft.com/office/word/2010/wordml" wp14:paraId="3FCA5DBF" wp14:textId="5FE9B650"/>
    <w:p xmlns:wp14="http://schemas.microsoft.com/office/word/2010/wordml" w:rsidP="7DE063CE" wp14:paraId="06D53BAD" wp14:textId="7D7D1AC5">
      <w:pPr>
        <w:pStyle w:val="Heading1"/>
        <w:bidi w:val="0"/>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3. Waste Distribution Analysis</w:t>
      </w:r>
    </w:p>
    <w:tbl>
      <w:tblPr>
        <w:tblStyle w:val="TableNormal"/>
        <w:bidiVisual w:val="0"/>
        <w:tblW w:w="0" w:type="auto"/>
        <w:tblLook w:val="06A0" w:firstRow="1" w:lastRow="0" w:firstColumn="1" w:lastColumn="0" w:noHBand="1" w:noVBand="1"/>
      </w:tblPr>
      <w:tblGrid>
        <w:gridCol w:w="2295"/>
        <w:gridCol w:w="1605"/>
        <w:gridCol w:w="1725"/>
      </w:tblGrid>
      <w:tr w:rsidR="7DE063CE" w:rsidTr="7DE063CE" w14:paraId="26D9E5EB">
        <w:trPr>
          <w:trHeight w:val="300"/>
        </w:trPr>
        <w:tc>
          <w:tcPr>
            <w:tcW w:w="2295" w:type="dxa"/>
            <w:tcMar/>
            <w:vAlign w:val="center"/>
          </w:tcPr>
          <w:p w:rsidR="7DE063CE" w:rsidP="7DE063CE" w:rsidRDefault="7DE063CE" w14:paraId="59E3CDDD" w14:textId="4E2478E9">
            <w:pPr>
              <w:bidi w:val="0"/>
              <w:spacing w:before="0" w:beforeAutospacing="off" w:after="0" w:afterAutospacing="off"/>
              <w:jc w:val="center"/>
            </w:pPr>
            <w:r w:rsidRPr="7DE063CE" w:rsidR="7DE063CE">
              <w:rPr>
                <w:b w:val="1"/>
                <w:bCs w:val="1"/>
                <w:color w:val="000000" w:themeColor="text1" w:themeTint="FF" w:themeShade="FF"/>
              </w:rPr>
              <w:t>Waste Category</w:t>
            </w:r>
          </w:p>
        </w:tc>
        <w:tc>
          <w:tcPr>
            <w:tcW w:w="1605" w:type="dxa"/>
            <w:tcMar/>
            <w:vAlign w:val="center"/>
          </w:tcPr>
          <w:p w:rsidR="7DE063CE" w:rsidP="7DE063CE" w:rsidRDefault="7DE063CE" w14:paraId="2CFEC5F3" w14:textId="4D9026C5">
            <w:pPr>
              <w:bidi w:val="0"/>
              <w:spacing w:before="0" w:beforeAutospacing="off" w:after="0" w:afterAutospacing="off"/>
              <w:jc w:val="center"/>
            </w:pPr>
            <w:r w:rsidRPr="7DE063CE" w:rsidR="7DE063CE">
              <w:rPr>
                <w:b w:val="1"/>
                <w:bCs w:val="1"/>
                <w:color w:val="000000" w:themeColor="text1" w:themeTint="FF" w:themeShade="FF"/>
              </w:rPr>
              <w:t>Weight (Kg)</w:t>
            </w:r>
          </w:p>
        </w:tc>
        <w:tc>
          <w:tcPr>
            <w:tcW w:w="1725" w:type="dxa"/>
            <w:tcMar/>
            <w:vAlign w:val="center"/>
          </w:tcPr>
          <w:p w:rsidR="7DE063CE" w:rsidP="7DE063CE" w:rsidRDefault="7DE063CE" w14:paraId="306FD5C4" w14:textId="54F597FA">
            <w:pPr>
              <w:bidi w:val="0"/>
              <w:spacing w:before="0" w:beforeAutospacing="off" w:after="0" w:afterAutospacing="off"/>
              <w:jc w:val="center"/>
            </w:pPr>
            <w:r w:rsidRPr="7DE063CE" w:rsidR="7DE063CE">
              <w:rPr>
                <w:b w:val="1"/>
                <w:bCs w:val="1"/>
                <w:color w:val="000000" w:themeColor="text1" w:themeTint="FF" w:themeShade="FF"/>
              </w:rPr>
              <w:t>Percentage Contribution</w:t>
            </w:r>
          </w:p>
        </w:tc>
      </w:tr>
      <w:tr w:rsidR="7DE063CE" w:rsidTr="7DE063CE" w14:paraId="3B260434">
        <w:trPr>
          <w:trHeight w:val="300"/>
        </w:trPr>
        <w:tc>
          <w:tcPr>
            <w:tcW w:w="2295" w:type="dxa"/>
            <w:tcMar/>
            <w:vAlign w:val="center"/>
          </w:tcPr>
          <w:p w:rsidR="7DE063CE" w:rsidP="7DE063CE" w:rsidRDefault="7DE063CE" w14:paraId="5ADF79DA" w14:textId="609E3455">
            <w:pPr>
              <w:bidi w:val="0"/>
              <w:spacing w:before="0" w:beforeAutospacing="off" w:after="0" w:afterAutospacing="off"/>
            </w:pPr>
            <w:r w:rsidRPr="7DE063CE" w:rsidR="7DE063CE">
              <w:rPr>
                <w:color w:val="000000" w:themeColor="text1" w:themeTint="FF" w:themeShade="FF"/>
              </w:rPr>
              <w:t>Yellow Category Waste</w:t>
            </w:r>
          </w:p>
        </w:tc>
        <w:tc>
          <w:tcPr>
            <w:tcW w:w="1605" w:type="dxa"/>
            <w:tcMar/>
            <w:vAlign w:val="center"/>
          </w:tcPr>
          <w:p w:rsidR="7DE063CE" w:rsidP="7DE063CE" w:rsidRDefault="7DE063CE" w14:paraId="63B7EFE5" w14:textId="468B4ECB">
            <w:pPr>
              <w:bidi w:val="0"/>
              <w:spacing w:before="0" w:beforeAutospacing="off" w:after="0" w:afterAutospacing="off"/>
            </w:pPr>
            <w:r w:rsidRPr="7DE063CE" w:rsidR="7DE063CE">
              <w:rPr>
                <w:color w:val="000000" w:themeColor="text1" w:themeTint="FF" w:themeShade="FF"/>
              </w:rPr>
              <w:t>352.40</w:t>
            </w:r>
          </w:p>
        </w:tc>
        <w:tc>
          <w:tcPr>
            <w:tcW w:w="1725" w:type="dxa"/>
            <w:tcMar/>
            <w:vAlign w:val="center"/>
          </w:tcPr>
          <w:p w:rsidR="7DE063CE" w:rsidP="7DE063CE" w:rsidRDefault="7DE063CE" w14:paraId="0670C15E" w14:textId="66DF34D4">
            <w:pPr>
              <w:bidi w:val="0"/>
              <w:spacing w:before="0" w:beforeAutospacing="off" w:after="0" w:afterAutospacing="off"/>
            </w:pPr>
            <w:r w:rsidRPr="7DE063CE" w:rsidR="7DE063CE">
              <w:rPr>
                <w:color w:val="000000" w:themeColor="text1" w:themeTint="FF" w:themeShade="FF"/>
              </w:rPr>
              <w:t>47.13%</w:t>
            </w:r>
          </w:p>
        </w:tc>
      </w:tr>
      <w:tr w:rsidR="7DE063CE" w:rsidTr="7DE063CE" w14:paraId="41B09A07">
        <w:trPr>
          <w:trHeight w:val="300"/>
        </w:trPr>
        <w:tc>
          <w:tcPr>
            <w:tcW w:w="2295" w:type="dxa"/>
            <w:tcMar/>
            <w:vAlign w:val="center"/>
          </w:tcPr>
          <w:p w:rsidR="7DE063CE" w:rsidP="7DE063CE" w:rsidRDefault="7DE063CE" w14:paraId="692F7AAA" w14:textId="7550AF81">
            <w:pPr>
              <w:bidi w:val="0"/>
              <w:spacing w:before="0" w:beforeAutospacing="off" w:after="0" w:afterAutospacing="off"/>
            </w:pPr>
            <w:r w:rsidRPr="7DE063CE" w:rsidR="7DE063CE">
              <w:rPr>
                <w:color w:val="000000" w:themeColor="text1" w:themeTint="FF" w:themeShade="FF"/>
              </w:rPr>
              <w:t>Red Category Waste</w:t>
            </w:r>
          </w:p>
        </w:tc>
        <w:tc>
          <w:tcPr>
            <w:tcW w:w="1605" w:type="dxa"/>
            <w:tcMar/>
            <w:vAlign w:val="center"/>
          </w:tcPr>
          <w:p w:rsidR="7DE063CE" w:rsidP="7DE063CE" w:rsidRDefault="7DE063CE" w14:paraId="381038F5" w14:textId="11A2A695">
            <w:pPr>
              <w:bidi w:val="0"/>
              <w:spacing w:before="0" w:beforeAutospacing="off" w:after="0" w:afterAutospacing="off"/>
            </w:pPr>
            <w:r w:rsidRPr="7DE063CE" w:rsidR="7DE063CE">
              <w:rPr>
                <w:color w:val="000000" w:themeColor="text1" w:themeTint="FF" w:themeShade="FF"/>
              </w:rPr>
              <w:t>345.78</w:t>
            </w:r>
          </w:p>
        </w:tc>
        <w:tc>
          <w:tcPr>
            <w:tcW w:w="1725" w:type="dxa"/>
            <w:tcMar/>
            <w:vAlign w:val="center"/>
          </w:tcPr>
          <w:p w:rsidR="7DE063CE" w:rsidP="7DE063CE" w:rsidRDefault="7DE063CE" w14:paraId="28062171" w14:textId="29C7DD12">
            <w:pPr>
              <w:bidi w:val="0"/>
              <w:spacing w:before="0" w:beforeAutospacing="off" w:after="0" w:afterAutospacing="off"/>
            </w:pPr>
            <w:r w:rsidRPr="7DE063CE" w:rsidR="7DE063CE">
              <w:rPr>
                <w:color w:val="000000" w:themeColor="text1" w:themeTint="FF" w:themeShade="FF"/>
              </w:rPr>
              <w:t>46.24%</w:t>
            </w:r>
          </w:p>
        </w:tc>
      </w:tr>
      <w:tr w:rsidR="7DE063CE" w:rsidTr="7DE063CE" w14:paraId="61204A88">
        <w:trPr>
          <w:trHeight w:val="300"/>
        </w:trPr>
        <w:tc>
          <w:tcPr>
            <w:tcW w:w="2295" w:type="dxa"/>
            <w:tcMar/>
            <w:vAlign w:val="center"/>
          </w:tcPr>
          <w:p w:rsidR="7DE063CE" w:rsidP="7DE063CE" w:rsidRDefault="7DE063CE" w14:paraId="3F4F237C" w14:textId="78D37C13">
            <w:pPr>
              <w:bidi w:val="0"/>
              <w:spacing w:before="0" w:beforeAutospacing="off" w:after="0" w:afterAutospacing="off"/>
            </w:pPr>
            <w:r w:rsidRPr="7DE063CE" w:rsidR="7DE063CE">
              <w:rPr>
                <w:color w:val="000000" w:themeColor="text1" w:themeTint="FF" w:themeShade="FF"/>
              </w:rPr>
              <w:t>Blue Category Waste</w:t>
            </w:r>
          </w:p>
        </w:tc>
        <w:tc>
          <w:tcPr>
            <w:tcW w:w="1605" w:type="dxa"/>
            <w:tcMar/>
            <w:vAlign w:val="center"/>
          </w:tcPr>
          <w:p w:rsidR="7DE063CE" w:rsidP="7DE063CE" w:rsidRDefault="7DE063CE" w14:paraId="56D5B7AB" w14:textId="4ADB2613">
            <w:pPr>
              <w:bidi w:val="0"/>
              <w:spacing w:before="0" w:beforeAutospacing="off" w:after="0" w:afterAutospacing="off"/>
            </w:pPr>
            <w:r w:rsidRPr="7DE063CE" w:rsidR="7DE063CE">
              <w:rPr>
                <w:color w:val="000000" w:themeColor="text1" w:themeTint="FF" w:themeShade="FF"/>
              </w:rPr>
              <w:t>43.26</w:t>
            </w:r>
          </w:p>
        </w:tc>
        <w:tc>
          <w:tcPr>
            <w:tcW w:w="1725" w:type="dxa"/>
            <w:tcMar/>
            <w:vAlign w:val="center"/>
          </w:tcPr>
          <w:p w:rsidR="7DE063CE" w:rsidP="7DE063CE" w:rsidRDefault="7DE063CE" w14:paraId="229B2EA4" w14:textId="77166B4E">
            <w:pPr>
              <w:bidi w:val="0"/>
              <w:spacing w:before="0" w:beforeAutospacing="off" w:after="0" w:afterAutospacing="off"/>
            </w:pPr>
            <w:r w:rsidRPr="7DE063CE" w:rsidR="7DE063CE">
              <w:rPr>
                <w:color w:val="000000" w:themeColor="text1" w:themeTint="FF" w:themeShade="FF"/>
              </w:rPr>
              <w:t>5.78%</w:t>
            </w:r>
          </w:p>
        </w:tc>
      </w:tr>
      <w:tr w:rsidR="7DE063CE" w:rsidTr="7DE063CE" w14:paraId="7490A8D9">
        <w:trPr>
          <w:trHeight w:val="300"/>
        </w:trPr>
        <w:tc>
          <w:tcPr>
            <w:tcW w:w="2295" w:type="dxa"/>
            <w:tcMar/>
            <w:vAlign w:val="center"/>
          </w:tcPr>
          <w:p w:rsidR="7DE063CE" w:rsidP="7DE063CE" w:rsidRDefault="7DE063CE" w14:paraId="4608C288" w14:textId="1E7A31D7">
            <w:pPr>
              <w:bidi w:val="0"/>
              <w:spacing w:before="0" w:beforeAutospacing="off" w:after="0" w:afterAutospacing="off"/>
            </w:pPr>
            <w:r w:rsidRPr="7DE063CE" w:rsidR="7DE063CE">
              <w:rPr>
                <w:color w:val="000000" w:themeColor="text1" w:themeTint="FF" w:themeShade="FF"/>
              </w:rPr>
              <w:t>Sharp Waste</w:t>
            </w:r>
          </w:p>
        </w:tc>
        <w:tc>
          <w:tcPr>
            <w:tcW w:w="1605" w:type="dxa"/>
            <w:tcMar/>
            <w:vAlign w:val="center"/>
          </w:tcPr>
          <w:p w:rsidR="7DE063CE" w:rsidP="7DE063CE" w:rsidRDefault="7DE063CE" w14:paraId="19634F19" w14:textId="3357874C">
            <w:pPr>
              <w:bidi w:val="0"/>
              <w:spacing w:before="0" w:beforeAutospacing="off" w:after="0" w:afterAutospacing="off"/>
            </w:pPr>
            <w:r w:rsidRPr="7DE063CE" w:rsidR="7DE063CE">
              <w:rPr>
                <w:color w:val="000000" w:themeColor="text1" w:themeTint="FF" w:themeShade="FF"/>
              </w:rPr>
              <w:t>6.30</w:t>
            </w:r>
          </w:p>
        </w:tc>
        <w:tc>
          <w:tcPr>
            <w:tcW w:w="1725" w:type="dxa"/>
            <w:tcMar/>
            <w:vAlign w:val="center"/>
          </w:tcPr>
          <w:p w:rsidR="7DE063CE" w:rsidP="7DE063CE" w:rsidRDefault="7DE063CE" w14:paraId="70183194" w14:textId="42248290">
            <w:pPr>
              <w:bidi w:val="0"/>
              <w:spacing w:before="0" w:beforeAutospacing="off" w:after="0" w:afterAutospacing="off"/>
            </w:pPr>
            <w:r w:rsidRPr="7DE063CE" w:rsidR="7DE063CE">
              <w:rPr>
                <w:color w:val="000000" w:themeColor="text1" w:themeTint="FF" w:themeShade="FF"/>
              </w:rPr>
              <w:t>0.84%</w:t>
            </w:r>
          </w:p>
        </w:tc>
      </w:tr>
    </w:tbl>
    <w:p xmlns:wp14="http://schemas.microsoft.com/office/word/2010/wordml" w:rsidP="7DE063CE" wp14:paraId="1394CBB6" wp14:textId="33381911">
      <w:pPr>
        <w:pStyle w:val="Heading3"/>
        <w:bidi w:val="0"/>
        <w:rPr>
          <w:rFonts w:ascii="Aptos" w:hAnsi="Aptos" w:eastAsia="Aptos" w:cs="Aptos"/>
          <w:noProof w:val="0"/>
          <w:color w:val="000000" w:themeColor="text1" w:themeTint="FF" w:themeShade="FF"/>
          <w:sz w:val="24"/>
          <w:szCs w:val="24"/>
          <w:lang w:val="en-US"/>
        </w:rPr>
      </w:pPr>
    </w:p>
    <w:p xmlns:wp14="http://schemas.microsoft.com/office/word/2010/wordml" w:rsidP="7DE063CE" wp14:paraId="5C8AAE38" wp14:textId="0EE688BB">
      <w:pPr>
        <w:pStyle w:val="Heading3"/>
        <w:bidi w:val="0"/>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Key Observation</w:t>
      </w:r>
    </w:p>
    <w:p xmlns:wp14="http://schemas.microsoft.com/office/word/2010/wordml" wp14:paraId="27AB202C" wp14:textId="1FE35255">
      <w:r w:rsidRPr="7DE063CE" w:rsidR="04070AC2">
        <w:rPr>
          <w:rFonts w:ascii="Aptos" w:hAnsi="Aptos" w:eastAsia="Aptos" w:cs="Aptos"/>
          <w:noProof w:val="0"/>
          <w:color w:val="000000" w:themeColor="text1" w:themeTint="FF" w:themeShade="FF"/>
          <w:sz w:val="24"/>
          <w:szCs w:val="24"/>
          <w:lang w:val="en-US"/>
        </w:rPr>
        <w:t>Yellow Category Waste contributed the highest proportion of biomedical waste generated during the month, accounting for approximately 47.13% of the total waste generated. Red Category Waste closely followed at 46.24%, indicating effective segregation practices across patient care and clinical areas.</w:t>
      </w:r>
    </w:p>
    <w:p xmlns:wp14="http://schemas.microsoft.com/office/word/2010/wordml" wp14:paraId="12ED9A00" wp14:textId="493A1D57"/>
    <w:p xmlns:wp14="http://schemas.microsoft.com/office/word/2010/wordml" w:rsidP="7DE063CE" wp14:paraId="3B19F475" wp14:textId="49D686AE">
      <w:pPr>
        <w:pStyle w:val="Heading1"/>
        <w:bidi w:val="0"/>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4. Daily Generation Analysis</w:t>
      </w:r>
    </w:p>
    <w:p xmlns:wp14="http://schemas.microsoft.com/office/word/2010/wordml" w:rsidP="7DE063CE" wp14:paraId="4C93EAC9" wp14:textId="4FEE5932">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Total Biomedical Waste Generated</w:t>
      </w:r>
    </w:p>
    <w:p xmlns:wp14="http://schemas.microsoft.com/office/word/2010/wordml" wp14:paraId="3B2AEC75" wp14:textId="116DC5BF">
      <w:r w:rsidRPr="7DE063CE" w:rsidR="04070AC2">
        <w:rPr>
          <w:rFonts w:ascii="Aptos" w:hAnsi="Aptos" w:eastAsia="Aptos" w:cs="Aptos"/>
          <w:noProof w:val="0"/>
          <w:color w:val="000000" w:themeColor="text1" w:themeTint="FF" w:themeShade="FF"/>
          <w:sz w:val="24"/>
          <w:szCs w:val="24"/>
          <w:lang w:val="en-US"/>
        </w:rPr>
        <w:t>747.74 Kg</w:t>
      </w:r>
    </w:p>
    <w:p xmlns:wp14="http://schemas.microsoft.com/office/word/2010/wordml" w:rsidP="7DE063CE" wp14:paraId="0DBDBC1A" wp14:textId="5E4B8867">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Total Biomedical Waste Bags/Containers Generated</w:t>
      </w:r>
    </w:p>
    <w:p xmlns:wp14="http://schemas.microsoft.com/office/word/2010/wordml" wp14:paraId="04832CF2" wp14:textId="4158DAED">
      <w:r w:rsidRPr="7DE063CE" w:rsidR="04070AC2">
        <w:rPr>
          <w:rFonts w:ascii="Aptos" w:hAnsi="Aptos" w:eastAsia="Aptos" w:cs="Aptos"/>
          <w:noProof w:val="0"/>
          <w:color w:val="000000" w:themeColor="text1" w:themeTint="FF" w:themeShade="FF"/>
          <w:sz w:val="24"/>
          <w:szCs w:val="24"/>
          <w:lang w:val="en-US"/>
        </w:rPr>
        <w:t>613</w:t>
      </w:r>
    </w:p>
    <w:p xmlns:wp14="http://schemas.microsoft.com/office/word/2010/wordml" w:rsidP="7DE063CE" wp14:paraId="45B6AC8D" wp14:textId="630C7B6E">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Average Daily Biomedical Waste Generation</w:t>
      </w:r>
    </w:p>
    <w:p xmlns:wp14="http://schemas.microsoft.com/office/word/2010/wordml" wp14:paraId="31393374" wp14:textId="3CC941AF">
      <w:r w:rsidRPr="7DE063CE" w:rsidR="04070AC2">
        <w:rPr>
          <w:rFonts w:ascii="Aptos" w:hAnsi="Aptos" w:eastAsia="Aptos" w:cs="Aptos"/>
          <w:noProof w:val="0"/>
          <w:color w:val="000000" w:themeColor="text1" w:themeTint="FF" w:themeShade="FF"/>
          <w:sz w:val="24"/>
          <w:szCs w:val="24"/>
          <w:lang w:val="en-US"/>
        </w:rPr>
        <w:t>24.12 Kg per day</w:t>
      </w:r>
    </w:p>
    <w:p xmlns:wp14="http://schemas.microsoft.com/office/word/2010/wordml" w:rsidP="7DE063CE" wp14:paraId="36D1A6DD" wp14:textId="61F93040">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Highest Waste Generation Day</w:t>
      </w:r>
    </w:p>
    <w:p xmlns:wp14="http://schemas.microsoft.com/office/word/2010/wordml" wp14:paraId="3949DBDB" wp14:textId="25824CFB">
      <w:r w:rsidRPr="7DE063CE" w:rsidR="04070AC2">
        <w:rPr>
          <w:rFonts w:ascii="Aptos" w:hAnsi="Aptos" w:eastAsia="Aptos" w:cs="Aptos"/>
          <w:noProof w:val="0"/>
          <w:color w:val="000000" w:themeColor="text1" w:themeTint="FF" w:themeShade="FF"/>
          <w:sz w:val="24"/>
          <w:szCs w:val="24"/>
          <w:lang w:val="en-US"/>
        </w:rPr>
        <w:t>25 May 2026</w:t>
      </w:r>
    </w:p>
    <w:p xmlns:wp14="http://schemas.microsoft.com/office/word/2010/wordml" w:rsidP="7DE063CE" wp14:paraId="4A6DF18B" wp14:textId="20C8DABF">
      <w:pPr>
        <w:pStyle w:val="ListParagraph"/>
        <w:numPr>
          <w:ilvl w:val="0"/>
          <w:numId w:val="1"/>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7DE063CE" w:rsidR="04070AC2">
        <w:rPr>
          <w:rFonts w:ascii="Aptos" w:hAnsi="Aptos" w:eastAsia="Aptos" w:cs="Aptos"/>
          <w:noProof w:val="0"/>
          <w:color w:val="000000" w:themeColor="text1" w:themeTint="FF" w:themeShade="FF"/>
          <w:sz w:val="24"/>
          <w:szCs w:val="24"/>
          <w:lang w:val="en-US"/>
        </w:rPr>
        <w:t>Total Waste Generated: 55.92 Kg</w:t>
      </w:r>
    </w:p>
    <w:p xmlns:wp14="http://schemas.microsoft.com/office/word/2010/wordml" w:rsidP="7DE063CE" wp14:paraId="0B6D63E3" wp14:textId="0AFD2880">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Lowest Waste Generation Day (Excluding Zero Generation Days)</w:t>
      </w:r>
    </w:p>
    <w:p xmlns:wp14="http://schemas.microsoft.com/office/word/2010/wordml" wp14:paraId="692787BD" wp14:textId="161A81BA">
      <w:r w:rsidRPr="7DE063CE" w:rsidR="04070AC2">
        <w:rPr>
          <w:rFonts w:ascii="Aptos" w:hAnsi="Aptos" w:eastAsia="Aptos" w:cs="Aptos"/>
          <w:noProof w:val="0"/>
          <w:color w:val="000000" w:themeColor="text1" w:themeTint="FF" w:themeShade="FF"/>
          <w:sz w:val="24"/>
          <w:szCs w:val="24"/>
          <w:lang w:val="en-US"/>
        </w:rPr>
        <w:t>27 May 2026</w:t>
      </w:r>
    </w:p>
    <w:p xmlns:wp14="http://schemas.microsoft.com/office/word/2010/wordml" w:rsidP="7DE063CE" wp14:paraId="2B0BA0C2" wp14:textId="717F352C">
      <w:pPr>
        <w:pStyle w:val="ListParagraph"/>
        <w:numPr>
          <w:ilvl w:val="0"/>
          <w:numId w:val="2"/>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7DE063CE" w:rsidR="04070AC2">
        <w:rPr>
          <w:rFonts w:ascii="Aptos" w:hAnsi="Aptos" w:eastAsia="Aptos" w:cs="Aptos"/>
          <w:noProof w:val="0"/>
          <w:color w:val="000000" w:themeColor="text1" w:themeTint="FF" w:themeShade="FF"/>
          <w:sz w:val="24"/>
          <w:szCs w:val="24"/>
          <w:lang w:val="en-US"/>
        </w:rPr>
        <w:t>Total Waste Generated: 12.21 Kg</w:t>
      </w:r>
    </w:p>
    <w:p xmlns:wp14="http://schemas.microsoft.com/office/word/2010/wordml" w:rsidP="7DE063CE" wp14:paraId="70A56DF1" wp14:textId="71D9834C">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Zero Generation / Non-Collection Days</w:t>
      </w:r>
    </w:p>
    <w:p xmlns:wp14="http://schemas.microsoft.com/office/word/2010/wordml" wp14:paraId="7542C6B2" wp14:textId="30D79218">
      <w:r w:rsidRPr="7DE063CE" w:rsidR="04070AC2">
        <w:rPr>
          <w:rFonts w:ascii="Aptos" w:hAnsi="Aptos" w:eastAsia="Aptos" w:cs="Aptos"/>
          <w:noProof w:val="0"/>
          <w:color w:val="000000" w:themeColor="text1" w:themeTint="FF" w:themeShade="FF"/>
          <w:sz w:val="24"/>
          <w:szCs w:val="24"/>
          <w:lang w:val="en-US"/>
        </w:rPr>
        <w:t>The records indicate a few days with no biomedical waste collection or recorded waste generation, which may correspond to non-collection schedules or operational factors requiring verification.</w:t>
      </w:r>
    </w:p>
    <w:p xmlns:wp14="http://schemas.microsoft.com/office/word/2010/wordml" wp14:paraId="41F71787" wp14:textId="725CB69F"/>
    <w:p xmlns:wp14="http://schemas.microsoft.com/office/word/2010/wordml" w:rsidP="7DE063CE" wp14:paraId="44F101FA" wp14:textId="775DCD8A">
      <w:pPr>
        <w:pStyle w:val="Heading1"/>
        <w:bidi w:val="0"/>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5. Compliance and Segregation Review</w:t>
      </w:r>
    </w:p>
    <w:p xmlns:wp14="http://schemas.microsoft.com/office/word/2010/wordml" wp14:paraId="3494FC52" wp14:textId="32787F99">
      <w:r w:rsidRPr="7DE063CE" w:rsidR="04070AC2">
        <w:rPr>
          <w:rFonts w:ascii="Aptos" w:hAnsi="Aptos" w:eastAsia="Aptos" w:cs="Aptos"/>
          <w:noProof w:val="0"/>
          <w:color w:val="000000" w:themeColor="text1" w:themeTint="FF" w:themeShade="FF"/>
          <w:sz w:val="24"/>
          <w:szCs w:val="24"/>
          <w:lang w:val="en-US"/>
        </w:rPr>
        <w:t>The hospital maintained segregation of biomedical waste into designated colour-coded categories:</w:t>
      </w:r>
    </w:p>
    <w:p xmlns:wp14="http://schemas.microsoft.com/office/word/2010/wordml" w:rsidP="7DE063CE" wp14:paraId="1D86D165" wp14:textId="51D5EF81">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Yellow Category</w:t>
      </w:r>
    </w:p>
    <w:p xmlns:wp14="http://schemas.microsoft.com/office/word/2010/wordml" wp14:paraId="04663461" wp14:textId="56198BB6">
      <w:r w:rsidRPr="7DE063CE" w:rsidR="04070AC2">
        <w:rPr>
          <w:rFonts w:ascii="Aptos" w:hAnsi="Aptos" w:eastAsia="Aptos" w:cs="Aptos"/>
          <w:noProof w:val="0"/>
          <w:color w:val="000000" w:themeColor="text1" w:themeTint="FF" w:themeShade="FF"/>
          <w:sz w:val="24"/>
          <w:szCs w:val="24"/>
          <w:lang w:val="en-US"/>
        </w:rPr>
        <w:t>Includes soiled waste, infectious waste, microbiology waste, and other waste requiring incineration or authorised treatment.</w:t>
      </w:r>
    </w:p>
    <w:p xmlns:wp14="http://schemas.microsoft.com/office/word/2010/wordml" w:rsidP="7DE063CE" wp14:paraId="6E043228" wp14:textId="5BEF443D">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Red Category</w:t>
      </w:r>
    </w:p>
    <w:p xmlns:wp14="http://schemas.microsoft.com/office/word/2010/wordml" wp14:paraId="22D63048" wp14:textId="319474B0">
      <w:r w:rsidRPr="7DE063CE" w:rsidR="04070AC2">
        <w:rPr>
          <w:rFonts w:ascii="Aptos" w:hAnsi="Aptos" w:eastAsia="Aptos" w:cs="Aptos"/>
          <w:noProof w:val="0"/>
          <w:color w:val="000000" w:themeColor="text1" w:themeTint="FF" w:themeShade="FF"/>
          <w:sz w:val="24"/>
          <w:szCs w:val="24"/>
          <w:lang w:val="en-US"/>
        </w:rPr>
        <w:t>Includes contaminated recyclable waste such as IV tubing, catheters, gloves, syringes without needles, and plastic disposables.</w:t>
      </w:r>
    </w:p>
    <w:p xmlns:wp14="http://schemas.microsoft.com/office/word/2010/wordml" w:rsidP="7DE063CE" wp14:paraId="34270B5C" wp14:textId="11445B4F">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Blue Category</w:t>
      </w:r>
    </w:p>
    <w:p xmlns:wp14="http://schemas.microsoft.com/office/word/2010/wordml" wp14:paraId="01A341B7" wp14:textId="3D2AF88C">
      <w:r w:rsidRPr="7DE063CE" w:rsidR="04070AC2">
        <w:rPr>
          <w:rFonts w:ascii="Aptos" w:hAnsi="Aptos" w:eastAsia="Aptos" w:cs="Aptos"/>
          <w:noProof w:val="0"/>
          <w:color w:val="000000" w:themeColor="text1" w:themeTint="FF" w:themeShade="FF"/>
          <w:sz w:val="24"/>
          <w:szCs w:val="24"/>
          <w:lang w:val="en-US"/>
        </w:rPr>
        <w:t>Includes glassware and other recyclable materials requiring disinfection and recycling.</w:t>
      </w:r>
    </w:p>
    <w:p xmlns:wp14="http://schemas.microsoft.com/office/word/2010/wordml" w:rsidP="7DE063CE" wp14:paraId="0073190F" wp14:textId="72DBA673">
      <w:pPr>
        <w:pStyle w:val="Heading3"/>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Sharp Waste</w:t>
      </w:r>
    </w:p>
    <w:p xmlns:wp14="http://schemas.microsoft.com/office/word/2010/wordml" wp14:paraId="1F40A147" wp14:textId="467C5D82">
      <w:r w:rsidRPr="7DE063CE" w:rsidR="04070AC2">
        <w:rPr>
          <w:rFonts w:ascii="Aptos" w:hAnsi="Aptos" w:eastAsia="Aptos" w:cs="Aptos"/>
          <w:noProof w:val="0"/>
          <w:color w:val="000000" w:themeColor="text1" w:themeTint="FF" w:themeShade="FF"/>
          <w:sz w:val="24"/>
          <w:szCs w:val="24"/>
          <w:lang w:val="en-US"/>
        </w:rPr>
        <w:t>Includes needles, scalpels, and other sharps requiring secure collection and disposal through authorised treatment processes.</w:t>
      </w:r>
    </w:p>
    <w:p xmlns:wp14="http://schemas.microsoft.com/office/word/2010/wordml" wp14:paraId="78E73580" wp14:textId="7216C935"/>
    <w:p xmlns:wp14="http://schemas.microsoft.com/office/word/2010/wordml" w:rsidP="7DE063CE" wp14:paraId="1080A3D0" wp14:textId="1ABA4413">
      <w:pPr>
        <w:pStyle w:val="Heading1"/>
        <w:bidi w:val="0"/>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6. Recommendations</w:t>
      </w:r>
    </w:p>
    <w:p xmlns:wp14="http://schemas.microsoft.com/office/word/2010/wordml" w:rsidP="7DE063CE" wp14:paraId="0B145D67" wp14:textId="2B3015D7">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7DE063CE" w:rsidR="04070AC2">
        <w:rPr>
          <w:rFonts w:ascii="Aptos" w:hAnsi="Aptos" w:eastAsia="Aptos" w:cs="Aptos"/>
          <w:noProof w:val="0"/>
          <w:color w:val="000000" w:themeColor="text1" w:themeTint="FF" w:themeShade="FF"/>
          <w:sz w:val="24"/>
          <w:szCs w:val="24"/>
          <w:lang w:val="en-US"/>
        </w:rPr>
        <w:t>Continue regular biomedical waste management training programmes for clinical and housekeeping staff.</w:t>
      </w:r>
    </w:p>
    <w:p xmlns:wp14="http://schemas.microsoft.com/office/word/2010/wordml" w:rsidP="7DE063CE" wp14:paraId="20085F89" wp14:textId="492AF2EF">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7DE063CE" w:rsidR="04070AC2">
        <w:rPr>
          <w:rFonts w:ascii="Aptos" w:hAnsi="Aptos" w:eastAsia="Aptos" w:cs="Aptos"/>
          <w:noProof w:val="0"/>
          <w:color w:val="000000" w:themeColor="text1" w:themeTint="FF" w:themeShade="FF"/>
          <w:sz w:val="24"/>
          <w:szCs w:val="24"/>
          <w:lang w:val="en-US"/>
        </w:rPr>
        <w:t>Conduct periodic waste segregation audits to maintain compliance levels.</w:t>
      </w:r>
    </w:p>
    <w:p xmlns:wp14="http://schemas.microsoft.com/office/word/2010/wordml" w:rsidP="7DE063CE" wp14:paraId="4C49B7C8" wp14:textId="6DA44127">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7DE063CE" w:rsidR="04070AC2">
        <w:rPr>
          <w:rFonts w:ascii="Aptos" w:hAnsi="Aptos" w:eastAsia="Aptos" w:cs="Aptos"/>
          <w:noProof w:val="0"/>
          <w:color w:val="000000" w:themeColor="text1" w:themeTint="FF" w:themeShade="FF"/>
          <w:sz w:val="24"/>
          <w:szCs w:val="24"/>
          <w:lang w:val="en-US"/>
        </w:rPr>
        <w:t>Monitor departmental waste generation trends to identify opportunities for waste reduction.</w:t>
      </w:r>
    </w:p>
    <w:p xmlns:wp14="http://schemas.microsoft.com/office/word/2010/wordml" w:rsidP="7DE063CE" wp14:paraId="672BF49B" wp14:textId="31C42827">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7DE063CE" w:rsidR="04070AC2">
        <w:rPr>
          <w:rFonts w:ascii="Aptos" w:hAnsi="Aptos" w:eastAsia="Aptos" w:cs="Aptos"/>
          <w:noProof w:val="0"/>
          <w:color w:val="000000" w:themeColor="text1" w:themeTint="FF" w:themeShade="FF"/>
          <w:sz w:val="24"/>
          <w:szCs w:val="24"/>
          <w:lang w:val="en-US"/>
        </w:rPr>
        <w:t>Reinforce colour-coded segregation practices at the point of waste generation.</w:t>
      </w:r>
    </w:p>
    <w:p xmlns:wp14="http://schemas.microsoft.com/office/word/2010/wordml" w:rsidP="7DE063CE" wp14:paraId="3DEC0908" wp14:textId="4A32C41D">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734B3A7E" w:rsidR="605E80FB">
        <w:rPr>
          <w:rFonts w:ascii="Aptos" w:hAnsi="Aptos" w:eastAsia="Aptos" w:cs="Aptos"/>
          <w:noProof w:val="0"/>
          <w:color w:val="000000" w:themeColor="text1" w:themeTint="FF" w:themeShade="FF"/>
          <w:sz w:val="24"/>
          <w:szCs w:val="24"/>
          <w:lang w:val="en-US"/>
        </w:rPr>
        <w:t>Continue coordination with authorised Common Biomedical Waste Treatment Facilities (CBWTF) for timely disposal.</w:t>
      </w:r>
    </w:p>
    <w:p xmlns:wp14="http://schemas.microsoft.com/office/word/2010/wordml" w:rsidP="734B3A7E" wp14:paraId="6045F375" wp14:textId="04FB86E9">
      <w:pPr/>
    </w:p>
    <w:p xmlns:wp14="http://schemas.microsoft.com/office/word/2010/wordml" w:rsidP="734B3A7E" wp14:paraId="511B58E1" wp14:textId="16C7830E">
      <w:pPr>
        <w:pStyle w:val="Heading1"/>
        <w:keepNext w:val="1"/>
        <w:keepLines w:val="1"/>
        <w:spacing w:before="360" w:after="80"/>
        <w:rPr>
          <w:rFonts w:ascii="Aptos" w:hAnsi="Aptos" w:eastAsia="Aptos" w:cs="Aptos"/>
          <w:noProof w:val="0"/>
          <w:color w:val="000000" w:themeColor="text1" w:themeTint="FF" w:themeShade="FF"/>
          <w:sz w:val="24"/>
          <w:szCs w:val="24"/>
          <w:lang w:val="en-US"/>
        </w:rPr>
      </w:pPr>
      <w:r w:rsidRPr="734B3A7E" w:rsidR="1D30446B">
        <w:rPr>
          <w:rFonts w:ascii="Aptos" w:hAnsi="Aptos" w:eastAsia="Aptos" w:cs="Aptos"/>
          <w:b w:val="1"/>
          <w:bCs w:val="1"/>
          <w:noProof w:val="0"/>
          <w:color w:val="000000" w:themeColor="text1" w:themeTint="FF" w:themeShade="FF"/>
          <w:sz w:val="24"/>
          <w:szCs w:val="24"/>
          <w:lang w:val="en-US"/>
        </w:rPr>
        <w:t>7. Comparative Analysis</w:t>
      </w:r>
    </w:p>
    <w:tbl>
      <w:tblPr>
        <w:tblStyle w:val="TableNormal"/>
        <w:bidiVisual w:val="0"/>
        <w:tblW w:w="0" w:type="auto"/>
        <w:tblLook w:val="06A0" w:firstRow="1" w:lastRow="0" w:firstColumn="1" w:lastColumn="0" w:noHBand="1" w:noVBand="1"/>
      </w:tblPr>
      <w:tblGrid>
        <w:gridCol w:w="1545"/>
        <w:gridCol w:w="2775"/>
      </w:tblGrid>
      <w:tr w:rsidR="734B3A7E" w:rsidTr="734B3A7E" w14:paraId="3DF24255">
        <w:trPr>
          <w:trHeight w:val="300"/>
        </w:trPr>
        <w:tc>
          <w:tcPr>
            <w:tcW w:w="1545" w:type="dxa"/>
            <w:tcMar>
              <w:left w:w="105" w:type="dxa"/>
              <w:right w:w="105" w:type="dxa"/>
            </w:tcMar>
            <w:vAlign w:val="center"/>
          </w:tcPr>
          <w:p w:rsidR="734B3A7E" w:rsidP="734B3A7E" w:rsidRDefault="734B3A7E" w14:paraId="6D9FD898" w14:textId="764BD5B1">
            <w:pPr>
              <w:spacing w:before="0" w:beforeAutospacing="off" w:after="0" w:afterAutospacing="off"/>
              <w:jc w:val="center"/>
              <w:rPr>
                <w:rFonts w:ascii="Aptos" w:hAnsi="Aptos" w:eastAsia="Aptos" w:cs="Aptos"/>
                <w:color w:val="000000" w:themeColor="text1" w:themeTint="FF" w:themeShade="FF"/>
                <w:sz w:val="24"/>
                <w:szCs w:val="24"/>
                <w:lang w:val="en-US"/>
              </w:rPr>
            </w:pPr>
            <w:r w:rsidRPr="734B3A7E" w:rsidR="734B3A7E">
              <w:rPr>
                <w:rFonts w:ascii="Aptos" w:hAnsi="Aptos" w:eastAsia="Aptos" w:cs="Aptos"/>
                <w:b w:val="1"/>
                <w:bCs w:val="1"/>
                <w:color w:val="000000" w:themeColor="text1" w:themeTint="FF" w:themeShade="FF"/>
                <w:sz w:val="24"/>
                <w:szCs w:val="24"/>
                <w:lang w:val="en-US"/>
              </w:rPr>
              <w:t>Month</w:t>
            </w:r>
          </w:p>
        </w:tc>
        <w:tc>
          <w:tcPr>
            <w:tcW w:w="2775" w:type="dxa"/>
            <w:tcMar>
              <w:left w:w="105" w:type="dxa"/>
              <w:right w:w="105" w:type="dxa"/>
            </w:tcMar>
            <w:vAlign w:val="center"/>
          </w:tcPr>
          <w:p w:rsidR="734B3A7E" w:rsidP="734B3A7E" w:rsidRDefault="734B3A7E" w14:paraId="4B261764" w14:textId="5BD59717">
            <w:pPr>
              <w:spacing w:before="0" w:beforeAutospacing="off" w:after="0" w:afterAutospacing="off"/>
              <w:jc w:val="center"/>
              <w:rPr>
                <w:rFonts w:ascii="Aptos" w:hAnsi="Aptos" w:eastAsia="Aptos" w:cs="Aptos"/>
                <w:color w:val="000000" w:themeColor="text1" w:themeTint="FF" w:themeShade="FF"/>
                <w:sz w:val="24"/>
                <w:szCs w:val="24"/>
                <w:lang w:val="en-US"/>
              </w:rPr>
            </w:pPr>
            <w:r w:rsidRPr="734B3A7E" w:rsidR="734B3A7E">
              <w:rPr>
                <w:rFonts w:ascii="Aptos" w:hAnsi="Aptos" w:eastAsia="Aptos" w:cs="Aptos"/>
                <w:b w:val="1"/>
                <w:bCs w:val="1"/>
                <w:color w:val="000000" w:themeColor="text1" w:themeTint="FF" w:themeShade="FF"/>
                <w:sz w:val="24"/>
                <w:szCs w:val="24"/>
                <w:lang w:val="en-US"/>
              </w:rPr>
              <w:t>Total Biomedical Waste (Kg)</w:t>
            </w:r>
          </w:p>
        </w:tc>
      </w:tr>
      <w:tr w:rsidR="734B3A7E" w:rsidTr="734B3A7E" w14:paraId="20AE2FDF">
        <w:trPr>
          <w:trHeight w:val="915"/>
        </w:trPr>
        <w:tc>
          <w:tcPr>
            <w:tcW w:w="1545" w:type="dxa"/>
            <w:tcMar>
              <w:left w:w="105" w:type="dxa"/>
              <w:right w:w="105" w:type="dxa"/>
            </w:tcMar>
            <w:vAlign w:val="center"/>
          </w:tcPr>
          <w:p w:rsidR="734B3A7E" w:rsidP="734B3A7E" w:rsidRDefault="734B3A7E" w14:paraId="7DD3A12C" w14:textId="48F8B88F">
            <w:pPr>
              <w:spacing w:before="0" w:beforeAutospacing="off" w:after="0" w:afterAutospacing="off"/>
              <w:rPr>
                <w:rFonts w:ascii="Aptos" w:hAnsi="Aptos" w:eastAsia="Aptos" w:cs="Aptos"/>
                <w:color w:val="000000" w:themeColor="text1" w:themeTint="FF" w:themeShade="FF"/>
                <w:sz w:val="24"/>
                <w:szCs w:val="24"/>
                <w:lang w:val="en-US"/>
              </w:rPr>
            </w:pPr>
            <w:r w:rsidRPr="734B3A7E" w:rsidR="734B3A7E">
              <w:rPr>
                <w:rFonts w:ascii="Aptos" w:hAnsi="Aptos" w:eastAsia="Aptos" w:cs="Aptos"/>
                <w:color w:val="000000" w:themeColor="text1" w:themeTint="FF" w:themeShade="FF"/>
                <w:sz w:val="24"/>
                <w:szCs w:val="24"/>
                <w:lang w:val="en-US"/>
              </w:rPr>
              <w:t>March 2026</w:t>
            </w:r>
          </w:p>
        </w:tc>
        <w:tc>
          <w:tcPr>
            <w:tcW w:w="2775" w:type="dxa"/>
            <w:tcMar>
              <w:left w:w="105" w:type="dxa"/>
              <w:right w:w="105" w:type="dxa"/>
            </w:tcMar>
            <w:vAlign w:val="center"/>
          </w:tcPr>
          <w:p w:rsidR="734B3A7E" w:rsidP="734B3A7E" w:rsidRDefault="734B3A7E" w14:paraId="3B5D5076" w14:textId="26622365">
            <w:pPr>
              <w:spacing w:before="0" w:beforeAutospacing="off" w:after="0" w:afterAutospacing="off"/>
              <w:rPr>
                <w:rFonts w:ascii="Aptos" w:hAnsi="Aptos" w:eastAsia="Aptos" w:cs="Aptos"/>
                <w:color w:val="000000" w:themeColor="text1" w:themeTint="FF" w:themeShade="FF"/>
                <w:sz w:val="24"/>
                <w:szCs w:val="24"/>
                <w:lang w:val="en-US"/>
              </w:rPr>
            </w:pPr>
            <w:r w:rsidRPr="734B3A7E" w:rsidR="734B3A7E">
              <w:rPr>
                <w:rFonts w:ascii="Aptos" w:hAnsi="Aptos" w:eastAsia="Aptos" w:cs="Aptos"/>
                <w:color w:val="000000" w:themeColor="text1" w:themeTint="FF" w:themeShade="FF"/>
                <w:sz w:val="24"/>
                <w:szCs w:val="24"/>
                <w:lang w:val="en-US"/>
              </w:rPr>
              <w:t>947.19</w:t>
            </w:r>
          </w:p>
        </w:tc>
      </w:tr>
      <w:tr w:rsidR="734B3A7E" w:rsidTr="734B3A7E" w14:paraId="350DADC1">
        <w:trPr>
          <w:trHeight w:val="1095"/>
        </w:trPr>
        <w:tc>
          <w:tcPr>
            <w:tcW w:w="1545" w:type="dxa"/>
            <w:tcMar>
              <w:left w:w="105" w:type="dxa"/>
              <w:right w:w="105" w:type="dxa"/>
            </w:tcMar>
            <w:vAlign w:val="center"/>
          </w:tcPr>
          <w:p w:rsidR="734B3A7E" w:rsidP="734B3A7E" w:rsidRDefault="734B3A7E" w14:paraId="7B2381CF" w14:textId="36A301FB">
            <w:pPr>
              <w:spacing w:before="0" w:beforeAutospacing="off" w:after="0" w:afterAutospacing="off"/>
              <w:rPr>
                <w:rFonts w:ascii="Aptos" w:hAnsi="Aptos" w:eastAsia="Aptos" w:cs="Aptos"/>
                <w:color w:val="000000" w:themeColor="text1" w:themeTint="FF" w:themeShade="FF"/>
                <w:sz w:val="24"/>
                <w:szCs w:val="24"/>
                <w:lang w:val="en-US"/>
              </w:rPr>
            </w:pPr>
            <w:r w:rsidRPr="734B3A7E" w:rsidR="734B3A7E">
              <w:rPr>
                <w:rFonts w:ascii="Aptos" w:hAnsi="Aptos" w:eastAsia="Aptos" w:cs="Aptos"/>
                <w:color w:val="000000" w:themeColor="text1" w:themeTint="FF" w:themeShade="FF"/>
                <w:sz w:val="24"/>
                <w:szCs w:val="24"/>
                <w:lang w:val="en-US"/>
              </w:rPr>
              <w:t>April 2026</w:t>
            </w:r>
          </w:p>
        </w:tc>
        <w:tc>
          <w:tcPr>
            <w:tcW w:w="2775" w:type="dxa"/>
            <w:tcMar>
              <w:left w:w="105" w:type="dxa"/>
              <w:right w:w="105" w:type="dxa"/>
            </w:tcMar>
            <w:vAlign w:val="center"/>
          </w:tcPr>
          <w:p w:rsidR="734B3A7E" w:rsidP="734B3A7E" w:rsidRDefault="734B3A7E" w14:paraId="5C9CB9D7" w14:textId="228B5E50">
            <w:pPr>
              <w:spacing w:before="0" w:beforeAutospacing="off" w:after="0" w:afterAutospacing="off"/>
              <w:rPr>
                <w:rFonts w:ascii="Aptos" w:hAnsi="Aptos" w:eastAsia="Aptos" w:cs="Aptos"/>
                <w:color w:val="000000" w:themeColor="text1" w:themeTint="FF" w:themeShade="FF"/>
                <w:sz w:val="24"/>
                <w:szCs w:val="24"/>
                <w:lang w:val="en-US"/>
              </w:rPr>
            </w:pPr>
            <w:r w:rsidRPr="734B3A7E" w:rsidR="734B3A7E">
              <w:rPr>
                <w:rFonts w:ascii="Aptos" w:hAnsi="Aptos" w:eastAsia="Aptos" w:cs="Aptos"/>
                <w:color w:val="000000" w:themeColor="text1" w:themeTint="FF" w:themeShade="FF"/>
                <w:sz w:val="24"/>
                <w:szCs w:val="24"/>
                <w:lang w:val="en-US"/>
              </w:rPr>
              <w:t>762.17</w:t>
            </w:r>
          </w:p>
        </w:tc>
      </w:tr>
      <w:tr w:rsidR="734B3A7E" w:rsidTr="734B3A7E" w14:paraId="423898D4">
        <w:trPr>
          <w:trHeight w:val="300"/>
        </w:trPr>
        <w:tc>
          <w:tcPr>
            <w:tcW w:w="1545" w:type="dxa"/>
            <w:tcMar>
              <w:left w:w="105" w:type="dxa"/>
              <w:right w:w="105" w:type="dxa"/>
            </w:tcMar>
            <w:vAlign w:val="center"/>
          </w:tcPr>
          <w:p w:rsidR="734B3A7E" w:rsidP="734B3A7E" w:rsidRDefault="734B3A7E" w14:paraId="42E3D9FA" w14:textId="7B6CE90D">
            <w:pPr>
              <w:spacing w:before="0" w:beforeAutospacing="off" w:after="0" w:afterAutospacing="off"/>
              <w:rPr>
                <w:rFonts w:ascii="Aptos" w:hAnsi="Aptos" w:eastAsia="Aptos" w:cs="Aptos"/>
                <w:color w:val="000000" w:themeColor="text1" w:themeTint="FF" w:themeShade="FF"/>
                <w:sz w:val="24"/>
                <w:szCs w:val="24"/>
                <w:lang w:val="en-US"/>
              </w:rPr>
            </w:pPr>
            <w:r w:rsidRPr="734B3A7E" w:rsidR="734B3A7E">
              <w:rPr>
                <w:rFonts w:ascii="Aptos" w:hAnsi="Aptos" w:eastAsia="Aptos" w:cs="Aptos"/>
                <w:color w:val="000000" w:themeColor="text1" w:themeTint="FF" w:themeShade="FF"/>
                <w:sz w:val="24"/>
                <w:szCs w:val="24"/>
                <w:lang w:val="en-US"/>
              </w:rPr>
              <w:t>May 2026</w:t>
            </w:r>
          </w:p>
        </w:tc>
        <w:tc>
          <w:tcPr>
            <w:tcW w:w="2775" w:type="dxa"/>
            <w:tcMar>
              <w:left w:w="105" w:type="dxa"/>
              <w:right w:w="105" w:type="dxa"/>
            </w:tcMar>
            <w:vAlign w:val="center"/>
          </w:tcPr>
          <w:p w:rsidR="734B3A7E" w:rsidP="734B3A7E" w:rsidRDefault="734B3A7E" w14:paraId="6E029C84" w14:textId="1BD82166">
            <w:pPr>
              <w:spacing w:before="0" w:beforeAutospacing="off" w:after="0" w:afterAutospacing="off"/>
              <w:rPr>
                <w:rFonts w:ascii="Aptos" w:hAnsi="Aptos" w:eastAsia="Aptos" w:cs="Aptos"/>
                <w:color w:val="000000" w:themeColor="text1" w:themeTint="FF" w:themeShade="FF"/>
                <w:sz w:val="24"/>
                <w:szCs w:val="24"/>
                <w:lang w:val="en-US"/>
              </w:rPr>
            </w:pPr>
            <w:r w:rsidRPr="734B3A7E" w:rsidR="734B3A7E">
              <w:rPr>
                <w:rFonts w:ascii="Aptos" w:hAnsi="Aptos" w:eastAsia="Aptos" w:cs="Aptos"/>
                <w:color w:val="000000" w:themeColor="text1" w:themeTint="FF" w:themeShade="FF"/>
                <w:sz w:val="24"/>
                <w:szCs w:val="24"/>
                <w:lang w:val="en-US"/>
              </w:rPr>
              <w:t>747.74</w:t>
            </w:r>
          </w:p>
        </w:tc>
      </w:tr>
    </w:tbl>
    <w:p xmlns:wp14="http://schemas.microsoft.com/office/word/2010/wordml" w:rsidP="734B3A7E" wp14:paraId="4294B93E" wp14:textId="3A4C2347">
      <w:pPr>
        <w:pStyle w:val="Heading3"/>
      </w:pPr>
    </w:p>
    <w:p xmlns:wp14="http://schemas.microsoft.com/office/word/2010/wordml" w:rsidP="7DE063CE" wp14:paraId="44EF63DC" wp14:textId="331AE694">
      <w:pPr>
        <w:pStyle w:val="Heading3"/>
        <w:bidi w:val="0"/>
        <w:rPr>
          <w:rFonts w:ascii="Aptos" w:hAnsi="Aptos" w:eastAsia="Aptos" w:cs="Aptos"/>
          <w:b w:val="1"/>
          <w:bCs w:val="1"/>
          <w:noProof w:val="0"/>
          <w:color w:val="000000" w:themeColor="text1" w:themeTint="FF" w:themeShade="FF"/>
          <w:sz w:val="28"/>
          <w:szCs w:val="28"/>
          <w:lang w:val="en-US"/>
        </w:rPr>
      </w:pPr>
      <w:r w:rsidRPr="734B3A7E" w:rsidR="605E80FB">
        <w:rPr>
          <w:rFonts w:ascii="Aptos" w:hAnsi="Aptos" w:eastAsia="Aptos" w:cs="Aptos"/>
          <w:b w:val="1"/>
          <w:bCs w:val="1"/>
          <w:noProof w:val="0"/>
          <w:color w:val="000000" w:themeColor="text1" w:themeTint="FF" w:themeShade="FF"/>
          <w:sz w:val="28"/>
          <w:szCs w:val="28"/>
          <w:lang w:val="en-US"/>
        </w:rPr>
        <w:t>Observation</w:t>
      </w:r>
    </w:p>
    <w:p w:rsidR="2EA6F9E7" w:rsidRDefault="2EA6F9E7" w14:paraId="2650FA2C" w14:textId="1E3C6BE0">
      <w:r w:rsidRPr="734B3A7E" w:rsidR="2EA6F9E7">
        <w:rPr>
          <w:rFonts w:ascii="Aptos" w:hAnsi="Aptos" w:eastAsia="Aptos" w:cs="Aptos"/>
          <w:noProof w:val="0"/>
          <w:color w:val="000000" w:themeColor="text1" w:themeTint="FF" w:themeShade="FF"/>
          <w:sz w:val="24"/>
          <w:szCs w:val="24"/>
          <w:lang w:val="en-US"/>
        </w:rPr>
        <w:t>Biomedical waste generation continued to decline during May 2026, reducing from 762.17 Kg in April 2026 to 747.74 Kg in May 2026, representing a further reduction of approximately 1.9%.</w:t>
      </w:r>
    </w:p>
    <w:p w:rsidR="2EA6F9E7" w:rsidRDefault="2EA6F9E7" w14:paraId="08CAFEBE" w14:textId="2574E9A4">
      <w:r w:rsidRPr="734B3A7E" w:rsidR="2EA6F9E7">
        <w:rPr>
          <w:rFonts w:ascii="Aptos" w:hAnsi="Aptos" w:eastAsia="Aptos" w:cs="Aptos"/>
          <w:noProof w:val="0"/>
          <w:color w:val="000000" w:themeColor="text1" w:themeTint="FF" w:themeShade="FF"/>
          <w:sz w:val="24"/>
          <w:szCs w:val="24"/>
          <w:lang w:val="en-US"/>
        </w:rPr>
        <w:t>Compared with March 2026, biomedical waste generation in May 2026 was lower by approximately 199.45 Kg, reflecting an overall reduction of nearly 21.1%.</w:t>
      </w:r>
    </w:p>
    <w:p w:rsidR="2EA6F9E7" w:rsidRDefault="2EA6F9E7" w14:paraId="5DD761BC" w14:textId="78D7E38E">
      <w:r w:rsidRPr="734B3A7E" w:rsidR="2EA6F9E7">
        <w:rPr>
          <w:rFonts w:ascii="Aptos" w:hAnsi="Aptos" w:eastAsia="Aptos" w:cs="Aptos"/>
          <w:noProof w:val="0"/>
          <w:color w:val="000000" w:themeColor="text1" w:themeTint="FF" w:themeShade="FF"/>
          <w:sz w:val="24"/>
          <w:szCs w:val="24"/>
          <w:lang w:val="en-US"/>
        </w:rPr>
        <w:t>The relatively stable waste generation observed in April and May suggests consistent patient volumes and operational activity during the period.</w:t>
      </w:r>
    </w:p>
    <w:p w:rsidR="734B3A7E" w:rsidP="734B3A7E" w:rsidRDefault="734B3A7E" w14:paraId="3D9E8DDB" w14:textId="1E3FA89A">
      <w:pPr>
        <w:rPr>
          <w:rFonts w:ascii="Aptos" w:hAnsi="Aptos" w:eastAsia="Aptos" w:cs="Aptos"/>
          <w:noProof w:val="0"/>
          <w:color w:val="000000" w:themeColor="text1" w:themeTint="FF" w:themeShade="FF"/>
          <w:sz w:val="24"/>
          <w:szCs w:val="24"/>
          <w:lang w:val="en-US"/>
        </w:rPr>
      </w:pPr>
    </w:p>
    <w:p xmlns:wp14="http://schemas.microsoft.com/office/word/2010/wordml" wp14:paraId="42BDC25D" wp14:textId="31B04B08"/>
    <w:p xmlns:wp14="http://schemas.microsoft.com/office/word/2010/wordml" w:rsidP="7DE063CE" wp14:paraId="380CE20A" wp14:textId="57645A9E">
      <w:pPr>
        <w:pStyle w:val="Heading1"/>
        <w:bidi w:val="0"/>
        <w:rPr>
          <w:rFonts w:ascii="Aptos" w:hAnsi="Aptos" w:eastAsia="Aptos" w:cs="Aptos"/>
          <w:b w:val="1"/>
          <w:bCs w:val="1"/>
          <w:noProof w:val="0"/>
          <w:color w:val="000000" w:themeColor="text1" w:themeTint="FF" w:themeShade="FF"/>
          <w:sz w:val="28"/>
          <w:szCs w:val="28"/>
          <w:lang w:val="en-US"/>
        </w:rPr>
      </w:pPr>
      <w:r w:rsidRPr="7DE063CE" w:rsidR="04070AC2">
        <w:rPr>
          <w:rFonts w:ascii="Aptos" w:hAnsi="Aptos" w:eastAsia="Aptos" w:cs="Aptos"/>
          <w:b w:val="1"/>
          <w:bCs w:val="1"/>
          <w:noProof w:val="0"/>
          <w:color w:val="000000" w:themeColor="text1" w:themeTint="FF" w:themeShade="FF"/>
          <w:sz w:val="28"/>
          <w:szCs w:val="28"/>
          <w:lang w:val="en-US"/>
        </w:rPr>
        <w:t>8. Conclusion</w:t>
      </w:r>
    </w:p>
    <w:p xmlns:wp14="http://schemas.microsoft.com/office/word/2010/wordml" wp14:paraId="3A2C809B" wp14:textId="03CBECF2">
      <w:r w:rsidRPr="7DE063CE" w:rsidR="04070AC2">
        <w:rPr>
          <w:rFonts w:ascii="Aptos" w:hAnsi="Aptos" w:eastAsia="Aptos" w:cs="Aptos"/>
          <w:noProof w:val="0"/>
          <w:color w:val="000000" w:themeColor="text1" w:themeTint="FF" w:themeShade="FF"/>
          <w:sz w:val="24"/>
          <w:szCs w:val="24"/>
          <w:lang w:val="en-US"/>
        </w:rPr>
        <w:t>During May 2026, MRR Children's Hospital generated a total of 747.74 Kg of biomedical waste across 613 waste bags and containers. The distribution pattern across Yellow, Red, Blue, and Sharp Waste categories indicates continued adherence to biomedical waste segregation protocols and regulatory requirements.</w:t>
      </w:r>
    </w:p>
    <w:p xmlns:wp14="http://schemas.microsoft.com/office/word/2010/wordml" wp14:paraId="16191ED4" wp14:textId="6AADE5CC">
      <w:r w:rsidRPr="7DE063CE" w:rsidR="04070AC2">
        <w:rPr>
          <w:rFonts w:ascii="Aptos" w:hAnsi="Aptos" w:eastAsia="Aptos" w:cs="Aptos"/>
          <w:noProof w:val="0"/>
          <w:color w:val="000000" w:themeColor="text1" w:themeTint="FF" w:themeShade="FF"/>
          <w:sz w:val="24"/>
          <w:szCs w:val="24"/>
          <w:lang w:val="en-US"/>
        </w:rPr>
        <w:t>Ongoing monitoring, staff awareness, and compliance audits remain essential to sustaining effective biomedical waste management practices and supporting a safe healthcare environment.</w:t>
      </w:r>
    </w:p>
    <w:p xmlns:wp14="http://schemas.microsoft.com/office/word/2010/wordml" wp14:paraId="4B009906" wp14:textId="66BE5AC8"/>
    <w:p xmlns:wp14="http://schemas.microsoft.com/office/word/2010/wordml" wp14:paraId="55E2D0B9" wp14:textId="73814E2F">
      <w:r w:rsidRPr="7DE063CE" w:rsidR="04070AC2">
        <w:rPr>
          <w:rFonts w:ascii="Aptos" w:hAnsi="Aptos" w:eastAsia="Aptos" w:cs="Aptos"/>
          <w:b w:val="1"/>
          <w:bCs w:val="1"/>
          <w:noProof w:val="0"/>
          <w:color w:val="000000" w:themeColor="text1" w:themeTint="FF" w:themeShade="FF"/>
          <w:sz w:val="24"/>
          <w:szCs w:val="24"/>
          <w:lang w:val="en-US"/>
        </w:rPr>
        <w:t>Prepared By:</w:t>
      </w:r>
      <w:r>
        <w:br/>
      </w:r>
      <w:r w:rsidRPr="7DE063CE" w:rsidR="04070AC2">
        <w:rPr>
          <w:rFonts w:ascii="Aptos" w:hAnsi="Aptos" w:eastAsia="Aptos" w:cs="Aptos"/>
          <w:noProof w:val="0"/>
          <w:color w:val="000000" w:themeColor="text1" w:themeTint="FF" w:themeShade="FF"/>
          <w:sz w:val="24"/>
          <w:szCs w:val="24"/>
          <w:lang w:val="en-US"/>
        </w:rPr>
        <w:t>Infection Control Committee / Quality Department</w:t>
      </w:r>
    </w:p>
    <w:p xmlns:wp14="http://schemas.microsoft.com/office/word/2010/wordml" w:rsidP="7DE063CE" wp14:paraId="77E8ADD1" wp14:textId="24B43C48">
      <w:pPr>
        <w:bidi w:val="0"/>
        <w:rPr>
          <w:rFonts w:ascii="Aptos" w:hAnsi="Aptos" w:eastAsia="Aptos" w:cs="Aptos"/>
          <w:b w:val="1"/>
          <w:bCs w:val="1"/>
          <w:noProof w:val="0"/>
          <w:color w:val="000000" w:themeColor="text1" w:themeTint="FF" w:themeShade="FF"/>
          <w:sz w:val="24"/>
          <w:szCs w:val="24"/>
          <w:lang w:val="en-US"/>
        </w:rPr>
      </w:pPr>
      <w:r w:rsidRPr="7DE063CE" w:rsidR="04070AC2">
        <w:rPr>
          <w:rFonts w:ascii="Aptos" w:hAnsi="Aptos" w:eastAsia="Aptos" w:cs="Aptos"/>
          <w:b w:val="1"/>
          <w:bCs w:val="1"/>
          <w:noProof w:val="0"/>
          <w:color w:val="000000" w:themeColor="text1" w:themeTint="FF" w:themeShade="FF"/>
          <w:sz w:val="24"/>
          <w:szCs w:val="24"/>
          <w:lang w:val="en-US"/>
        </w:rPr>
        <w:t>MRR Children's Hospital</w:t>
      </w:r>
    </w:p>
    <w:p xmlns:wp14="http://schemas.microsoft.com/office/word/2010/wordml" wp14:paraId="4821E6D8" wp14:textId="55A5480A">
      <w:r w:rsidRPr="7DE063CE" w:rsidR="04070AC2">
        <w:rPr>
          <w:rFonts w:ascii="Aptos" w:hAnsi="Aptos" w:eastAsia="Aptos" w:cs="Aptos"/>
          <w:b w:val="1"/>
          <w:bCs w:val="1"/>
          <w:noProof w:val="0"/>
          <w:color w:val="000000" w:themeColor="text1" w:themeTint="FF" w:themeShade="FF"/>
          <w:sz w:val="24"/>
          <w:szCs w:val="24"/>
          <w:lang w:val="en-US"/>
        </w:rPr>
        <w:t>Reporting Month:</w:t>
      </w:r>
      <w:r>
        <w:br/>
      </w:r>
      <w:r w:rsidRPr="7DE063CE" w:rsidR="04070AC2">
        <w:rPr>
          <w:rFonts w:ascii="Aptos" w:hAnsi="Aptos" w:eastAsia="Aptos" w:cs="Aptos"/>
          <w:noProof w:val="0"/>
          <w:color w:val="000000" w:themeColor="text1" w:themeTint="FF" w:themeShade="FF"/>
          <w:sz w:val="24"/>
          <w:szCs w:val="24"/>
          <w:lang w:val="en-US"/>
        </w:rPr>
        <w:t>May 2026</w:t>
      </w:r>
    </w:p>
    <w:p xmlns:wp14="http://schemas.microsoft.com/office/word/2010/wordml" wp14:paraId="2C078E63" wp14:textId="7FEA9E0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427a9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437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f013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DFE89F"/>
    <w:rsid w:val="03AEA6AA"/>
    <w:rsid w:val="04070AC2"/>
    <w:rsid w:val="04DFE89F"/>
    <w:rsid w:val="1A62F365"/>
    <w:rsid w:val="1D30446B"/>
    <w:rsid w:val="2EA6F9E7"/>
    <w:rsid w:val="345489F1"/>
    <w:rsid w:val="4D0CF91B"/>
    <w:rsid w:val="591BD017"/>
    <w:rsid w:val="605E80FB"/>
    <w:rsid w:val="64C63BF6"/>
    <w:rsid w:val="64C63BF6"/>
    <w:rsid w:val="660925B9"/>
    <w:rsid w:val="6C31FAC9"/>
    <w:rsid w:val="734B3A7E"/>
    <w:rsid w:val="7DE0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AE37"/>
  <w15:chartTrackingRefBased/>
  <w15:docId w15:val="{3030058D-FFB9-4843-9DA6-13BF03BB9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DE063C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DE063C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DE063C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DE063C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83228d1da364ea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2026-06-08T08:25:50.6944873Z</dcterms:created>
  <dcterms:modified xsi:type="dcterms:W3CDTF">2026-06-08T14:34:04.6052788Z</dcterms:modified>
  <dc:creator>Gaurav Adkar</dc:creator>
  <lastModifiedBy>Gaurav Adkar</lastModifiedBy>
</coreProperties>
</file>