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38510A9" wp14:paraId="73533AE5" wp14:textId="3BDBC2CD">
      <w:pPr>
        <w:pStyle w:val="Heading1"/>
        <w:rPr>
          <w:rFonts w:ascii="Aptos" w:hAnsi="Aptos" w:eastAsia="Aptos" w:cs="Aptos"/>
          <w:b w:val="1"/>
          <w:bCs w:val="1"/>
          <w:noProof w:val="0"/>
          <w:color w:val="000000" w:themeColor="text1" w:themeTint="FF" w:themeShade="FF"/>
          <w:sz w:val="32"/>
          <w:szCs w:val="32"/>
          <w:lang w:val="en-US"/>
        </w:rPr>
      </w:pPr>
      <w:r w:rsidRPr="438510A9" w:rsidR="0CAB2BFF">
        <w:rPr>
          <w:rFonts w:ascii="Aptos" w:hAnsi="Aptos" w:eastAsia="Aptos" w:cs="Aptos"/>
          <w:b w:val="1"/>
          <w:bCs w:val="1"/>
          <w:noProof w:val="0"/>
          <w:color w:val="000000" w:themeColor="text1" w:themeTint="FF" w:themeShade="FF"/>
          <w:sz w:val="32"/>
          <w:szCs w:val="32"/>
          <w:lang w:val="en-US"/>
        </w:rPr>
        <w:t>Biomedical Waste Generation Report</w:t>
      </w:r>
    </w:p>
    <w:p xmlns:wp14="http://schemas.microsoft.com/office/word/2010/wordml" w:rsidP="438510A9" wp14:paraId="1880C54F" wp14:textId="6056C5CD">
      <w:pPr>
        <w:pStyle w:val="Heading2"/>
        <w:rPr>
          <w:rFonts w:ascii="Aptos" w:hAnsi="Aptos" w:eastAsia="Aptos" w:cs="Aptos"/>
          <w:b w:val="1"/>
          <w:bCs w:val="1"/>
          <w:noProof w:val="0"/>
          <w:color w:val="000000" w:themeColor="text1" w:themeTint="FF" w:themeShade="FF"/>
          <w:sz w:val="28"/>
          <w:szCs w:val="28"/>
          <w:lang w:val="en-US"/>
        </w:rPr>
      </w:pPr>
      <w:r w:rsidRPr="438510A9" w:rsidR="0CAB2BFF">
        <w:rPr>
          <w:rFonts w:ascii="Aptos" w:hAnsi="Aptos" w:eastAsia="Aptos" w:cs="Aptos"/>
          <w:b w:val="1"/>
          <w:bCs w:val="1"/>
          <w:noProof w:val="0"/>
          <w:color w:val="000000" w:themeColor="text1" w:themeTint="FF" w:themeShade="FF"/>
          <w:sz w:val="28"/>
          <w:szCs w:val="28"/>
          <w:lang w:val="en-US"/>
        </w:rPr>
        <w:t>MRR Children's Hospital</w:t>
      </w:r>
    </w:p>
    <w:p xmlns:wp14="http://schemas.microsoft.com/office/word/2010/wordml" w:rsidP="438510A9" wp14:paraId="2D30102D" wp14:textId="01F6336A">
      <w:pPr>
        <w:pStyle w:val="Heading3"/>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Reporting Period: March 2026</w:t>
      </w:r>
    </w:p>
    <w:p xmlns:wp14="http://schemas.microsoft.com/office/word/2010/wordml" wp14:paraId="57BC4EC4" wp14:textId="4B6D940F"/>
    <w:p xmlns:wp14="http://schemas.microsoft.com/office/word/2010/wordml" w:rsidP="438510A9" wp14:paraId="3191D22F" wp14:textId="581B6965">
      <w:pPr>
        <w:pStyle w:val="Heading1"/>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1. Executive Summary</w:t>
      </w:r>
    </w:p>
    <w:p xmlns:wp14="http://schemas.microsoft.com/office/word/2010/wordml" wp14:paraId="2C6C9E9D" wp14:textId="38FBD11E">
      <w:r w:rsidRPr="438510A9" w:rsidR="0CAB2BFF">
        <w:rPr>
          <w:rFonts w:ascii="Aptos" w:hAnsi="Aptos" w:eastAsia="Aptos" w:cs="Aptos"/>
          <w:noProof w:val="0"/>
          <w:color w:val="000000" w:themeColor="text1" w:themeTint="FF" w:themeShade="FF"/>
          <w:sz w:val="24"/>
          <w:szCs w:val="24"/>
          <w:lang w:val="en-US"/>
        </w:rPr>
        <w:t>This report presents the biomedical waste generation data for MRR Children's Hospital for the month of March 2026. The report has been prepared to monitor waste segregation efficiency, ensure compliance with the Bio-Medical Waste Management Rules, 2016 (and subsequent amendments), and support environmental and infection control practices within the hospital.</w:t>
      </w:r>
    </w:p>
    <w:p xmlns:wp14="http://schemas.microsoft.com/office/word/2010/wordml" wp14:paraId="633A82DE" wp14:textId="128A453B">
      <w:r w:rsidRPr="438510A9" w:rsidR="0CAB2BFF">
        <w:rPr>
          <w:rFonts w:ascii="Aptos" w:hAnsi="Aptos" w:eastAsia="Aptos" w:cs="Aptos"/>
          <w:noProof w:val="0"/>
          <w:color w:val="000000" w:themeColor="text1" w:themeTint="FF" w:themeShade="FF"/>
          <w:sz w:val="24"/>
          <w:szCs w:val="24"/>
          <w:lang w:val="en-US"/>
        </w:rPr>
        <w:t>The hospital continued to maintain segregation of biomedical waste into designated categories including Yellow, Red, Blue, and Sharp Waste streams.</w:t>
      </w:r>
    </w:p>
    <w:p xmlns:wp14="http://schemas.microsoft.com/office/word/2010/wordml" wp14:paraId="2B07BB26" wp14:textId="38A4B90B"/>
    <w:p xmlns:wp14="http://schemas.microsoft.com/office/word/2010/wordml" w:rsidP="438510A9" wp14:paraId="00E504AA" wp14:textId="4CAB5B2A">
      <w:pPr>
        <w:pStyle w:val="Heading1"/>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2. Monthly Biomedical Waste Summary</w:t>
      </w:r>
    </w:p>
    <w:tbl>
      <w:tblPr>
        <w:tblStyle w:val="TableNormal"/>
        <w:bidiVisual w:val="0"/>
        <w:tblW w:w="0" w:type="auto"/>
        <w:tblLook w:val="06A0" w:firstRow="1" w:lastRow="0" w:firstColumn="1" w:lastColumn="0" w:noHBand="1" w:noVBand="1"/>
      </w:tblPr>
      <w:tblGrid>
        <w:gridCol w:w="4050"/>
        <w:gridCol w:w="2190"/>
        <w:gridCol w:w="3243"/>
      </w:tblGrid>
      <w:tr w:rsidR="438510A9" w:rsidTr="438510A9" w14:paraId="48B64F5B">
        <w:trPr>
          <w:trHeight w:val="300"/>
        </w:trPr>
        <w:tc>
          <w:tcPr>
            <w:tcW w:w="4050" w:type="dxa"/>
            <w:tcMar/>
            <w:vAlign w:val="center"/>
          </w:tcPr>
          <w:p w:rsidR="438510A9" w:rsidP="438510A9" w:rsidRDefault="438510A9" w14:paraId="5ABF004F" w14:textId="6DB71389">
            <w:pPr>
              <w:spacing w:before="0" w:beforeAutospacing="off" w:after="0" w:afterAutospacing="off"/>
              <w:jc w:val="center"/>
            </w:pPr>
            <w:r w:rsidRPr="438510A9" w:rsidR="438510A9">
              <w:rPr>
                <w:b w:val="1"/>
                <w:bCs w:val="1"/>
                <w:color w:val="000000" w:themeColor="text1" w:themeTint="FF" w:themeShade="FF"/>
              </w:rPr>
              <w:t>Waste Category</w:t>
            </w:r>
          </w:p>
        </w:tc>
        <w:tc>
          <w:tcPr>
            <w:tcW w:w="2190" w:type="dxa"/>
            <w:tcMar/>
            <w:vAlign w:val="center"/>
          </w:tcPr>
          <w:p w:rsidR="438510A9" w:rsidP="438510A9" w:rsidRDefault="438510A9" w14:paraId="742B0AD8" w14:textId="5203106D">
            <w:pPr>
              <w:spacing w:before="0" w:beforeAutospacing="off" w:after="0" w:afterAutospacing="off"/>
              <w:jc w:val="center"/>
            </w:pPr>
            <w:r w:rsidRPr="438510A9" w:rsidR="438510A9">
              <w:rPr>
                <w:b w:val="1"/>
                <w:bCs w:val="1"/>
                <w:color w:val="000000" w:themeColor="text1" w:themeTint="FF" w:themeShade="FF"/>
              </w:rPr>
              <w:t>Quantity (Units)</w:t>
            </w:r>
          </w:p>
        </w:tc>
        <w:tc>
          <w:tcPr>
            <w:tcW w:w="3243" w:type="dxa"/>
            <w:tcMar/>
            <w:vAlign w:val="center"/>
          </w:tcPr>
          <w:p w:rsidR="438510A9" w:rsidP="438510A9" w:rsidRDefault="438510A9" w14:paraId="1544E368" w14:textId="7754349B">
            <w:pPr>
              <w:spacing w:before="0" w:beforeAutospacing="off" w:after="0" w:afterAutospacing="off"/>
              <w:jc w:val="center"/>
            </w:pPr>
            <w:r w:rsidRPr="438510A9" w:rsidR="438510A9">
              <w:rPr>
                <w:b w:val="1"/>
                <w:bCs w:val="1"/>
                <w:color w:val="000000" w:themeColor="text1" w:themeTint="FF" w:themeShade="FF"/>
              </w:rPr>
              <w:t>Weight (Kg)</w:t>
            </w:r>
          </w:p>
        </w:tc>
      </w:tr>
      <w:tr w:rsidR="438510A9" w:rsidTr="438510A9" w14:paraId="55A2AA5B">
        <w:trPr>
          <w:trHeight w:val="615"/>
        </w:trPr>
        <w:tc>
          <w:tcPr>
            <w:tcW w:w="4050" w:type="dxa"/>
            <w:tcMar/>
            <w:vAlign w:val="center"/>
          </w:tcPr>
          <w:p w:rsidR="438510A9" w:rsidP="438510A9" w:rsidRDefault="438510A9" w14:paraId="0054C617" w14:textId="3F3713FA">
            <w:pPr>
              <w:spacing w:before="0" w:beforeAutospacing="off" w:after="0" w:afterAutospacing="off"/>
            </w:pPr>
            <w:r w:rsidRPr="438510A9" w:rsidR="438510A9">
              <w:rPr>
                <w:color w:val="000000" w:themeColor="text1" w:themeTint="FF" w:themeShade="FF"/>
              </w:rPr>
              <w:t>Yellow Bags</w:t>
            </w:r>
          </w:p>
        </w:tc>
        <w:tc>
          <w:tcPr>
            <w:tcW w:w="2190" w:type="dxa"/>
            <w:tcMar/>
            <w:vAlign w:val="center"/>
          </w:tcPr>
          <w:p w:rsidR="438510A9" w:rsidP="438510A9" w:rsidRDefault="438510A9" w14:paraId="514F5D5F" w14:textId="3B1A7672">
            <w:pPr>
              <w:spacing w:before="0" w:beforeAutospacing="off" w:after="0" w:afterAutospacing="off"/>
            </w:pPr>
            <w:r w:rsidRPr="438510A9" w:rsidR="438510A9">
              <w:rPr>
                <w:color w:val="000000" w:themeColor="text1" w:themeTint="FF" w:themeShade="FF"/>
              </w:rPr>
              <w:t>339</w:t>
            </w:r>
          </w:p>
        </w:tc>
        <w:tc>
          <w:tcPr>
            <w:tcW w:w="3243" w:type="dxa"/>
            <w:tcMar/>
            <w:vAlign w:val="center"/>
          </w:tcPr>
          <w:p w:rsidR="438510A9" w:rsidP="438510A9" w:rsidRDefault="438510A9" w14:paraId="2B54FD1D" w14:textId="0A94B488">
            <w:pPr>
              <w:spacing w:before="0" w:beforeAutospacing="off" w:after="0" w:afterAutospacing="off"/>
            </w:pPr>
            <w:r w:rsidRPr="438510A9" w:rsidR="438510A9">
              <w:rPr>
                <w:color w:val="000000" w:themeColor="text1" w:themeTint="FF" w:themeShade="FF"/>
              </w:rPr>
              <w:t>478.84</w:t>
            </w:r>
          </w:p>
        </w:tc>
      </w:tr>
      <w:tr w:rsidR="438510A9" w:rsidTr="438510A9" w14:paraId="2EDAED7F">
        <w:trPr>
          <w:trHeight w:val="630"/>
        </w:trPr>
        <w:tc>
          <w:tcPr>
            <w:tcW w:w="4050" w:type="dxa"/>
            <w:tcMar/>
            <w:vAlign w:val="center"/>
          </w:tcPr>
          <w:p w:rsidR="438510A9" w:rsidP="438510A9" w:rsidRDefault="438510A9" w14:paraId="18418E19" w14:textId="2C65EAB7">
            <w:pPr>
              <w:spacing w:before="0" w:beforeAutospacing="off" w:after="0" w:afterAutospacing="off"/>
            </w:pPr>
            <w:r w:rsidRPr="438510A9" w:rsidR="438510A9">
              <w:rPr>
                <w:color w:val="000000" w:themeColor="text1" w:themeTint="FF" w:themeShade="FF"/>
              </w:rPr>
              <w:t>Red Bags</w:t>
            </w:r>
          </w:p>
        </w:tc>
        <w:tc>
          <w:tcPr>
            <w:tcW w:w="2190" w:type="dxa"/>
            <w:tcMar/>
            <w:vAlign w:val="center"/>
          </w:tcPr>
          <w:p w:rsidR="438510A9" w:rsidP="438510A9" w:rsidRDefault="438510A9" w14:paraId="7410FAB5" w14:textId="07F99EFF">
            <w:pPr>
              <w:spacing w:before="0" w:beforeAutospacing="off" w:after="0" w:afterAutospacing="off"/>
            </w:pPr>
            <w:r w:rsidRPr="438510A9" w:rsidR="438510A9">
              <w:rPr>
                <w:color w:val="000000" w:themeColor="text1" w:themeTint="FF" w:themeShade="FF"/>
              </w:rPr>
              <w:t>268</w:t>
            </w:r>
          </w:p>
        </w:tc>
        <w:tc>
          <w:tcPr>
            <w:tcW w:w="3243" w:type="dxa"/>
            <w:tcMar/>
            <w:vAlign w:val="center"/>
          </w:tcPr>
          <w:p w:rsidR="438510A9" w:rsidP="438510A9" w:rsidRDefault="438510A9" w14:paraId="13C6B106" w14:textId="0B9900E3">
            <w:pPr>
              <w:spacing w:before="0" w:beforeAutospacing="off" w:after="0" w:afterAutospacing="off"/>
            </w:pPr>
            <w:r w:rsidRPr="438510A9" w:rsidR="438510A9">
              <w:rPr>
                <w:color w:val="000000" w:themeColor="text1" w:themeTint="FF" w:themeShade="FF"/>
              </w:rPr>
              <w:t>393.19</w:t>
            </w:r>
          </w:p>
        </w:tc>
      </w:tr>
      <w:tr w:rsidR="438510A9" w:rsidTr="438510A9" w14:paraId="2A824C2A">
        <w:trPr>
          <w:trHeight w:val="705"/>
        </w:trPr>
        <w:tc>
          <w:tcPr>
            <w:tcW w:w="4050" w:type="dxa"/>
            <w:tcMar/>
            <w:vAlign w:val="center"/>
          </w:tcPr>
          <w:p w:rsidR="438510A9" w:rsidP="438510A9" w:rsidRDefault="438510A9" w14:paraId="136456A7" w14:textId="1777C4FC">
            <w:pPr>
              <w:spacing w:before="0" w:beforeAutospacing="off" w:after="0" w:afterAutospacing="off"/>
            </w:pPr>
            <w:r w:rsidRPr="438510A9" w:rsidR="438510A9">
              <w:rPr>
                <w:color w:val="000000" w:themeColor="text1" w:themeTint="FF" w:themeShade="FF"/>
              </w:rPr>
              <w:t>Blue Boxes</w:t>
            </w:r>
          </w:p>
        </w:tc>
        <w:tc>
          <w:tcPr>
            <w:tcW w:w="2190" w:type="dxa"/>
            <w:tcMar/>
            <w:vAlign w:val="center"/>
          </w:tcPr>
          <w:p w:rsidR="438510A9" w:rsidP="438510A9" w:rsidRDefault="438510A9" w14:paraId="11B86E8E" w14:textId="6DC9C8E0">
            <w:pPr>
              <w:spacing w:before="0" w:beforeAutospacing="off" w:after="0" w:afterAutospacing="off"/>
            </w:pPr>
            <w:r w:rsidRPr="438510A9" w:rsidR="438510A9">
              <w:rPr>
                <w:color w:val="000000" w:themeColor="text1" w:themeTint="FF" w:themeShade="FF"/>
              </w:rPr>
              <w:t>19</w:t>
            </w:r>
          </w:p>
        </w:tc>
        <w:tc>
          <w:tcPr>
            <w:tcW w:w="3243" w:type="dxa"/>
            <w:tcMar/>
            <w:vAlign w:val="center"/>
          </w:tcPr>
          <w:p w:rsidR="438510A9" w:rsidP="438510A9" w:rsidRDefault="438510A9" w14:paraId="728EEAD6" w14:textId="466AFA25">
            <w:pPr>
              <w:spacing w:before="0" w:beforeAutospacing="off" w:after="0" w:afterAutospacing="off"/>
            </w:pPr>
            <w:r w:rsidRPr="438510A9" w:rsidR="438510A9">
              <w:rPr>
                <w:color w:val="000000" w:themeColor="text1" w:themeTint="FF" w:themeShade="FF"/>
              </w:rPr>
              <w:t>68.79</w:t>
            </w:r>
          </w:p>
        </w:tc>
      </w:tr>
      <w:tr w:rsidR="438510A9" w:rsidTr="438510A9" w14:paraId="3B0AA7F7">
        <w:trPr>
          <w:trHeight w:val="750"/>
        </w:trPr>
        <w:tc>
          <w:tcPr>
            <w:tcW w:w="4050" w:type="dxa"/>
            <w:tcMar/>
            <w:vAlign w:val="center"/>
          </w:tcPr>
          <w:p w:rsidR="438510A9" w:rsidP="438510A9" w:rsidRDefault="438510A9" w14:paraId="56AD913B" w14:textId="03BB1E43">
            <w:pPr>
              <w:spacing w:before="0" w:beforeAutospacing="off" w:after="0" w:afterAutospacing="off"/>
            </w:pPr>
            <w:r w:rsidRPr="438510A9" w:rsidR="438510A9">
              <w:rPr>
                <w:color w:val="000000" w:themeColor="text1" w:themeTint="FF" w:themeShade="FF"/>
              </w:rPr>
              <w:t>Sharp Containers</w:t>
            </w:r>
          </w:p>
        </w:tc>
        <w:tc>
          <w:tcPr>
            <w:tcW w:w="2190" w:type="dxa"/>
            <w:tcMar/>
            <w:vAlign w:val="center"/>
          </w:tcPr>
          <w:p w:rsidR="438510A9" w:rsidP="438510A9" w:rsidRDefault="438510A9" w14:paraId="73A2AECE" w14:textId="79A50D23">
            <w:pPr>
              <w:spacing w:before="0" w:beforeAutospacing="off" w:after="0" w:afterAutospacing="off"/>
            </w:pPr>
            <w:r w:rsidRPr="438510A9" w:rsidR="438510A9">
              <w:rPr>
                <w:color w:val="000000" w:themeColor="text1" w:themeTint="FF" w:themeShade="FF"/>
              </w:rPr>
              <w:t>8</w:t>
            </w:r>
          </w:p>
        </w:tc>
        <w:tc>
          <w:tcPr>
            <w:tcW w:w="3243" w:type="dxa"/>
            <w:tcMar/>
            <w:vAlign w:val="center"/>
          </w:tcPr>
          <w:p w:rsidR="438510A9" w:rsidP="438510A9" w:rsidRDefault="438510A9" w14:paraId="7656F2F8" w14:textId="26A62A38">
            <w:pPr>
              <w:spacing w:before="0" w:beforeAutospacing="off" w:after="0" w:afterAutospacing="off"/>
            </w:pPr>
            <w:r w:rsidRPr="438510A9" w:rsidR="438510A9">
              <w:rPr>
                <w:color w:val="000000" w:themeColor="text1" w:themeTint="FF" w:themeShade="FF"/>
              </w:rPr>
              <w:t>6.37</w:t>
            </w:r>
          </w:p>
        </w:tc>
      </w:tr>
      <w:tr w:rsidR="438510A9" w:rsidTr="438510A9" w14:paraId="76EC8D9D">
        <w:trPr>
          <w:trHeight w:val="300"/>
        </w:trPr>
        <w:tc>
          <w:tcPr>
            <w:tcW w:w="4050" w:type="dxa"/>
            <w:tcMar/>
            <w:vAlign w:val="center"/>
          </w:tcPr>
          <w:p w:rsidR="438510A9" w:rsidP="438510A9" w:rsidRDefault="438510A9" w14:paraId="61A95466" w14:textId="11E92429">
            <w:pPr>
              <w:spacing w:before="0" w:beforeAutospacing="off" w:after="0" w:afterAutospacing="off"/>
            </w:pPr>
            <w:r w:rsidRPr="438510A9" w:rsidR="438510A9">
              <w:rPr>
                <w:b w:val="1"/>
                <w:bCs w:val="1"/>
                <w:color w:val="000000" w:themeColor="text1" w:themeTint="FF" w:themeShade="FF"/>
              </w:rPr>
              <w:t>Total</w:t>
            </w:r>
          </w:p>
        </w:tc>
        <w:tc>
          <w:tcPr>
            <w:tcW w:w="2190" w:type="dxa"/>
            <w:tcMar/>
            <w:vAlign w:val="center"/>
          </w:tcPr>
          <w:p w:rsidR="438510A9" w:rsidP="438510A9" w:rsidRDefault="438510A9" w14:paraId="186F066A" w14:textId="5BAC5DB1">
            <w:pPr>
              <w:spacing w:before="0" w:beforeAutospacing="off" w:after="0" w:afterAutospacing="off"/>
            </w:pPr>
            <w:r w:rsidRPr="438510A9" w:rsidR="438510A9">
              <w:rPr>
                <w:b w:val="1"/>
                <w:bCs w:val="1"/>
                <w:color w:val="000000" w:themeColor="text1" w:themeTint="FF" w:themeShade="FF"/>
              </w:rPr>
              <w:t>634</w:t>
            </w:r>
          </w:p>
        </w:tc>
        <w:tc>
          <w:tcPr>
            <w:tcW w:w="3243" w:type="dxa"/>
            <w:tcMar/>
            <w:vAlign w:val="center"/>
          </w:tcPr>
          <w:p w:rsidR="438510A9" w:rsidP="438510A9" w:rsidRDefault="438510A9" w14:paraId="65555B2D" w14:textId="029E8AA2">
            <w:pPr>
              <w:spacing w:before="0" w:beforeAutospacing="off" w:after="0" w:afterAutospacing="off"/>
            </w:pPr>
            <w:r w:rsidRPr="438510A9" w:rsidR="438510A9">
              <w:rPr>
                <w:b w:val="1"/>
                <w:bCs w:val="1"/>
                <w:color w:val="000000" w:themeColor="text1" w:themeTint="FF" w:themeShade="FF"/>
              </w:rPr>
              <w:t>947.19</w:t>
            </w:r>
          </w:p>
        </w:tc>
      </w:tr>
    </w:tbl>
    <w:p xmlns:wp14="http://schemas.microsoft.com/office/word/2010/wordml" wp14:paraId="496B46B6" wp14:textId="15BEB1D2"/>
    <w:p xmlns:wp14="http://schemas.microsoft.com/office/word/2010/wordml" w:rsidP="438510A9" wp14:paraId="1F7D164A" wp14:textId="436629C6">
      <w:pPr>
        <w:pStyle w:val="Heading1"/>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3. Waste Distribution Analysis</w:t>
      </w:r>
    </w:p>
    <w:tbl>
      <w:tblPr>
        <w:tblStyle w:val="TableNormal"/>
        <w:bidiVisual w:val="0"/>
        <w:tblW w:w="0" w:type="auto"/>
        <w:tblLook w:val="06A0" w:firstRow="1" w:lastRow="0" w:firstColumn="1" w:lastColumn="0" w:noHBand="1" w:noVBand="1"/>
      </w:tblPr>
      <w:tblGrid>
        <w:gridCol w:w="2685"/>
        <w:gridCol w:w="3060"/>
        <w:gridCol w:w="3199"/>
      </w:tblGrid>
      <w:tr w:rsidR="438510A9" w:rsidTr="438510A9" w14:paraId="0CB471BC">
        <w:trPr>
          <w:trHeight w:val="300"/>
        </w:trPr>
        <w:tc>
          <w:tcPr>
            <w:tcW w:w="2685" w:type="dxa"/>
            <w:tcMar/>
            <w:vAlign w:val="center"/>
          </w:tcPr>
          <w:p w:rsidR="438510A9" w:rsidP="438510A9" w:rsidRDefault="438510A9" w14:paraId="08643BAD" w14:textId="1A0327FF">
            <w:pPr>
              <w:bidi w:val="0"/>
              <w:spacing w:before="0" w:beforeAutospacing="off" w:after="0" w:afterAutospacing="off"/>
              <w:jc w:val="center"/>
            </w:pPr>
            <w:r w:rsidRPr="438510A9" w:rsidR="438510A9">
              <w:rPr>
                <w:b w:val="1"/>
                <w:bCs w:val="1"/>
                <w:color w:val="000000" w:themeColor="text1" w:themeTint="FF" w:themeShade="FF"/>
              </w:rPr>
              <w:t>Waste Category</w:t>
            </w:r>
          </w:p>
        </w:tc>
        <w:tc>
          <w:tcPr>
            <w:tcW w:w="3060" w:type="dxa"/>
            <w:tcMar/>
            <w:vAlign w:val="center"/>
          </w:tcPr>
          <w:p w:rsidR="438510A9" w:rsidP="438510A9" w:rsidRDefault="438510A9" w14:paraId="22AB2F02" w14:textId="689A40F8">
            <w:pPr>
              <w:bidi w:val="0"/>
              <w:spacing w:before="0" w:beforeAutospacing="off" w:after="0" w:afterAutospacing="off"/>
              <w:jc w:val="center"/>
            </w:pPr>
            <w:r w:rsidRPr="438510A9" w:rsidR="438510A9">
              <w:rPr>
                <w:b w:val="1"/>
                <w:bCs w:val="1"/>
                <w:color w:val="000000" w:themeColor="text1" w:themeTint="FF" w:themeShade="FF"/>
              </w:rPr>
              <w:t>Weight (Kg)</w:t>
            </w:r>
          </w:p>
        </w:tc>
        <w:tc>
          <w:tcPr>
            <w:tcW w:w="3199" w:type="dxa"/>
            <w:tcMar/>
            <w:vAlign w:val="center"/>
          </w:tcPr>
          <w:p w:rsidR="438510A9" w:rsidP="438510A9" w:rsidRDefault="438510A9" w14:paraId="1F687D74" w14:textId="720C3C30">
            <w:pPr>
              <w:bidi w:val="0"/>
              <w:spacing w:before="0" w:beforeAutospacing="off" w:after="0" w:afterAutospacing="off"/>
              <w:jc w:val="center"/>
            </w:pPr>
            <w:r w:rsidRPr="438510A9" w:rsidR="438510A9">
              <w:rPr>
                <w:b w:val="1"/>
                <w:bCs w:val="1"/>
                <w:color w:val="000000" w:themeColor="text1" w:themeTint="FF" w:themeShade="FF"/>
              </w:rPr>
              <w:t>Percentage Contribution</w:t>
            </w:r>
          </w:p>
        </w:tc>
      </w:tr>
      <w:tr w:rsidR="438510A9" w:rsidTr="438510A9" w14:paraId="71D9104B">
        <w:trPr>
          <w:trHeight w:val="480"/>
        </w:trPr>
        <w:tc>
          <w:tcPr>
            <w:tcW w:w="2685" w:type="dxa"/>
            <w:tcMar/>
            <w:vAlign w:val="center"/>
          </w:tcPr>
          <w:p w:rsidR="438510A9" w:rsidP="438510A9" w:rsidRDefault="438510A9" w14:paraId="6FB09E31" w14:textId="2CEE959D">
            <w:pPr>
              <w:bidi w:val="0"/>
              <w:spacing w:before="0" w:beforeAutospacing="off" w:after="0" w:afterAutospacing="off"/>
            </w:pPr>
            <w:r w:rsidRPr="438510A9" w:rsidR="438510A9">
              <w:rPr>
                <w:color w:val="000000" w:themeColor="text1" w:themeTint="FF" w:themeShade="FF"/>
              </w:rPr>
              <w:t>Yellow Category Waste</w:t>
            </w:r>
          </w:p>
        </w:tc>
        <w:tc>
          <w:tcPr>
            <w:tcW w:w="3060" w:type="dxa"/>
            <w:tcMar/>
            <w:vAlign w:val="center"/>
          </w:tcPr>
          <w:p w:rsidR="438510A9" w:rsidP="438510A9" w:rsidRDefault="438510A9" w14:paraId="4E897D4E" w14:textId="71326B15">
            <w:pPr>
              <w:bidi w:val="0"/>
              <w:spacing w:before="0" w:beforeAutospacing="off" w:after="0" w:afterAutospacing="off"/>
            </w:pPr>
            <w:r w:rsidRPr="438510A9" w:rsidR="438510A9">
              <w:rPr>
                <w:color w:val="000000" w:themeColor="text1" w:themeTint="FF" w:themeShade="FF"/>
              </w:rPr>
              <w:t>478.84</w:t>
            </w:r>
          </w:p>
        </w:tc>
        <w:tc>
          <w:tcPr>
            <w:tcW w:w="3199" w:type="dxa"/>
            <w:tcMar/>
            <w:vAlign w:val="center"/>
          </w:tcPr>
          <w:p w:rsidR="438510A9" w:rsidP="438510A9" w:rsidRDefault="438510A9" w14:paraId="7B12F395" w14:textId="5B7EB839">
            <w:pPr>
              <w:bidi w:val="0"/>
              <w:spacing w:before="0" w:beforeAutospacing="off" w:after="0" w:afterAutospacing="off"/>
            </w:pPr>
            <w:r w:rsidRPr="438510A9" w:rsidR="438510A9">
              <w:rPr>
                <w:color w:val="000000" w:themeColor="text1" w:themeTint="FF" w:themeShade="FF"/>
              </w:rPr>
              <w:t>50.56%</w:t>
            </w:r>
          </w:p>
        </w:tc>
      </w:tr>
      <w:tr w:rsidR="438510A9" w:rsidTr="438510A9" w14:paraId="032F709F">
        <w:trPr>
          <w:trHeight w:val="555"/>
        </w:trPr>
        <w:tc>
          <w:tcPr>
            <w:tcW w:w="2685" w:type="dxa"/>
            <w:tcMar/>
            <w:vAlign w:val="center"/>
          </w:tcPr>
          <w:p w:rsidR="438510A9" w:rsidP="438510A9" w:rsidRDefault="438510A9" w14:paraId="269F3FEE" w14:textId="03447F9C">
            <w:pPr>
              <w:bidi w:val="0"/>
              <w:spacing w:before="0" w:beforeAutospacing="off" w:after="0" w:afterAutospacing="off"/>
            </w:pPr>
            <w:r w:rsidRPr="438510A9" w:rsidR="438510A9">
              <w:rPr>
                <w:color w:val="000000" w:themeColor="text1" w:themeTint="FF" w:themeShade="FF"/>
              </w:rPr>
              <w:t>Red Category Waste</w:t>
            </w:r>
          </w:p>
        </w:tc>
        <w:tc>
          <w:tcPr>
            <w:tcW w:w="3060" w:type="dxa"/>
            <w:tcMar/>
            <w:vAlign w:val="center"/>
          </w:tcPr>
          <w:p w:rsidR="438510A9" w:rsidP="438510A9" w:rsidRDefault="438510A9" w14:paraId="6F263440" w14:textId="578DCFFC">
            <w:pPr>
              <w:bidi w:val="0"/>
              <w:spacing w:before="0" w:beforeAutospacing="off" w:after="0" w:afterAutospacing="off"/>
            </w:pPr>
            <w:r w:rsidRPr="438510A9" w:rsidR="438510A9">
              <w:rPr>
                <w:color w:val="000000" w:themeColor="text1" w:themeTint="FF" w:themeShade="FF"/>
              </w:rPr>
              <w:t>393.19</w:t>
            </w:r>
          </w:p>
        </w:tc>
        <w:tc>
          <w:tcPr>
            <w:tcW w:w="3199" w:type="dxa"/>
            <w:tcMar/>
            <w:vAlign w:val="center"/>
          </w:tcPr>
          <w:p w:rsidR="438510A9" w:rsidP="438510A9" w:rsidRDefault="438510A9" w14:paraId="618F2DF5" w14:textId="3E78907B">
            <w:pPr>
              <w:bidi w:val="0"/>
              <w:spacing w:before="0" w:beforeAutospacing="off" w:after="0" w:afterAutospacing="off"/>
            </w:pPr>
            <w:r w:rsidRPr="438510A9" w:rsidR="438510A9">
              <w:rPr>
                <w:color w:val="000000" w:themeColor="text1" w:themeTint="FF" w:themeShade="FF"/>
              </w:rPr>
              <w:t>41.51%</w:t>
            </w:r>
          </w:p>
        </w:tc>
      </w:tr>
      <w:tr w:rsidR="438510A9" w:rsidTr="438510A9" w14:paraId="0B9F19AF">
        <w:trPr>
          <w:trHeight w:val="645"/>
        </w:trPr>
        <w:tc>
          <w:tcPr>
            <w:tcW w:w="2685" w:type="dxa"/>
            <w:tcMar/>
            <w:vAlign w:val="center"/>
          </w:tcPr>
          <w:p w:rsidR="438510A9" w:rsidP="438510A9" w:rsidRDefault="438510A9" w14:paraId="6C21A852" w14:textId="1E8D8A0C">
            <w:pPr>
              <w:bidi w:val="0"/>
              <w:spacing w:before="0" w:beforeAutospacing="off" w:after="0" w:afterAutospacing="off"/>
            </w:pPr>
            <w:r w:rsidRPr="438510A9" w:rsidR="438510A9">
              <w:rPr>
                <w:color w:val="000000" w:themeColor="text1" w:themeTint="FF" w:themeShade="FF"/>
              </w:rPr>
              <w:t>Blue Category Waste</w:t>
            </w:r>
          </w:p>
        </w:tc>
        <w:tc>
          <w:tcPr>
            <w:tcW w:w="3060" w:type="dxa"/>
            <w:tcMar/>
            <w:vAlign w:val="center"/>
          </w:tcPr>
          <w:p w:rsidR="438510A9" w:rsidP="438510A9" w:rsidRDefault="438510A9" w14:paraId="6B2115AB" w14:textId="0DC7B929">
            <w:pPr>
              <w:bidi w:val="0"/>
              <w:spacing w:before="0" w:beforeAutospacing="off" w:after="0" w:afterAutospacing="off"/>
            </w:pPr>
            <w:r w:rsidRPr="438510A9" w:rsidR="438510A9">
              <w:rPr>
                <w:color w:val="000000" w:themeColor="text1" w:themeTint="FF" w:themeShade="FF"/>
              </w:rPr>
              <w:t>68.79</w:t>
            </w:r>
          </w:p>
        </w:tc>
        <w:tc>
          <w:tcPr>
            <w:tcW w:w="3199" w:type="dxa"/>
            <w:tcMar/>
            <w:vAlign w:val="center"/>
          </w:tcPr>
          <w:p w:rsidR="438510A9" w:rsidP="438510A9" w:rsidRDefault="438510A9" w14:paraId="19A8F7F2" w14:textId="5F06AEB1">
            <w:pPr>
              <w:bidi w:val="0"/>
              <w:spacing w:before="0" w:beforeAutospacing="off" w:after="0" w:afterAutospacing="off"/>
            </w:pPr>
            <w:r w:rsidRPr="438510A9" w:rsidR="438510A9">
              <w:rPr>
                <w:color w:val="000000" w:themeColor="text1" w:themeTint="FF" w:themeShade="FF"/>
              </w:rPr>
              <w:t>7.26%</w:t>
            </w:r>
          </w:p>
        </w:tc>
      </w:tr>
      <w:tr w:rsidR="438510A9" w:rsidTr="438510A9" w14:paraId="1C6BA0F7">
        <w:trPr>
          <w:trHeight w:val="300"/>
        </w:trPr>
        <w:tc>
          <w:tcPr>
            <w:tcW w:w="2685" w:type="dxa"/>
            <w:tcMar/>
            <w:vAlign w:val="center"/>
          </w:tcPr>
          <w:p w:rsidR="438510A9" w:rsidP="438510A9" w:rsidRDefault="438510A9" w14:paraId="65B0C345" w14:textId="75607957">
            <w:pPr>
              <w:bidi w:val="0"/>
              <w:spacing w:before="0" w:beforeAutospacing="off" w:after="0" w:afterAutospacing="off"/>
            </w:pPr>
            <w:r w:rsidRPr="438510A9" w:rsidR="438510A9">
              <w:rPr>
                <w:color w:val="000000" w:themeColor="text1" w:themeTint="FF" w:themeShade="FF"/>
              </w:rPr>
              <w:t>Sharp Waste</w:t>
            </w:r>
          </w:p>
        </w:tc>
        <w:tc>
          <w:tcPr>
            <w:tcW w:w="3060" w:type="dxa"/>
            <w:tcMar/>
            <w:vAlign w:val="center"/>
          </w:tcPr>
          <w:p w:rsidR="438510A9" w:rsidP="438510A9" w:rsidRDefault="438510A9" w14:paraId="5D7E484F" w14:textId="43012FB9">
            <w:pPr>
              <w:bidi w:val="0"/>
              <w:spacing w:before="0" w:beforeAutospacing="off" w:after="0" w:afterAutospacing="off"/>
            </w:pPr>
            <w:r w:rsidRPr="438510A9" w:rsidR="438510A9">
              <w:rPr>
                <w:color w:val="000000" w:themeColor="text1" w:themeTint="FF" w:themeShade="FF"/>
              </w:rPr>
              <w:t>6.37</w:t>
            </w:r>
          </w:p>
        </w:tc>
        <w:tc>
          <w:tcPr>
            <w:tcW w:w="3199" w:type="dxa"/>
            <w:tcMar/>
            <w:vAlign w:val="center"/>
          </w:tcPr>
          <w:p w:rsidR="438510A9" w:rsidP="438510A9" w:rsidRDefault="438510A9" w14:paraId="163804E9" w14:textId="53B2CAFB">
            <w:pPr>
              <w:bidi w:val="0"/>
              <w:spacing w:before="0" w:beforeAutospacing="off" w:after="0" w:afterAutospacing="off"/>
            </w:pPr>
            <w:r w:rsidRPr="438510A9" w:rsidR="438510A9">
              <w:rPr>
                <w:color w:val="000000" w:themeColor="text1" w:themeTint="FF" w:themeShade="FF"/>
              </w:rPr>
              <w:t>0.67%</w:t>
            </w:r>
          </w:p>
        </w:tc>
      </w:tr>
    </w:tbl>
    <w:p xmlns:wp14="http://schemas.microsoft.com/office/word/2010/wordml" w:rsidP="438510A9" wp14:paraId="0C5116B3" wp14:textId="213AD06B">
      <w:pPr>
        <w:pStyle w:val="Heading3"/>
        <w:bidi w:val="0"/>
        <w:rPr>
          <w:rFonts w:ascii="Aptos" w:hAnsi="Aptos" w:eastAsia="Aptos" w:cs="Aptos"/>
          <w:noProof w:val="0"/>
          <w:color w:val="000000" w:themeColor="text1" w:themeTint="FF" w:themeShade="FF"/>
          <w:sz w:val="24"/>
          <w:szCs w:val="24"/>
          <w:lang w:val="en-US"/>
        </w:rPr>
      </w:pPr>
    </w:p>
    <w:p xmlns:wp14="http://schemas.microsoft.com/office/word/2010/wordml" w:rsidP="438510A9" wp14:paraId="126C41B7" wp14:textId="1DD66D5F">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Key Observation</w:t>
      </w:r>
    </w:p>
    <w:p xmlns:wp14="http://schemas.microsoft.com/office/word/2010/wordml" wp14:paraId="61E72EC8" wp14:textId="3C07B7C7">
      <w:r w:rsidRPr="438510A9" w:rsidR="0CAB2BFF">
        <w:rPr>
          <w:rFonts w:ascii="Aptos" w:hAnsi="Aptos" w:eastAsia="Aptos" w:cs="Aptos"/>
          <w:noProof w:val="0"/>
          <w:color w:val="000000" w:themeColor="text1" w:themeTint="FF" w:themeShade="FF"/>
          <w:sz w:val="24"/>
          <w:szCs w:val="24"/>
          <w:lang w:val="en-US"/>
        </w:rPr>
        <w:t>Yellow Category Waste accounted for the highest proportion of biomedical waste generated during the month, contributing approximately 50.56% of the total waste generated. This is consistent with the nature of services provided in a paediatric tertiary care setting, where infectious and soiled waste forms a significant component of biomedical waste.</w:t>
      </w:r>
    </w:p>
    <w:p xmlns:wp14="http://schemas.microsoft.com/office/word/2010/wordml" wp14:paraId="32DEE8A9" wp14:textId="5A743637"/>
    <w:p xmlns:wp14="http://schemas.microsoft.com/office/word/2010/wordml" w:rsidP="438510A9" wp14:paraId="730007E2" wp14:textId="297FCF5F">
      <w:pPr>
        <w:pStyle w:val="Heading1"/>
        <w:bidi w:val="0"/>
        <w:rPr>
          <w:rFonts w:ascii="Aptos" w:hAnsi="Aptos" w:eastAsia="Aptos" w:cs="Aptos"/>
          <w:b w:val="1"/>
          <w:bCs w:val="1"/>
          <w:noProof w:val="0"/>
          <w:color w:val="000000" w:themeColor="text1" w:themeTint="FF" w:themeShade="FF"/>
          <w:sz w:val="28"/>
          <w:szCs w:val="28"/>
          <w:lang w:val="en-US"/>
        </w:rPr>
      </w:pPr>
      <w:r w:rsidRPr="438510A9" w:rsidR="0CAB2BFF">
        <w:rPr>
          <w:rFonts w:ascii="Aptos" w:hAnsi="Aptos" w:eastAsia="Aptos" w:cs="Aptos"/>
          <w:b w:val="1"/>
          <w:bCs w:val="1"/>
          <w:noProof w:val="0"/>
          <w:color w:val="000000" w:themeColor="text1" w:themeTint="FF" w:themeShade="FF"/>
          <w:sz w:val="28"/>
          <w:szCs w:val="28"/>
          <w:lang w:val="en-US"/>
        </w:rPr>
        <w:t>4. Daily Generation Analysis</w:t>
      </w:r>
    </w:p>
    <w:p xmlns:wp14="http://schemas.microsoft.com/office/word/2010/wordml" w:rsidP="438510A9" wp14:paraId="03A350E1" wp14:textId="277E43F2">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Total Biomedical Waste Generated</w:t>
      </w:r>
    </w:p>
    <w:p xmlns:wp14="http://schemas.microsoft.com/office/word/2010/wordml" wp14:paraId="5E0C53D8" wp14:textId="33180BF9">
      <w:r w:rsidRPr="438510A9" w:rsidR="0CAB2BFF">
        <w:rPr>
          <w:rFonts w:ascii="Aptos" w:hAnsi="Aptos" w:eastAsia="Aptos" w:cs="Aptos"/>
          <w:noProof w:val="0"/>
          <w:color w:val="000000" w:themeColor="text1" w:themeTint="FF" w:themeShade="FF"/>
          <w:sz w:val="24"/>
          <w:szCs w:val="24"/>
          <w:lang w:val="en-US"/>
        </w:rPr>
        <w:t>947.19 Kg</w:t>
      </w:r>
    </w:p>
    <w:p xmlns:wp14="http://schemas.microsoft.com/office/word/2010/wordml" w:rsidP="438510A9" wp14:paraId="706BC1A5" wp14:textId="577486C6">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Total Biomedical Waste Bags/Containers Generated</w:t>
      </w:r>
    </w:p>
    <w:p xmlns:wp14="http://schemas.microsoft.com/office/word/2010/wordml" wp14:paraId="55856672" wp14:textId="1B28AE2D">
      <w:r w:rsidRPr="438510A9" w:rsidR="0CAB2BFF">
        <w:rPr>
          <w:rFonts w:ascii="Aptos" w:hAnsi="Aptos" w:eastAsia="Aptos" w:cs="Aptos"/>
          <w:noProof w:val="0"/>
          <w:color w:val="000000" w:themeColor="text1" w:themeTint="FF" w:themeShade="FF"/>
          <w:sz w:val="24"/>
          <w:szCs w:val="24"/>
          <w:lang w:val="en-US"/>
        </w:rPr>
        <w:t>634</w:t>
      </w:r>
    </w:p>
    <w:p xmlns:wp14="http://schemas.microsoft.com/office/word/2010/wordml" w:rsidP="438510A9" wp14:paraId="7B1FEC99" wp14:textId="73EAA2F9">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Average Daily Biomedical Waste Generation</w:t>
      </w:r>
    </w:p>
    <w:p xmlns:wp14="http://schemas.microsoft.com/office/word/2010/wordml" wp14:paraId="16063CD9" wp14:textId="1E70BCA1">
      <w:r w:rsidRPr="438510A9" w:rsidR="0CAB2BFF">
        <w:rPr>
          <w:rFonts w:ascii="Aptos" w:hAnsi="Aptos" w:eastAsia="Aptos" w:cs="Aptos"/>
          <w:noProof w:val="0"/>
          <w:color w:val="000000" w:themeColor="text1" w:themeTint="FF" w:themeShade="FF"/>
          <w:sz w:val="24"/>
          <w:szCs w:val="24"/>
          <w:lang w:val="en-US"/>
        </w:rPr>
        <w:t>36.43 Kg per operational day</w:t>
      </w:r>
    </w:p>
    <w:p xmlns:wp14="http://schemas.microsoft.com/office/word/2010/wordml" w:rsidP="438510A9" wp14:paraId="1BC138D4" wp14:textId="207D7CEB">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Highest Waste Generation Day</w:t>
      </w:r>
    </w:p>
    <w:p xmlns:wp14="http://schemas.microsoft.com/office/word/2010/wordml" wp14:paraId="7C702584" wp14:textId="7BA0A6F8">
      <w:r w:rsidRPr="438510A9" w:rsidR="0CAB2BFF">
        <w:rPr>
          <w:rFonts w:ascii="Aptos" w:hAnsi="Aptos" w:eastAsia="Aptos" w:cs="Aptos"/>
          <w:noProof w:val="0"/>
          <w:color w:val="000000" w:themeColor="text1" w:themeTint="FF" w:themeShade="FF"/>
          <w:sz w:val="24"/>
          <w:szCs w:val="24"/>
          <w:lang w:val="en-US"/>
        </w:rPr>
        <w:t>02 March 2026</w:t>
      </w:r>
    </w:p>
    <w:p xmlns:wp14="http://schemas.microsoft.com/office/word/2010/wordml" w:rsidP="438510A9" wp14:paraId="4B98202C" wp14:textId="3E61AE67">
      <w:pPr>
        <w:pStyle w:val="ListParagraph"/>
        <w:numPr>
          <w:ilvl w:val="0"/>
          <w:numId w:val="1"/>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Total Waste Generated: 62.95 Kg</w:t>
      </w:r>
    </w:p>
    <w:p xmlns:wp14="http://schemas.microsoft.com/office/word/2010/wordml" w:rsidP="438510A9" wp14:paraId="14BB4A3E" wp14:textId="14492E42">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Lowest Waste Generation Day</w:t>
      </w:r>
    </w:p>
    <w:p xmlns:wp14="http://schemas.microsoft.com/office/word/2010/wordml" wp14:paraId="0B840616" wp14:textId="67189D8C">
      <w:r w:rsidRPr="438510A9" w:rsidR="0CAB2BFF">
        <w:rPr>
          <w:rFonts w:ascii="Aptos" w:hAnsi="Aptos" w:eastAsia="Aptos" w:cs="Aptos"/>
          <w:noProof w:val="0"/>
          <w:color w:val="000000" w:themeColor="text1" w:themeTint="FF" w:themeShade="FF"/>
          <w:sz w:val="24"/>
          <w:szCs w:val="24"/>
          <w:lang w:val="en-US"/>
        </w:rPr>
        <w:t>17 March 2026</w:t>
      </w:r>
    </w:p>
    <w:p xmlns:wp14="http://schemas.microsoft.com/office/word/2010/wordml" w:rsidP="438510A9" wp14:paraId="15CAA50E" wp14:textId="52E354EC">
      <w:pPr>
        <w:pStyle w:val="ListParagraph"/>
        <w:numPr>
          <w:ilvl w:val="0"/>
          <w:numId w:val="2"/>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Total Waste Generated: 10.52 Kg</w:t>
      </w:r>
    </w:p>
    <w:p xmlns:wp14="http://schemas.microsoft.com/office/word/2010/wordml" w:rsidP="438510A9" wp14:paraId="5BBD6085" wp14:textId="07ACBCB0">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Non-Collection / Zero Generation Days</w:t>
      </w:r>
    </w:p>
    <w:p xmlns:wp14="http://schemas.microsoft.com/office/word/2010/wordml" w:rsidP="438510A9" wp14:paraId="681D74DD" wp14:textId="12D9B937">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01 March 2026</w:t>
      </w:r>
    </w:p>
    <w:p xmlns:wp14="http://schemas.microsoft.com/office/word/2010/wordml" w:rsidP="438510A9" wp14:paraId="68C21DA9" wp14:textId="7898F3C1">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08 March 2026</w:t>
      </w:r>
    </w:p>
    <w:p xmlns:wp14="http://schemas.microsoft.com/office/word/2010/wordml" w:rsidP="438510A9" wp14:paraId="3907DA10" wp14:textId="544C4A61">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15 March 2026</w:t>
      </w:r>
    </w:p>
    <w:p xmlns:wp14="http://schemas.microsoft.com/office/word/2010/wordml" w:rsidP="438510A9" wp14:paraId="565C103C" wp14:textId="7F335785">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22 March 2026</w:t>
      </w:r>
    </w:p>
    <w:p xmlns:wp14="http://schemas.microsoft.com/office/word/2010/wordml" w:rsidP="438510A9" wp14:paraId="0AA62B19" wp14:textId="6CC96702">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29 March 2026</w:t>
      </w:r>
    </w:p>
    <w:p xmlns:wp14="http://schemas.microsoft.com/office/word/2010/wordml" w:rsidP="438510A9" wp14:paraId="16552952" wp14:textId="2D0662AB">
      <w:pPr>
        <w:bidi w:val="0"/>
        <w:rPr>
          <w:rFonts w:ascii="Aptos" w:hAnsi="Aptos" w:eastAsia="Aptos" w:cs="Aptos"/>
          <w:noProof w:val="0"/>
          <w:color w:val="000000" w:themeColor="text1" w:themeTint="FF" w:themeShade="FF"/>
          <w:sz w:val="24"/>
          <w:szCs w:val="24"/>
          <w:lang w:val="en-US"/>
        </w:rPr>
      </w:pPr>
    </w:p>
    <w:p xmlns:wp14="http://schemas.microsoft.com/office/word/2010/wordml" wp14:paraId="3350E6B9" wp14:textId="61358EC6">
      <w:r w:rsidRPr="438510A9" w:rsidR="0CAB2BFF">
        <w:rPr>
          <w:rFonts w:ascii="Aptos" w:hAnsi="Aptos" w:eastAsia="Aptos" w:cs="Aptos"/>
          <w:noProof w:val="0"/>
          <w:color w:val="000000" w:themeColor="text1" w:themeTint="FF" w:themeShade="FF"/>
          <w:sz w:val="24"/>
          <w:szCs w:val="24"/>
          <w:lang w:val="en-US"/>
        </w:rPr>
        <w:t>These dates correspond to weekly closure/non-collection days as reflected in the records.</w:t>
      </w:r>
    </w:p>
    <w:p xmlns:wp14="http://schemas.microsoft.com/office/word/2010/wordml" wp14:paraId="46AAED11" wp14:textId="3C05D20D"/>
    <w:p xmlns:wp14="http://schemas.microsoft.com/office/word/2010/wordml" w:rsidP="438510A9" wp14:paraId="3F26C9DF" wp14:textId="4A3EFF04">
      <w:pPr>
        <w:pStyle w:val="Heading1"/>
        <w:bidi w:val="0"/>
        <w:rPr>
          <w:rFonts w:ascii="Aptos" w:hAnsi="Aptos" w:eastAsia="Aptos" w:cs="Aptos"/>
          <w:b w:val="1"/>
          <w:bCs w:val="1"/>
          <w:noProof w:val="0"/>
          <w:color w:val="000000" w:themeColor="text1" w:themeTint="FF" w:themeShade="FF"/>
          <w:sz w:val="28"/>
          <w:szCs w:val="28"/>
          <w:lang w:val="en-US"/>
        </w:rPr>
      </w:pPr>
      <w:r w:rsidRPr="438510A9" w:rsidR="0CAB2BFF">
        <w:rPr>
          <w:rFonts w:ascii="Aptos" w:hAnsi="Aptos" w:eastAsia="Aptos" w:cs="Aptos"/>
          <w:b w:val="1"/>
          <w:bCs w:val="1"/>
          <w:noProof w:val="0"/>
          <w:color w:val="000000" w:themeColor="text1" w:themeTint="FF" w:themeShade="FF"/>
          <w:sz w:val="28"/>
          <w:szCs w:val="28"/>
          <w:lang w:val="en-US"/>
        </w:rPr>
        <w:t>5. Compliance and Segregation Review</w:t>
      </w:r>
    </w:p>
    <w:p xmlns:wp14="http://schemas.microsoft.com/office/word/2010/wordml" wp14:paraId="57365E6A" wp14:textId="6BB3D143">
      <w:r w:rsidRPr="438510A9" w:rsidR="0CAB2BFF">
        <w:rPr>
          <w:rFonts w:ascii="Aptos" w:hAnsi="Aptos" w:eastAsia="Aptos" w:cs="Aptos"/>
          <w:noProof w:val="0"/>
          <w:color w:val="000000" w:themeColor="text1" w:themeTint="FF" w:themeShade="FF"/>
          <w:sz w:val="24"/>
          <w:szCs w:val="24"/>
          <w:lang w:val="en-US"/>
        </w:rPr>
        <w:t>The hospital maintained segregation of biomedical waste in accordance with prescribed colour-coded categories:</w:t>
      </w:r>
    </w:p>
    <w:p xmlns:wp14="http://schemas.microsoft.com/office/word/2010/wordml" w:rsidP="438510A9" wp14:paraId="0F165553" wp14:textId="3E944ED6">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Yellow Category</w:t>
      </w:r>
    </w:p>
    <w:p xmlns:wp14="http://schemas.microsoft.com/office/word/2010/wordml" wp14:paraId="379252C3" wp14:textId="41AE74F9">
      <w:r w:rsidRPr="438510A9" w:rsidR="0CAB2BFF">
        <w:rPr>
          <w:rFonts w:ascii="Aptos" w:hAnsi="Aptos" w:eastAsia="Aptos" w:cs="Aptos"/>
          <w:noProof w:val="0"/>
          <w:color w:val="000000" w:themeColor="text1" w:themeTint="FF" w:themeShade="FF"/>
          <w:sz w:val="24"/>
          <w:szCs w:val="24"/>
          <w:lang w:val="en-US"/>
        </w:rPr>
        <w:t>Human anatomical waste, soiled waste, microbiology waste and other infectious waste requiring incineration or deep burial.</w:t>
      </w:r>
    </w:p>
    <w:p xmlns:wp14="http://schemas.microsoft.com/office/word/2010/wordml" w:rsidP="438510A9" wp14:paraId="2F6EBAC9" wp14:textId="07D7D8FA">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Red Category</w:t>
      </w:r>
    </w:p>
    <w:p xmlns:wp14="http://schemas.microsoft.com/office/word/2010/wordml" wp14:paraId="30F96BEB" wp14:textId="5B278234">
      <w:r w:rsidRPr="438510A9" w:rsidR="0CAB2BFF">
        <w:rPr>
          <w:rFonts w:ascii="Aptos" w:hAnsi="Aptos" w:eastAsia="Aptos" w:cs="Aptos"/>
          <w:noProof w:val="0"/>
          <w:color w:val="000000" w:themeColor="text1" w:themeTint="FF" w:themeShade="FF"/>
          <w:sz w:val="24"/>
          <w:szCs w:val="24"/>
          <w:lang w:val="en-US"/>
        </w:rPr>
        <w:t>Contaminated recyclable waste including tubing, IV sets, catheters and gloves.</w:t>
      </w:r>
    </w:p>
    <w:p xmlns:wp14="http://schemas.microsoft.com/office/word/2010/wordml" w:rsidP="438510A9" wp14:paraId="31DB1BE9" wp14:textId="1B549C2D">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Blue Category</w:t>
      </w:r>
    </w:p>
    <w:p xmlns:wp14="http://schemas.microsoft.com/office/word/2010/wordml" wp14:paraId="58FAE1BD" wp14:textId="307D7B08">
      <w:r w:rsidRPr="438510A9" w:rsidR="0CAB2BFF">
        <w:rPr>
          <w:rFonts w:ascii="Aptos" w:hAnsi="Aptos" w:eastAsia="Aptos" w:cs="Aptos"/>
          <w:noProof w:val="0"/>
          <w:color w:val="000000" w:themeColor="text1" w:themeTint="FF" w:themeShade="FF"/>
          <w:sz w:val="24"/>
          <w:szCs w:val="24"/>
          <w:lang w:val="en-US"/>
        </w:rPr>
        <w:t>Glassware, metallic implants and other recyclable waste requiring disinfection and recycling.</w:t>
      </w:r>
    </w:p>
    <w:p xmlns:wp14="http://schemas.microsoft.com/office/word/2010/wordml" w:rsidP="438510A9" wp14:paraId="584EBB07" wp14:textId="01E9916A">
      <w:pPr>
        <w:pStyle w:val="Heading3"/>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Sharp Waste</w:t>
      </w:r>
    </w:p>
    <w:p xmlns:wp14="http://schemas.microsoft.com/office/word/2010/wordml" wp14:paraId="32992837" wp14:textId="5B627A1F">
      <w:r w:rsidRPr="438510A9" w:rsidR="0CAB2BFF">
        <w:rPr>
          <w:rFonts w:ascii="Aptos" w:hAnsi="Aptos" w:eastAsia="Aptos" w:cs="Aptos"/>
          <w:noProof w:val="0"/>
          <w:color w:val="000000" w:themeColor="text1" w:themeTint="FF" w:themeShade="FF"/>
          <w:sz w:val="24"/>
          <w:szCs w:val="24"/>
          <w:lang w:val="en-US"/>
        </w:rPr>
        <w:t>Needles, syringes with fixed needles, scalpels and other sharps requiring safe disposal through authorised treatment methods.</w:t>
      </w:r>
    </w:p>
    <w:p xmlns:wp14="http://schemas.microsoft.com/office/word/2010/wordml" wp14:paraId="3F61F5D6" wp14:textId="7503623B"/>
    <w:p xmlns:wp14="http://schemas.microsoft.com/office/word/2010/wordml" w:rsidP="438510A9" wp14:paraId="0FF6DC55" wp14:textId="376DA495">
      <w:pPr>
        <w:pStyle w:val="Heading1"/>
        <w:bidi w:val="0"/>
        <w:rPr>
          <w:rFonts w:ascii="Aptos" w:hAnsi="Aptos" w:eastAsia="Aptos" w:cs="Aptos"/>
          <w:b w:val="1"/>
          <w:bCs w:val="1"/>
          <w:noProof w:val="0"/>
          <w:color w:val="000000" w:themeColor="text1" w:themeTint="FF" w:themeShade="FF"/>
          <w:sz w:val="28"/>
          <w:szCs w:val="28"/>
          <w:lang w:val="en-US"/>
        </w:rPr>
      </w:pPr>
      <w:r w:rsidRPr="438510A9" w:rsidR="0CAB2BFF">
        <w:rPr>
          <w:rFonts w:ascii="Aptos" w:hAnsi="Aptos" w:eastAsia="Aptos" w:cs="Aptos"/>
          <w:b w:val="1"/>
          <w:bCs w:val="1"/>
          <w:noProof w:val="0"/>
          <w:color w:val="000000" w:themeColor="text1" w:themeTint="FF" w:themeShade="FF"/>
          <w:sz w:val="28"/>
          <w:szCs w:val="28"/>
          <w:lang w:val="en-US"/>
        </w:rPr>
        <w:t>6. Recommendations</w:t>
      </w:r>
    </w:p>
    <w:p xmlns:wp14="http://schemas.microsoft.com/office/word/2010/wordml" w:rsidP="438510A9" wp14:paraId="2D02872C" wp14:textId="71EFF0CE">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Continue periodic staff training on biomedical waste segregation and handling.</w:t>
      </w:r>
    </w:p>
    <w:p xmlns:wp14="http://schemas.microsoft.com/office/word/2010/wordml" w:rsidP="438510A9" wp14:paraId="2CEC4C49" wp14:textId="77E60A54">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Conduct monthly audits to monitor segregation compliance across clinical and non-clinical areas.</w:t>
      </w:r>
    </w:p>
    <w:p xmlns:wp14="http://schemas.microsoft.com/office/word/2010/wordml" w:rsidP="438510A9" wp14:paraId="138D6D35" wp14:textId="77488994">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Strengthen monitoring of waste generation trends to identify opportunities for waste reduction.</w:t>
      </w:r>
    </w:p>
    <w:p xmlns:wp14="http://schemas.microsoft.com/office/word/2010/wordml" w:rsidP="438510A9" wp14:paraId="0465E487" wp14:textId="1D651E85">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Maintain strict adherence to biomedical waste storage, transportation and disposal protocols.</w:t>
      </w:r>
    </w:p>
    <w:p xmlns:wp14="http://schemas.microsoft.com/office/word/2010/wordml" w:rsidP="438510A9" wp14:paraId="5D49BDE6" wp14:textId="712C0AF5">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438510A9" w:rsidR="0CAB2BFF">
        <w:rPr>
          <w:rFonts w:ascii="Aptos" w:hAnsi="Aptos" w:eastAsia="Aptos" w:cs="Aptos"/>
          <w:noProof w:val="0"/>
          <w:color w:val="000000" w:themeColor="text1" w:themeTint="FF" w:themeShade="FF"/>
          <w:sz w:val="24"/>
          <w:szCs w:val="24"/>
          <w:lang w:val="en-US"/>
        </w:rPr>
        <w:t>Continue coordination with authorised Common Biomedical Waste Treatment Facilities (CBWTF) for timely collection and disposal.</w:t>
      </w:r>
    </w:p>
    <w:p xmlns:wp14="http://schemas.microsoft.com/office/word/2010/wordml" wp14:paraId="232D798C" wp14:textId="684373B7"/>
    <w:p xmlns:wp14="http://schemas.microsoft.com/office/word/2010/wordml" w:rsidP="438510A9" wp14:paraId="0950EE19" wp14:textId="0CDA1136">
      <w:pPr>
        <w:pStyle w:val="Heading1"/>
        <w:bidi w:val="0"/>
        <w:rPr>
          <w:rFonts w:ascii="Aptos" w:hAnsi="Aptos" w:eastAsia="Aptos" w:cs="Aptos"/>
          <w:b w:val="1"/>
          <w:bCs w:val="1"/>
          <w:noProof w:val="0"/>
          <w:color w:val="000000" w:themeColor="text1" w:themeTint="FF" w:themeShade="FF"/>
          <w:sz w:val="28"/>
          <w:szCs w:val="28"/>
          <w:lang w:val="en-US"/>
        </w:rPr>
      </w:pPr>
      <w:r w:rsidRPr="438510A9" w:rsidR="0CAB2BFF">
        <w:rPr>
          <w:rFonts w:ascii="Aptos" w:hAnsi="Aptos" w:eastAsia="Aptos" w:cs="Aptos"/>
          <w:b w:val="1"/>
          <w:bCs w:val="1"/>
          <w:noProof w:val="0"/>
          <w:color w:val="000000" w:themeColor="text1" w:themeTint="FF" w:themeShade="FF"/>
          <w:sz w:val="28"/>
          <w:szCs w:val="28"/>
          <w:lang w:val="en-US"/>
        </w:rPr>
        <w:t>7. Conclusion</w:t>
      </w:r>
    </w:p>
    <w:p xmlns:wp14="http://schemas.microsoft.com/office/word/2010/wordml" wp14:paraId="289DA397" wp14:textId="0E93395B">
      <w:r w:rsidRPr="438510A9" w:rsidR="0CAB2BFF">
        <w:rPr>
          <w:rFonts w:ascii="Aptos" w:hAnsi="Aptos" w:eastAsia="Aptos" w:cs="Aptos"/>
          <w:noProof w:val="0"/>
          <w:color w:val="000000" w:themeColor="text1" w:themeTint="FF" w:themeShade="FF"/>
          <w:sz w:val="24"/>
          <w:szCs w:val="24"/>
          <w:lang w:val="en-US"/>
        </w:rPr>
        <w:t>During March 2026, MRR Children's Hospital generated a total of 947.19 Kg of biomedical waste across 634 waste bags and containers. The waste segregation pattern indicates appropriate categorisation and disposal practices aligned with regulatory requirements. Continued monitoring, staff awareness, and compliance audits will support effective biomedical waste management and infection prevention practices across the hospital.</w:t>
      </w:r>
    </w:p>
    <w:p xmlns:wp14="http://schemas.microsoft.com/office/word/2010/wordml" wp14:paraId="4CF0D720" wp14:textId="0DD3542E"/>
    <w:p xmlns:wp14="http://schemas.microsoft.com/office/word/2010/wordml" wp14:paraId="59D7760D" wp14:textId="3A62FC5B">
      <w:r w:rsidRPr="438510A9" w:rsidR="0CAB2BFF">
        <w:rPr>
          <w:rFonts w:ascii="Aptos" w:hAnsi="Aptos" w:eastAsia="Aptos" w:cs="Aptos"/>
          <w:b w:val="1"/>
          <w:bCs w:val="1"/>
          <w:noProof w:val="0"/>
          <w:color w:val="000000" w:themeColor="text1" w:themeTint="FF" w:themeShade="FF"/>
          <w:sz w:val="24"/>
          <w:szCs w:val="24"/>
          <w:lang w:val="en-US"/>
        </w:rPr>
        <w:t>Prepared By:</w:t>
      </w:r>
      <w:r>
        <w:br/>
      </w:r>
      <w:r w:rsidRPr="438510A9" w:rsidR="0CAB2BFF">
        <w:rPr>
          <w:rFonts w:ascii="Aptos" w:hAnsi="Aptos" w:eastAsia="Aptos" w:cs="Aptos"/>
          <w:noProof w:val="0"/>
          <w:color w:val="000000" w:themeColor="text1" w:themeTint="FF" w:themeShade="FF"/>
          <w:sz w:val="24"/>
          <w:szCs w:val="24"/>
          <w:lang w:val="en-US"/>
        </w:rPr>
        <w:t>Infection Control Committee / Quality Department</w:t>
      </w:r>
    </w:p>
    <w:p xmlns:wp14="http://schemas.microsoft.com/office/word/2010/wordml" w:rsidP="438510A9" wp14:paraId="1844F2EE" wp14:textId="35065914">
      <w:pPr>
        <w:bidi w:val="0"/>
        <w:rPr>
          <w:rFonts w:ascii="Aptos" w:hAnsi="Aptos" w:eastAsia="Aptos" w:cs="Aptos"/>
          <w:b w:val="1"/>
          <w:bCs w:val="1"/>
          <w:noProof w:val="0"/>
          <w:color w:val="000000" w:themeColor="text1" w:themeTint="FF" w:themeShade="FF"/>
          <w:sz w:val="24"/>
          <w:szCs w:val="24"/>
          <w:lang w:val="en-US"/>
        </w:rPr>
      </w:pPr>
      <w:r w:rsidRPr="438510A9" w:rsidR="0CAB2BFF">
        <w:rPr>
          <w:rFonts w:ascii="Aptos" w:hAnsi="Aptos" w:eastAsia="Aptos" w:cs="Aptos"/>
          <w:b w:val="1"/>
          <w:bCs w:val="1"/>
          <w:noProof w:val="0"/>
          <w:color w:val="000000" w:themeColor="text1" w:themeTint="FF" w:themeShade="FF"/>
          <w:sz w:val="24"/>
          <w:szCs w:val="24"/>
          <w:lang w:val="en-US"/>
        </w:rPr>
        <w:t>MRR Children's Hospital</w:t>
      </w:r>
    </w:p>
    <w:p xmlns:wp14="http://schemas.microsoft.com/office/word/2010/wordml" wp14:paraId="5C6B354C" wp14:textId="2FCA6FF7">
      <w:r w:rsidRPr="438510A9" w:rsidR="0CAB2BFF">
        <w:rPr>
          <w:rFonts w:ascii="Aptos" w:hAnsi="Aptos" w:eastAsia="Aptos" w:cs="Aptos"/>
          <w:b w:val="1"/>
          <w:bCs w:val="1"/>
          <w:noProof w:val="0"/>
          <w:color w:val="000000" w:themeColor="text1" w:themeTint="FF" w:themeShade="FF"/>
          <w:sz w:val="24"/>
          <w:szCs w:val="24"/>
          <w:lang w:val="en-US"/>
        </w:rPr>
        <w:t>Reporting Month:</w:t>
      </w:r>
      <w:r>
        <w:br/>
      </w:r>
      <w:r w:rsidRPr="438510A9" w:rsidR="0CAB2BFF">
        <w:rPr>
          <w:rFonts w:ascii="Aptos" w:hAnsi="Aptos" w:eastAsia="Aptos" w:cs="Aptos"/>
          <w:noProof w:val="0"/>
          <w:color w:val="000000" w:themeColor="text1" w:themeTint="FF" w:themeShade="FF"/>
          <w:sz w:val="24"/>
          <w:szCs w:val="24"/>
          <w:lang w:val="en-US"/>
        </w:rPr>
        <w:t>March 2026</w:t>
      </w:r>
    </w:p>
    <w:p xmlns:wp14="http://schemas.microsoft.com/office/word/2010/wordml" wp14:paraId="2C078E63" wp14:textId="10896F5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df8da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f855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d4d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378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765CF5"/>
    <w:rsid w:val="0CAB2BFF"/>
    <w:rsid w:val="0CD14263"/>
    <w:rsid w:val="3DB46FB9"/>
    <w:rsid w:val="40F6F5BB"/>
    <w:rsid w:val="42765CF5"/>
    <w:rsid w:val="438510A9"/>
    <w:rsid w:val="438A7BEC"/>
    <w:rsid w:val="4E7B780D"/>
    <w:rsid w:val="56D7FA70"/>
    <w:rsid w:val="7820238B"/>
    <w:rsid w:val="7820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EA26"/>
  <w15:chartTrackingRefBased/>
  <w15:docId w15:val="{D949541C-9C63-487B-9D48-6D12B50B33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38510A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38510A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38510A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38510A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f6b40cf8c9148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2026-06-08T08:17:09.8310172Z</dcterms:created>
  <dcterms:modified xsi:type="dcterms:W3CDTF">2026-06-08T08:22:25.5559611Z</dcterms:modified>
  <dc:creator>Gaurav Adkar</dc:creator>
  <lastModifiedBy>Gaurav Adkar</lastModifiedBy>
</coreProperties>
</file>